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emorandum"/>
    <w:p>
      <w:pPr>
        <w:pStyle w:val="Heading1"/>
      </w:pPr>
      <w:r>
        <w:t xml:space="preserve">MEMORANDUM</w:t>
      </w:r>
    </w:p>
    <w:p>
      <w:pPr>
        <w:pStyle w:val="FirstParagraph"/>
      </w:pPr>
      <w:r>
        <w:rPr>
          <w:b/>
          <w:bCs/>
        </w:rPr>
        <w:t xml:space="preserve">PRIVILEGED &amp; CONFIDENTIAL — ATTORNEY WORK PRODUCT / ATTORNEY-CLIENT COMMUNICATION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Melanie Foss, HR Director, Prismex Analytics, Inc. (cc: Rajiv Sunderajan, Chief Executive Officer)</w:t>
            </w:r>
          </w:p>
        </w:tc>
      </w:tr>
      <w:tr>
        <w:tc>
          <w:tcPr/>
          <w:p>
            <w:pPr>
              <w:pStyle w:val="Compact"/>
              <w:jc w:val="left"/>
            </w:pPr>
            <w:r>
              <w:rPr>
                <w:b/>
                <w:bCs/>
              </w:rPr>
              <w:t xml:space="preserve">FROM:</w:t>
            </w:r>
          </w:p>
        </w:tc>
        <w:tc>
          <w:tcPr/>
          <w:p>
            <w:pPr>
              <w:pStyle w:val="Compact"/>
              <w:jc w:val="left"/>
            </w:pPr>
            <w:r>
              <w:t xml:space="preserve">Craig Halloran, Esq., Whitmore &amp; Callahan LLP</w:t>
            </w:r>
          </w:p>
        </w:tc>
      </w:tr>
      <w:tr>
        <w:tc>
          <w:tcPr/>
          <w:p>
            <w:pPr>
              <w:pStyle w:val="Compact"/>
              <w:jc w:val="left"/>
            </w:pPr>
            <w:r>
              <w:rPr>
                <w:b/>
                <w:bCs/>
              </w:rPr>
              <w:t xml:space="preserve">DATE:</w:t>
            </w:r>
          </w:p>
        </w:tc>
        <w:tc>
          <w:tcPr/>
          <w:p>
            <w:pPr>
              <w:pStyle w:val="Compact"/>
              <w:jc w:val="left"/>
            </w:pPr>
            <w:r>
              <w:t xml:space="preserve">June 9, 2025</w:t>
            </w:r>
          </w:p>
        </w:tc>
      </w:tr>
      <w:tr>
        <w:tc>
          <w:tcPr/>
          <w:p>
            <w:pPr>
              <w:pStyle w:val="Compact"/>
              <w:jc w:val="left"/>
            </w:pPr>
            <w:r>
              <w:rPr>
                <w:b/>
                <w:bCs/>
              </w:rPr>
              <w:t xml:space="preserve">RE:</w:t>
            </w:r>
          </w:p>
        </w:tc>
        <w:tc>
          <w:tcPr/>
          <w:p>
            <w:pPr>
              <w:pStyle w:val="Compact"/>
              <w:jc w:val="left"/>
            </w:pPr>
            <w:r>
              <w:t xml:space="preserve">Credential Gap Analysis — Certified PERM Application (ETA Form 9089), Case No. A-18247-63910 — Beneficiary: Ananya Mehrotra — Position: Senior Machine Learning Engineer</w:t>
            </w:r>
          </w:p>
        </w:tc>
      </w:tr>
    </w:tbl>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This memorandum responds to your June 4, 2025 transmittal of the petition package for Dr. Ananya Mehrotra and your request that we (1) identify any missing or supplemental documents, (2) flag any issues with the credentials matching the PERM requirements, and (3) advise on next steps. Pursuant to that request, we have reviewed the certified PERM application (ETA Form 9089, Case No. A-18247-63910, certified May 22, 2025) against each of the beneficiary’s supporting credentials and identified the gaps, discrepancies, and nonconformances set forth below, together with remedial recommendations for each.</w:t>
      </w:r>
    </w:p>
    <w:p>
      <w:pPr>
        <w:pStyle w:val="BodyText"/>
      </w:pPr>
      <w:r>
        <w:rPr>
          <w:b/>
          <w:bCs/>
        </w:rPr>
        <w:t xml:space="preserve">Scope note.</w:t>
      </w:r>
      <w:r>
        <w:t xml:space="preserve"> </w:t>
      </w:r>
      <w:r>
        <w:t xml:space="preserve">This memorandum is limited to a gap analysis of the certified PERM application against the beneficiary’s supporting credentials. The H-1B (I-129) cap-gap, status-continuation, and filing-timeline questions raised in your email are addressed under separate cover. We note for clarity that a certified PERM application underlies the</w:t>
      </w:r>
      <w:r>
        <w:t xml:space="preserve"> </w:t>
      </w:r>
      <w:r>
        <w:rPr>
          <w:b/>
          <w:bCs/>
        </w:rPr>
        <w:t xml:space="preserve">Form I-140 immigrant petition</w:t>
      </w:r>
      <w:r>
        <w:t xml:space="preserve"> </w:t>
      </w:r>
      <w:r>
        <w:t xml:space="preserve">(employment-based permanent residence); the references in your email to</w:t>
      </w:r>
      <w:r>
        <w:t xml:space="preserve"> </w:t>
      </w:r>
      <w:r>
        <w:t xml:space="preserve">“</w:t>
      </w:r>
      <w:r>
        <w:t xml:space="preserve">moving forward with the I-129</w:t>
      </w:r>
      <w:r>
        <w:t xml:space="preserve">”</w:t>
      </w:r>
      <w:r>
        <w:t xml:space="preserve"> </w:t>
      </w:r>
      <w:r>
        <w:t xml:space="preserve">appear to conflate the nonimmigrant H-1B process with the immigrant process that the certified PERM supports. We will confirm the overall strategy with you separately.</w:t>
      </w:r>
    </w:p>
    <w:p>
      <w:pPr>
        <w:pStyle w:val="BodyText"/>
      </w:pPr>
      <w:r>
        <w:rPr>
          <w:b/>
          <w:bCs/>
        </w:rPr>
        <w:t xml:space="preserve">Documents reviewed.</w:t>
      </w:r>
      <w:r>
        <w:t xml:space="preserve"> </w:t>
      </w:r>
      <w:r>
        <w:t xml:space="preserve">(1) Certified PERM application, ETA Form 9089, Case No. A-18247-63910; (2) beneficiary résumé/CV; (3) experience letter from DataBridge Solutions LLC (Dr. Samuel Okonkwo, VP of Data Science, dated April 10, 2025); (4) experience letter from Evalpoint Technologies Pvt. Ltd. (Vikram Reddy, Director of Engineering, dated March 28, 2025); (5) NC State University official transcript (M.S. in Computer Science, issued May 20, 2025); (6) IAE credential evaluation report (IAE-2025-02-4738, dated February 15, 2025); (7) compiled professional certifications (Whitmore &amp; Callahan LLP, June 2025); and (8) Prevailing Wage Determination (PWD Tracking No. P-200-24187-329156, dated November 8, 2024).</w:t>
      </w:r>
    </w:p>
    <w:p>
      <w:r>
        <w:pict>
          <v:rect style="width:0;height:1.5pt" o:hralign="center" o:hrstd="t" o:hr="t"/>
        </w:pict>
      </w:r>
    </w:p>
    <w:bookmarkEnd w:id="20"/>
    <w:bookmarkStart w:id="21" w:name="ii.-executive-summary"/>
    <w:p>
      <w:pPr>
        <w:pStyle w:val="Heading2"/>
      </w:pPr>
      <w:r>
        <w:t xml:space="preserve">II. Executive Summary</w:t>
      </w:r>
    </w:p>
    <w:p>
      <w:pPr>
        <w:pStyle w:val="FirstParagraph"/>
      </w:pPr>
      <w:r>
        <w:t xml:space="preserve">The beneficiary’s</w:t>
      </w:r>
      <w:r>
        <w:t xml:space="preserve"> </w:t>
      </w:r>
      <w:r>
        <w:rPr>
          <w:b/>
          <w:bCs/>
        </w:rPr>
        <w:t xml:space="preserve">education</w:t>
      </w:r>
      <w:r>
        <w:t xml:space="preserve"> </w:t>
      </w:r>
      <w:r>
        <w:t xml:space="preserve">(M.S. in Computer Science, NC State, May 2018) and</w:t>
      </w:r>
      <w:r>
        <w:t xml:space="preserve"> </w:t>
      </w:r>
      <w:r>
        <w:rPr>
          <w:b/>
          <w:bCs/>
        </w:rPr>
        <w:t xml:space="preserve">core post-master’s experience</w:t>
      </w:r>
      <w:r>
        <w:t xml:space="preserve"> </w:t>
      </w:r>
      <w:r>
        <w:t xml:space="preserve">at DataBridge Solutions LLC satisfy the PERM’s primary education and 5-year progressive post-master’s experience minimums, and the</w:t>
      </w:r>
      <w:r>
        <w:t xml:space="preserve"> </w:t>
      </w:r>
      <w:r>
        <w:rPr>
          <w:b/>
          <w:bCs/>
        </w:rPr>
        <w:t xml:space="preserve">offered wage ($142,000) exceeds the prevailing wage ($131,747)</w:t>
      </w:r>
      <w:r>
        <w:t xml:space="preserve"> </w:t>
      </w:r>
      <w:r>
        <w:t xml:space="preserve">with the PWD within its validity period. Those foundational elements are sound.</w:t>
      </w:r>
    </w:p>
    <w:p>
      <w:pPr>
        <w:pStyle w:val="BodyText"/>
      </w:pPr>
      <w:r>
        <w:t xml:space="preserve">However, our review identified</w:t>
      </w:r>
      <w:r>
        <w:t xml:space="preserve"> </w:t>
      </w:r>
      <w:r>
        <w:rPr>
          <w:b/>
          <w:bCs/>
        </w:rPr>
        <w:t xml:space="preserve">one critical gap, several material discrepancies, and a number of documentation and consistency items</w:t>
      </w:r>
      <w:r>
        <w:t xml:space="preserve"> </w:t>
      </w:r>
      <w:r>
        <w:t xml:space="preserve">(18 findings in total) that must be resolved before the I-140 is filed and to place the certified PERM on defensible footing in the event of an audit. The most serious finding is that the PERM’s Section J.B.5 special requirement of the</w:t>
      </w:r>
      <w:r>
        <w:t xml:space="preserve"> </w:t>
      </w:r>
      <w:r>
        <w:rPr>
          <w:b/>
          <w:bCs/>
        </w:rPr>
        <w:t xml:space="preserve">AWS Certified Machine Learning – Specialty certification (or equivalent)</w:t>
      </w:r>
      <w:r>
        <w:t xml:space="preserve"> </w:t>
      </w:r>
      <w:r>
        <w:t xml:space="preserve">is</w:t>
      </w:r>
      <w:r>
        <w:t xml:space="preserve"> </w:t>
      </w:r>
      <w:r>
        <w:rPr>
          <w:b/>
          <w:bCs/>
        </w:rPr>
        <w:t xml:space="preserve">not held by the beneficiary</w:t>
      </w:r>
      <w:r>
        <w:t xml:space="preserve">, and the two certifications she does hold do not satisfy that requirement — yet Section K.3 of the certified PERM attests that she possesses all special skills and requirements. This creates audit, revocation, and I-140 exposure and is the central issue addressed below. A related finding is that the PERM recruitment report (Section G.3) shows the three U.S. applicants were rejected for lacking education and experience — not for lacking the required certification — raising a separate</w:t>
      </w:r>
      <w:r>
        <w:t xml:space="preserve"> </w:t>
      </w:r>
      <w:r>
        <w:t xml:space="preserve">“</w:t>
      </w:r>
      <w:r>
        <w:t xml:space="preserve">requirements not as stated</w:t>
      </w:r>
      <w:r>
        <w:t xml:space="preserve">”</w:t>
      </w:r>
      <w:r>
        <w:t xml:space="preserve"> </w:t>
      </w:r>
      <w:r>
        <w:t xml:space="preserve">exposure (Issue 16).</w:t>
      </w:r>
    </w:p>
    <w:p>
      <w:pPr>
        <w:pStyle w:val="BodyText"/>
      </w:pPr>
      <w:r>
        <w:t xml:space="preserve">A prioritized summary of all findings appears in the table in Section III. Detailed analysis and remedial recommendations follow in Sections IV–V.</w:t>
      </w:r>
    </w:p>
    <w:p>
      <w:r>
        <w:pict>
          <v:rect style="width:0;height:1.5pt" o:hralign="center" o:hrstd="t" o:hr="t"/>
        </w:pict>
      </w:r>
    </w:p>
    <w:bookmarkEnd w:id="21"/>
    <w:bookmarkStart w:id="22" w:name="iii.-summary-of-findings"/>
    <w:p>
      <w:pPr>
        <w:pStyle w:val="Heading2"/>
      </w:pPr>
      <w:r>
        <w:t xml:space="preserve">III. Summary of Findings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Source of Requirement / Record</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Required AWS Certified Machine Learning – Specialty certification is</w:t>
            </w:r>
            <w:r>
              <w:t xml:space="preserve"> </w:t>
            </w:r>
            <w:r>
              <w:rPr>
                <w:b/>
                <w:bCs/>
              </w:rPr>
              <w:t xml:space="preserve">not held</w:t>
            </w:r>
            <w:r>
              <w:t xml:space="preserve"> </w:t>
            </w:r>
            <w:r>
              <w:t xml:space="preserve">by the beneficiary</w:t>
            </w:r>
          </w:p>
        </w:tc>
        <w:tc>
          <w:tcPr/>
          <w:p>
            <w:pPr>
              <w:pStyle w:val="Compact"/>
              <w:jc w:val="left"/>
            </w:pPr>
            <w:r>
              <w:t xml:space="preserve">PERM § J.B.5; Certifications Compilation, Verification Notes ¶ 3</w:t>
            </w:r>
          </w:p>
        </w:tc>
        <w:tc>
          <w:tcPr/>
          <w:p>
            <w:pPr>
              <w:pStyle w:val="Compact"/>
              <w:jc w:val="left"/>
            </w:pPr>
            <w:r>
              <w:rPr>
                <w:b/>
                <w:bCs/>
              </w:rPr>
              <w:t xml:space="preserve">Critical</w:t>
            </w:r>
          </w:p>
        </w:tc>
        <w:tc>
          <w:tcPr/>
          <w:p>
            <w:pPr>
              <w:pStyle w:val="Compact"/>
              <w:jc w:val="left"/>
            </w:pPr>
            <w:r>
              <w:t xml:space="preserve">Gap</w:t>
            </w:r>
          </w:p>
        </w:tc>
      </w:tr>
      <w:tr>
        <w:tc>
          <w:tcPr/>
          <w:p>
            <w:pPr>
              <w:pStyle w:val="Compact"/>
              <w:jc w:val="left"/>
            </w:pPr>
            <w:r>
              <w:t xml:space="preserve">2</w:t>
            </w:r>
          </w:p>
        </w:tc>
        <w:tc>
          <w:tcPr/>
          <w:p>
            <w:pPr>
              <w:pStyle w:val="Compact"/>
              <w:jc w:val="left"/>
            </w:pPr>
            <w:r>
              <w:t xml:space="preserve">Neither held certification is an</w:t>
            </w:r>
            <w:r>
              <w:t xml:space="preserve"> </w:t>
            </w:r>
            <w:r>
              <w:t xml:space="preserve">“</w:t>
            </w:r>
            <w:r>
              <w:t xml:space="preserve">equivalent</w:t>
            </w:r>
            <w:r>
              <w:t xml:space="preserve">”</w:t>
            </w:r>
            <w:r>
              <w:t xml:space="preserve">; AWS Cloud Practitioner is</w:t>
            </w:r>
            <w:r>
              <w:t xml:space="preserve"> </w:t>
            </w:r>
            <w:r>
              <w:rPr>
                <w:b/>
                <w:bCs/>
              </w:rPr>
              <w:t xml:space="preserve">foundational and expired</w:t>
            </w:r>
            <w:r>
              <w:t xml:space="preserve"> </w:t>
            </w:r>
            <w:r>
              <w:t xml:space="preserve">(exp. 1/18/2025, before filing); TensorFlow Developer Certificate is Google-issued and framework-specific, not AWS ML–equivalent</w:t>
            </w:r>
          </w:p>
        </w:tc>
        <w:tc>
          <w:tcPr/>
          <w:p>
            <w:pPr>
              <w:pStyle w:val="Compact"/>
              <w:jc w:val="left"/>
            </w:pPr>
            <w:r>
              <w:t xml:space="preserve">PERM § J.B.5; Certifications Compilation, Certs. 1–2</w:t>
            </w:r>
          </w:p>
        </w:tc>
        <w:tc>
          <w:tcPr/>
          <w:p>
            <w:pPr>
              <w:pStyle w:val="Compact"/>
              <w:jc w:val="left"/>
            </w:pPr>
            <w:r>
              <w:rPr>
                <w:b/>
                <w:bCs/>
              </w:rPr>
              <w:t xml:space="preserve">Critical</w:t>
            </w:r>
          </w:p>
        </w:tc>
        <w:tc>
          <w:tcPr/>
          <w:p>
            <w:pPr>
              <w:pStyle w:val="Compact"/>
              <w:jc w:val="left"/>
            </w:pPr>
            <w:r>
              <w:t xml:space="preserve">Gap</w:t>
            </w:r>
          </w:p>
        </w:tc>
      </w:tr>
      <w:tr>
        <w:tc>
          <w:tcPr/>
          <w:p>
            <w:pPr>
              <w:pStyle w:val="Compact"/>
              <w:jc w:val="left"/>
            </w:pPr>
            <w:r>
              <w:t xml:space="preserve">3</w:t>
            </w:r>
          </w:p>
        </w:tc>
        <w:tc>
          <w:tcPr/>
          <w:p>
            <w:pPr>
              <w:pStyle w:val="Compact"/>
              <w:jc w:val="left"/>
            </w:pPr>
            <w:r>
              <w:t xml:space="preserve">PERM § K.3 attests beneficiary possesses all J.B.5 special requirements (incl. the AWS ML Specialty cert) — inconsistent with the credential record</w:t>
            </w:r>
          </w:p>
        </w:tc>
        <w:tc>
          <w:tcPr/>
          <w:p>
            <w:pPr>
              <w:pStyle w:val="Compact"/>
              <w:jc w:val="left"/>
            </w:pPr>
            <w:r>
              <w:t xml:space="preserve">PERM § K.3 vs. Certifications Compilation</w:t>
            </w:r>
          </w:p>
        </w:tc>
        <w:tc>
          <w:tcPr/>
          <w:p>
            <w:pPr>
              <w:pStyle w:val="Compact"/>
              <w:jc w:val="left"/>
            </w:pPr>
            <w:r>
              <w:rPr>
                <w:b/>
                <w:bCs/>
              </w:rPr>
              <w:t xml:space="preserve">Critical</w:t>
            </w:r>
          </w:p>
        </w:tc>
        <w:tc>
          <w:tcPr/>
          <w:p>
            <w:pPr>
              <w:pStyle w:val="Compact"/>
              <w:jc w:val="left"/>
            </w:pPr>
            <w:r>
              <w:t xml:space="preserve">Attestation discrepancy</w:t>
            </w:r>
          </w:p>
        </w:tc>
      </w:tr>
      <w:tr>
        <w:tc>
          <w:tcPr/>
          <w:p>
            <w:pPr>
              <w:pStyle w:val="Compact"/>
              <w:jc w:val="left"/>
            </w:pPr>
            <w:r>
              <w:t xml:space="preserve">4</w:t>
            </w:r>
          </w:p>
        </w:tc>
        <w:tc>
          <w:tcPr/>
          <w:p>
            <w:pPr>
              <w:pStyle w:val="Compact"/>
              <w:jc w:val="left"/>
            </w:pPr>
            <w:r>
              <w:t xml:space="preserve">Certification requirement may not be</w:t>
            </w:r>
            <w:r>
              <w:t xml:space="preserve"> </w:t>
            </w:r>
            <w:r>
              <w:t xml:space="preserve">“</w:t>
            </w:r>
            <w:r>
              <w:t xml:space="preserve">normal to the occupation</w:t>
            </w:r>
            <w:r>
              <w:t xml:space="preserve">”</w:t>
            </w:r>
            <w:r>
              <w:t xml:space="preserve"> </w:t>
            </w:r>
            <w:r>
              <w:t xml:space="preserve">/ may require business-necessity justification under 20 CFR 656.17(h)</w:t>
            </w:r>
          </w:p>
        </w:tc>
        <w:tc>
          <w:tcPr/>
          <w:p>
            <w:pPr>
              <w:pStyle w:val="Compact"/>
              <w:jc w:val="left"/>
            </w:pPr>
            <w:r>
              <w:t xml:space="preserve">PERM § J.B.5; 20 CFR 656.17</w:t>
            </w:r>
          </w:p>
        </w:tc>
        <w:tc>
          <w:tcPr/>
          <w:p>
            <w:pPr>
              <w:pStyle w:val="Compact"/>
              <w:jc w:val="left"/>
            </w:pPr>
            <w:r>
              <w:rPr>
                <w:b/>
                <w:bCs/>
              </w:rPr>
              <w:t xml:space="preserve">High</w:t>
            </w:r>
          </w:p>
        </w:tc>
        <w:tc>
          <w:tcPr/>
          <w:p>
            <w:pPr>
              <w:pStyle w:val="Compact"/>
              <w:jc w:val="left"/>
            </w:pPr>
            <w:r>
              <w:t xml:space="preserve">Audit-vulnerability</w:t>
            </w:r>
          </w:p>
        </w:tc>
      </w:tr>
      <w:tr>
        <w:tc>
          <w:tcPr/>
          <w:p>
            <w:pPr>
              <w:pStyle w:val="Compact"/>
              <w:jc w:val="left"/>
            </w:pPr>
            <w:r>
              <w:t xml:space="preserve">5</w:t>
            </w:r>
          </w:p>
        </w:tc>
        <w:tc>
          <w:tcPr/>
          <w:p>
            <w:pPr>
              <w:pStyle w:val="Compact"/>
              <w:jc w:val="left"/>
            </w:pPr>
            <w:r>
              <w:t xml:space="preserve">“</w:t>
            </w:r>
            <w:r>
              <w:t xml:space="preserve">Proficiency in Python and R</w:t>
            </w:r>
            <w:r>
              <w:t xml:space="preserve">”</w:t>
            </w:r>
            <w:r>
              <w:t xml:space="preserve"> </w:t>
            </w:r>
            <w:r>
              <w:t xml:space="preserve">(J.B.5(e)) — R is documented only as</w:t>
            </w:r>
            <w:r>
              <w:t xml:space="preserve"> </w:t>
            </w:r>
            <w:r>
              <w:t xml:space="preserve">“</w:t>
            </w:r>
            <w:r>
              <w:t xml:space="preserve">intermediate</w:t>
            </w:r>
            <w:r>
              <w:t xml:space="preserve">”</w:t>
            </w:r>
            <w:r>
              <w:t xml:space="preserve">/</w:t>
            </w:r>
            <w:r>
              <w:t xml:space="preserve">“</w:t>
            </w:r>
            <w:r>
              <w:t xml:space="preserve">some use,</w:t>
            </w:r>
            <w:r>
              <w:t xml:space="preserve">”</w:t>
            </w:r>
            <w:r>
              <w:t xml:space="preserve"> </w:t>
            </w:r>
            <w:r>
              <w:t xml:space="preserve">not proficiency</w:t>
            </w:r>
          </w:p>
        </w:tc>
        <w:tc>
          <w:tcPr/>
          <w:p>
            <w:pPr>
              <w:pStyle w:val="Compact"/>
              <w:jc w:val="left"/>
            </w:pPr>
            <w:r>
              <w:t xml:space="preserve">PERM § J.B.5(e); Résumé; DataBridge letter</w:t>
            </w:r>
          </w:p>
        </w:tc>
        <w:tc>
          <w:tcPr/>
          <w:p>
            <w:pPr>
              <w:pStyle w:val="Compact"/>
              <w:jc w:val="left"/>
            </w:pPr>
            <w:r>
              <w:rPr>
                <w:b/>
                <w:bCs/>
              </w:rPr>
              <w:t xml:space="preserve">Material</w:t>
            </w:r>
          </w:p>
        </w:tc>
        <w:tc>
          <w:tcPr/>
          <w:p>
            <w:pPr>
              <w:pStyle w:val="Compact"/>
              <w:jc w:val="left"/>
            </w:pPr>
            <w:r>
              <w:t xml:space="preserve">Gap</w:t>
            </w:r>
          </w:p>
        </w:tc>
      </w:tr>
      <w:tr>
        <w:tc>
          <w:tcPr/>
          <w:p>
            <w:pPr>
              <w:pStyle w:val="Compact"/>
              <w:jc w:val="left"/>
            </w:pPr>
            <w:r>
              <w:t xml:space="preserve">6</w:t>
            </w:r>
          </w:p>
        </w:tc>
        <w:tc>
          <w:tcPr/>
          <w:p>
            <w:pPr>
              <w:pStyle w:val="Compact"/>
              <w:jc w:val="left"/>
            </w:pPr>
            <w:r>
              <w:rPr>
                <w:b/>
                <w:bCs/>
              </w:rPr>
              <w:t xml:space="preserve">FEIN mismatch</w:t>
            </w:r>
            <w:r>
              <w:t xml:space="preserve">: PERM § C.7 lists 84-3291756; PWD § 1 lists 84-3291047</w:t>
            </w:r>
          </w:p>
        </w:tc>
        <w:tc>
          <w:tcPr/>
          <w:p>
            <w:pPr>
              <w:pStyle w:val="Compact"/>
              <w:jc w:val="left"/>
            </w:pPr>
            <w:r>
              <w:t xml:space="preserve">PERM § C.7; PWD § 1</w:t>
            </w:r>
          </w:p>
        </w:tc>
        <w:tc>
          <w:tcPr/>
          <w:p>
            <w:pPr>
              <w:pStyle w:val="Compact"/>
              <w:jc w:val="left"/>
            </w:pPr>
            <w:r>
              <w:rPr>
                <w:b/>
                <w:bCs/>
              </w:rPr>
              <w:t xml:space="preserve">Material</w:t>
            </w:r>
          </w:p>
        </w:tc>
        <w:tc>
          <w:tcPr/>
          <w:p>
            <w:pPr>
              <w:pStyle w:val="Compact"/>
              <w:jc w:val="left"/>
            </w:pPr>
            <w:r>
              <w:t xml:space="preserve">Discrepancy</w:t>
            </w:r>
          </w:p>
        </w:tc>
      </w:tr>
      <w:tr>
        <w:tc>
          <w:tcPr/>
          <w:p>
            <w:pPr>
              <w:pStyle w:val="Compact"/>
              <w:jc w:val="left"/>
            </w:pPr>
            <w:r>
              <w:t xml:space="preserve">7</w:t>
            </w:r>
          </w:p>
        </w:tc>
        <w:tc>
          <w:tcPr/>
          <w:p>
            <w:pPr>
              <w:pStyle w:val="Compact"/>
              <w:jc w:val="left"/>
            </w:pPr>
            <w:r>
              <w:rPr>
                <w:b/>
                <w:bCs/>
              </w:rPr>
              <w:t xml:space="preserve">Missing experience verification letter</w:t>
            </w:r>
            <w:r>
              <w:t xml:space="preserve"> </w:t>
            </w:r>
            <w:r>
              <w:t xml:space="preserve">for NC State Research Assistant position (Aug 2016–May 2018); Prof. Tsai on sabbatical</w:t>
            </w:r>
          </w:p>
        </w:tc>
        <w:tc>
          <w:tcPr/>
          <w:p>
            <w:pPr>
              <w:pStyle w:val="Compact"/>
              <w:jc w:val="left"/>
            </w:pPr>
            <w:r>
              <w:t xml:space="preserve">PERM § J.C, Entry 2; HR email; NC State transcript</w:t>
            </w:r>
          </w:p>
        </w:tc>
        <w:tc>
          <w:tcPr/>
          <w:p>
            <w:pPr>
              <w:pStyle w:val="Compact"/>
              <w:jc w:val="left"/>
            </w:pPr>
            <w:r>
              <w:rPr>
                <w:b/>
                <w:bCs/>
              </w:rPr>
              <w:t xml:space="preserve">Moderate</w:t>
            </w:r>
          </w:p>
        </w:tc>
        <w:tc>
          <w:tcPr/>
          <w:p>
            <w:pPr>
              <w:pStyle w:val="Compact"/>
              <w:jc w:val="left"/>
            </w:pPr>
            <w:r>
              <w:t xml:space="preserve">Documentation gap</w:t>
            </w:r>
          </w:p>
        </w:tc>
      </w:tr>
      <w:tr>
        <w:tc>
          <w:tcPr/>
          <w:p>
            <w:pPr>
              <w:pStyle w:val="Compact"/>
              <w:jc w:val="left"/>
            </w:pPr>
            <w:r>
              <w:t xml:space="preserve">8</w:t>
            </w:r>
          </w:p>
        </w:tc>
        <w:tc>
          <w:tcPr/>
          <w:p>
            <w:pPr>
              <w:pStyle w:val="Compact"/>
              <w:jc w:val="left"/>
            </w:pPr>
            <w:r>
              <w:rPr>
                <w:b/>
                <w:bCs/>
              </w:rPr>
              <w:t xml:space="preserve">Missing underlying foreign-degree evidence</w:t>
            </w:r>
            <w:r>
              <w:t xml:space="preserve"> </w:t>
            </w:r>
            <w:r>
              <w:t xml:space="preserve">(B.Tech degree certificate and marksheets) — only the IAE evaluation is in the package</w:t>
            </w:r>
          </w:p>
        </w:tc>
        <w:tc>
          <w:tcPr/>
          <w:p>
            <w:pPr>
              <w:pStyle w:val="Compact"/>
              <w:jc w:val="left"/>
            </w:pPr>
            <w:r>
              <w:t xml:space="preserve">IAE Report § 2; HR email inventory item 6</w:t>
            </w:r>
          </w:p>
        </w:tc>
        <w:tc>
          <w:tcPr/>
          <w:p>
            <w:pPr>
              <w:pStyle w:val="Compact"/>
              <w:jc w:val="left"/>
            </w:pPr>
            <w:r>
              <w:rPr>
                <w:b/>
                <w:bCs/>
              </w:rPr>
              <w:t xml:space="preserve">Moderate</w:t>
            </w:r>
          </w:p>
        </w:tc>
        <w:tc>
          <w:tcPr/>
          <w:p>
            <w:pPr>
              <w:pStyle w:val="Compact"/>
              <w:jc w:val="left"/>
            </w:pPr>
            <w:r>
              <w:t xml:space="preserve">Documentation gap</w:t>
            </w:r>
          </w:p>
        </w:tc>
      </w:tr>
      <w:tr>
        <w:tc>
          <w:tcPr/>
          <w:p>
            <w:pPr>
              <w:pStyle w:val="Compact"/>
              <w:jc w:val="left"/>
            </w:pPr>
            <w:r>
              <w:t xml:space="preserve">9</w:t>
            </w:r>
          </w:p>
        </w:tc>
        <w:tc>
          <w:tcPr/>
          <w:p>
            <w:pPr>
              <w:pStyle w:val="Compact"/>
              <w:jc w:val="left"/>
            </w:pPr>
            <w:r>
              <w:t xml:space="preserve">“</w:t>
            </w:r>
            <w:r>
              <w:t xml:space="preserve">Dr.</w:t>
            </w:r>
            <w:r>
              <w:t xml:space="preserve">”</w:t>
            </w:r>
            <w:r>
              <w:t xml:space="preserve"> </w:t>
            </w:r>
            <w:r>
              <w:t xml:space="preserve">title used throughout, but highest documented degree is an M.S.; no doctorate in the record</w:t>
            </w:r>
          </w:p>
        </w:tc>
        <w:tc>
          <w:tcPr/>
          <w:p>
            <w:pPr>
              <w:pStyle w:val="Compact"/>
              <w:jc w:val="left"/>
            </w:pPr>
            <w:r>
              <w:t xml:space="preserve">PERM § I.1; Résumé; experience letters; IAE Report</w:t>
            </w:r>
          </w:p>
        </w:tc>
        <w:tc>
          <w:tcPr/>
          <w:p>
            <w:pPr>
              <w:pStyle w:val="Compact"/>
              <w:jc w:val="left"/>
            </w:pPr>
            <w:r>
              <w:rPr>
                <w:b/>
                <w:bCs/>
              </w:rPr>
              <w:t xml:space="preserve">Moderate</w:t>
            </w:r>
          </w:p>
        </w:tc>
        <w:tc>
          <w:tcPr/>
          <w:p>
            <w:pPr>
              <w:pStyle w:val="Compact"/>
              <w:jc w:val="left"/>
            </w:pPr>
            <w:r>
              <w:t xml:space="preserve">Consistency/accuracy</w:t>
            </w:r>
          </w:p>
        </w:tc>
      </w:tr>
      <w:tr>
        <w:tc>
          <w:tcPr/>
          <w:p>
            <w:pPr>
              <w:pStyle w:val="Compact"/>
              <w:jc w:val="left"/>
            </w:pPr>
            <w:r>
              <w:t xml:space="preserve">10</w:t>
            </w:r>
          </w:p>
        </w:tc>
        <w:tc>
          <w:tcPr/>
          <w:p>
            <w:pPr>
              <w:pStyle w:val="Compact"/>
              <w:jc w:val="left"/>
            </w:pPr>
            <w:r>
              <w:t xml:space="preserve">“</w:t>
            </w:r>
            <w:r>
              <w:t xml:space="preserve">Approximately 7 years</w:t>
            </w:r>
            <w:r>
              <w:t xml:space="preserve">”</w:t>
            </w:r>
            <w:r>
              <w:t xml:space="preserve"> </w:t>
            </w:r>
            <w:r>
              <w:t xml:space="preserve">post-master’s experience (K.2) is ~6 yrs 9 mos as of the 3/15/2025 filing (still &gt; 5-yr minimum)</w:t>
            </w:r>
          </w:p>
        </w:tc>
        <w:tc>
          <w:tcPr/>
          <w:p>
            <w:pPr>
              <w:pStyle w:val="Compact"/>
              <w:jc w:val="left"/>
            </w:pPr>
            <w:r>
              <w:t xml:space="preserve">PERM § K.2</w:t>
            </w:r>
          </w:p>
        </w:tc>
        <w:tc>
          <w:tcPr/>
          <w:p>
            <w:pPr>
              <w:pStyle w:val="Compact"/>
              <w:jc w:val="left"/>
            </w:pPr>
            <w:r>
              <w:rPr>
                <w:b/>
                <w:bCs/>
              </w:rPr>
              <w:t xml:space="preserve">Low</w:t>
            </w:r>
          </w:p>
        </w:tc>
        <w:tc>
          <w:tcPr/>
          <w:p>
            <w:pPr>
              <w:pStyle w:val="Compact"/>
              <w:jc w:val="left"/>
            </w:pPr>
            <w:r>
              <w:t xml:space="preserve">Precision</w:t>
            </w:r>
          </w:p>
        </w:tc>
      </w:tr>
      <w:tr>
        <w:tc>
          <w:tcPr/>
          <w:p>
            <w:pPr>
              <w:pStyle w:val="Compact"/>
              <w:jc w:val="left"/>
            </w:pPr>
            <w:r>
              <w:t xml:space="preserve">11</w:t>
            </w:r>
          </w:p>
        </w:tc>
        <w:tc>
          <w:tcPr/>
          <w:p>
            <w:pPr>
              <w:pStyle w:val="Compact"/>
              <w:jc w:val="left"/>
            </w:pPr>
            <w:r>
              <w:t xml:space="preserve">Post-master’s 5-yr requirement met</w:t>
            </w:r>
            <w:r>
              <w:t xml:space="preserve"> </w:t>
            </w:r>
            <w:r>
              <w:rPr>
                <w:b/>
                <w:bCs/>
              </w:rPr>
              <w:t xml:space="preserve">only</w:t>
            </w:r>
            <w:r>
              <w:t xml:space="preserve"> </w:t>
            </w:r>
            <w:r>
              <w:t xml:space="preserve">by DataBridge; Evalpoint (pre-master’s, software eng.) and RA (pre-master’s, part-time) do not count toward it</w:t>
            </w:r>
          </w:p>
        </w:tc>
        <w:tc>
          <w:tcPr/>
          <w:p>
            <w:pPr>
              <w:pStyle w:val="Compact"/>
              <w:jc w:val="left"/>
            </w:pPr>
            <w:r>
              <w:t xml:space="preserve">PERM § J.C, Entries 1–3; experience letters</w:t>
            </w:r>
          </w:p>
        </w:tc>
        <w:tc>
          <w:tcPr/>
          <w:p>
            <w:pPr>
              <w:pStyle w:val="Compact"/>
              <w:jc w:val="left"/>
            </w:pPr>
            <w:r>
              <w:rPr>
                <w:b/>
                <w:bCs/>
              </w:rPr>
              <w:t xml:space="preserve">Low</w:t>
            </w:r>
          </w:p>
        </w:tc>
        <w:tc>
          <w:tcPr/>
          <w:p>
            <w:pPr>
              <w:pStyle w:val="Compact"/>
              <w:jc w:val="left"/>
            </w:pPr>
            <w:r>
              <w:t xml:space="preserve">Characterization</w:t>
            </w:r>
          </w:p>
        </w:tc>
      </w:tr>
      <w:tr>
        <w:tc>
          <w:tcPr/>
          <w:p>
            <w:pPr>
              <w:pStyle w:val="Compact"/>
              <w:jc w:val="left"/>
            </w:pPr>
            <w:r>
              <w:t xml:space="preserve">12</w:t>
            </w:r>
          </w:p>
        </w:tc>
        <w:tc>
          <w:tcPr/>
          <w:p>
            <w:pPr>
              <w:pStyle w:val="Compact"/>
              <w:jc w:val="left"/>
            </w:pPr>
            <w:r>
              <w:t xml:space="preserve">Supervisory scope: position requires supervising 3–5 ML engineers; beneficiary led 2 junior data scientists</w:t>
            </w:r>
          </w:p>
        </w:tc>
        <w:tc>
          <w:tcPr/>
          <w:p>
            <w:pPr>
              <w:pStyle w:val="Compact"/>
              <w:jc w:val="left"/>
            </w:pPr>
            <w:r>
              <w:t xml:space="preserve">PERM § J.B.5 / H.10; DataBridge letter</w:t>
            </w:r>
          </w:p>
        </w:tc>
        <w:tc>
          <w:tcPr/>
          <w:p>
            <w:pPr>
              <w:pStyle w:val="Compact"/>
              <w:jc w:val="left"/>
            </w:pPr>
            <w:r>
              <w:rPr>
                <w:b/>
                <w:bCs/>
              </w:rPr>
              <w:t xml:space="preserve">Low</w:t>
            </w:r>
          </w:p>
        </w:tc>
        <w:tc>
          <w:tcPr/>
          <w:p>
            <w:pPr>
              <w:pStyle w:val="Compact"/>
              <w:jc w:val="left"/>
            </w:pPr>
            <w:r>
              <w:t xml:space="preserve">Observation (likely a job condition)</w:t>
            </w:r>
          </w:p>
        </w:tc>
      </w:tr>
      <w:tr>
        <w:tc>
          <w:tcPr/>
          <w:p>
            <w:pPr>
              <w:pStyle w:val="Compact"/>
              <w:jc w:val="left"/>
            </w:pPr>
            <w:r>
              <w:t xml:space="preserve">13</w:t>
            </w:r>
          </w:p>
        </w:tc>
        <w:tc>
          <w:tcPr/>
          <w:p>
            <w:pPr>
              <w:pStyle w:val="Compact"/>
              <w:jc w:val="left"/>
            </w:pPr>
            <w:r>
              <w:t xml:space="preserve">HR Director phone: PERM/PWD (512) 555-0174 vs. email signature (512) 555-0184</w:t>
            </w:r>
          </w:p>
        </w:tc>
        <w:tc>
          <w:tcPr/>
          <w:p>
            <w:pPr>
              <w:pStyle w:val="Compact"/>
              <w:jc w:val="left"/>
            </w:pPr>
            <w:r>
              <w:t xml:space="preserve">PERM § C.11; PWD § 1; HR email</w:t>
            </w:r>
          </w:p>
        </w:tc>
        <w:tc>
          <w:tcPr/>
          <w:p>
            <w:pPr>
              <w:pStyle w:val="Compact"/>
              <w:jc w:val="left"/>
            </w:pPr>
            <w:r>
              <w:rPr>
                <w:b/>
                <w:bCs/>
              </w:rPr>
              <w:t xml:space="preserve">Low</w:t>
            </w:r>
          </w:p>
        </w:tc>
        <w:tc>
          <w:tcPr/>
          <w:p>
            <w:pPr>
              <w:pStyle w:val="Compact"/>
              <w:jc w:val="left"/>
            </w:pPr>
            <w:r>
              <w:t xml:space="preserve">Consistency</w:t>
            </w:r>
          </w:p>
        </w:tc>
      </w:tr>
      <w:tr>
        <w:tc>
          <w:tcPr/>
          <w:p>
            <w:pPr>
              <w:pStyle w:val="Compact"/>
              <w:jc w:val="left"/>
            </w:pPr>
            <w:r>
              <w:t xml:space="preserve">14</w:t>
            </w:r>
          </w:p>
        </w:tc>
        <w:tc>
          <w:tcPr/>
          <w:p>
            <w:pPr>
              <w:pStyle w:val="Compact"/>
              <w:jc w:val="left"/>
            </w:pPr>
            <w:r>
              <w:t xml:space="preserve">Experience letters post-date the PERM filing (3/15/2025) — acceptable, but note timing</w:t>
            </w:r>
          </w:p>
        </w:tc>
        <w:tc>
          <w:tcPr/>
          <w:p>
            <w:pPr>
              <w:pStyle w:val="Compact"/>
              <w:jc w:val="left"/>
            </w:pPr>
            <w:r>
              <w:t xml:space="preserve">DataBridge letter (4/10/2025); Evalpoint letter (3/28/2025)</w:t>
            </w:r>
          </w:p>
        </w:tc>
        <w:tc>
          <w:tcPr/>
          <w:p>
            <w:pPr>
              <w:pStyle w:val="Compact"/>
              <w:jc w:val="left"/>
            </w:pPr>
            <w:r>
              <w:rPr>
                <w:b/>
                <w:bCs/>
              </w:rPr>
              <w:t xml:space="preserve">Informational</w:t>
            </w:r>
          </w:p>
        </w:tc>
        <w:tc>
          <w:tcPr/>
          <w:p>
            <w:pPr>
              <w:pStyle w:val="Compact"/>
              <w:jc w:val="left"/>
            </w:pPr>
            <w:r>
              <w:t xml:space="preserve">Acceptable</w:t>
            </w:r>
          </w:p>
        </w:tc>
      </w:tr>
      <w:tr>
        <w:tc>
          <w:tcPr/>
          <w:p>
            <w:pPr>
              <w:pStyle w:val="Compact"/>
              <w:jc w:val="left"/>
            </w:pPr>
            <w:r>
              <w:t xml:space="preserve">15</w:t>
            </w:r>
          </w:p>
        </w:tc>
        <w:tc>
          <w:tcPr/>
          <w:p>
            <w:pPr>
              <w:pStyle w:val="Compact"/>
              <w:jc w:val="left"/>
            </w:pPr>
            <w:r>
              <w:t xml:space="preserve">Résumé</w:t>
            </w:r>
            <w:r>
              <w:t xml:space="preserve"> </w:t>
            </w:r>
            <w:r>
              <w:t xml:space="preserve">“</w:t>
            </w:r>
            <w:r>
              <w:t xml:space="preserve">7+ years of experience</w:t>
            </w:r>
            <w:r>
              <w:t xml:space="preserve">”</w:t>
            </w:r>
            <w:r>
              <w:t xml:space="preserve"> </w:t>
            </w:r>
            <w:r>
              <w:t xml:space="preserve">(total, incl. pre-master’s) vs. PERM</w:t>
            </w:r>
            <w:r>
              <w:t xml:space="preserve"> </w:t>
            </w:r>
            <w:r>
              <w:t xml:space="preserve">“</w:t>
            </w:r>
            <w:r>
              <w:t xml:space="preserve">7 years post-master’s</w:t>
            </w:r>
            <w:r>
              <w:t xml:space="preserve">”</w:t>
            </w:r>
            <w:r>
              <w:t xml:space="preserve"> </w:t>
            </w:r>
            <w:r>
              <w:t xml:space="preserve">(DataBridge only) — avoid conflation</w:t>
            </w:r>
          </w:p>
        </w:tc>
        <w:tc>
          <w:tcPr/>
          <w:p>
            <w:pPr>
              <w:pStyle w:val="Compact"/>
              <w:jc w:val="left"/>
            </w:pPr>
            <w:r>
              <w:t xml:space="preserve">Résumé; PERM § K.2</w:t>
            </w:r>
          </w:p>
        </w:tc>
        <w:tc>
          <w:tcPr/>
          <w:p>
            <w:pPr>
              <w:pStyle w:val="Compact"/>
              <w:jc w:val="left"/>
            </w:pPr>
            <w:r>
              <w:rPr>
                <w:b/>
                <w:bCs/>
              </w:rPr>
              <w:t xml:space="preserve">Informational</w:t>
            </w:r>
          </w:p>
        </w:tc>
        <w:tc>
          <w:tcPr/>
          <w:p>
            <w:pPr>
              <w:pStyle w:val="Compact"/>
              <w:jc w:val="left"/>
            </w:pPr>
            <w:r>
              <w:t xml:space="preserve">Clarity</w:t>
            </w:r>
          </w:p>
        </w:tc>
      </w:tr>
      <w:tr>
        <w:tc>
          <w:tcPr/>
          <w:p>
            <w:pPr>
              <w:pStyle w:val="Compact"/>
              <w:jc w:val="left"/>
            </w:pPr>
            <w:r>
              <w:t xml:space="preserve">16</w:t>
            </w:r>
          </w:p>
        </w:tc>
        <w:tc>
          <w:tcPr/>
          <w:p>
            <w:pPr>
              <w:pStyle w:val="Compact"/>
              <w:jc w:val="left"/>
            </w:pPr>
            <w:r>
              <w:t xml:space="preserve">Recruitment report (G.3) rejected the 3 U.S. applicants for education (2) and experience (1) —</w:t>
            </w:r>
            <w:r>
              <w:t xml:space="preserve"> </w:t>
            </w:r>
            <w:r>
              <w:rPr>
                <w:b/>
                <w:bCs/>
              </w:rPr>
              <w:t xml:space="preserve">none for lacking the required AWS ML – Specialty certification</w:t>
            </w:r>
            <w:r>
              <w:t xml:space="preserve">; if a true minimum requirement, it should have been a screening criterion (</w:t>
            </w:r>
            <w:r>
              <w:t xml:space="preserve">“</w:t>
            </w:r>
            <w:r>
              <w:t xml:space="preserve">requirements not as stated</w:t>
            </w:r>
            <w:r>
              <w:t xml:space="preserve">”</w:t>
            </w:r>
            <w:r>
              <w:t xml:space="preserve"> </w:t>
            </w:r>
            <w:r>
              <w:t xml:space="preserve">exposure)</w:t>
            </w:r>
          </w:p>
        </w:tc>
        <w:tc>
          <w:tcPr/>
          <w:p>
            <w:pPr>
              <w:pStyle w:val="Compact"/>
              <w:jc w:val="left"/>
            </w:pPr>
            <w:r>
              <w:t xml:space="preserve">PERM § G.3; PERM § J.B.5</w:t>
            </w:r>
          </w:p>
        </w:tc>
        <w:tc>
          <w:tcPr/>
          <w:p>
            <w:pPr>
              <w:pStyle w:val="Compact"/>
              <w:jc w:val="left"/>
            </w:pPr>
            <w:r>
              <w:rPr>
                <w:b/>
                <w:bCs/>
              </w:rPr>
              <w:t xml:space="preserve">High</w:t>
            </w:r>
          </w:p>
        </w:tc>
        <w:tc>
          <w:tcPr/>
          <w:p>
            <w:pPr>
              <w:pStyle w:val="Compact"/>
              <w:jc w:val="left"/>
            </w:pPr>
            <w:r>
              <w:t xml:space="preserve">Recruitment-consistency discrepancy</w:t>
            </w:r>
          </w:p>
        </w:tc>
      </w:tr>
      <w:tr>
        <w:tc>
          <w:tcPr/>
          <w:p>
            <w:pPr>
              <w:pStyle w:val="Compact"/>
              <w:jc w:val="left"/>
            </w:pPr>
            <w:r>
              <w:t xml:space="preserve">17</w:t>
            </w:r>
          </w:p>
        </w:tc>
        <w:tc>
          <w:tcPr/>
          <w:p>
            <w:pPr>
              <w:pStyle w:val="Compact"/>
              <w:jc w:val="left"/>
            </w:pPr>
            <w:r>
              <w:t xml:space="preserve">DataBridge Data Scientist I end-date: résumé states</w:t>
            </w:r>
            <w:r>
              <w:t xml:space="preserve"> </w:t>
            </w:r>
            <w:r>
              <w:t xml:space="preserve">“</w:t>
            </w:r>
            <w:r>
              <w:t xml:space="preserve">June 2018 – December 2020,</w:t>
            </w:r>
            <w:r>
              <w:t xml:space="preserve">”</w:t>
            </w:r>
            <w:r>
              <w:t xml:space="preserve"> </w:t>
            </w:r>
            <w:r>
              <w:t xml:space="preserve">while PERM (J.C, Entry 3) and DataBridge letter state</w:t>
            </w:r>
            <w:r>
              <w:t xml:space="preserve"> </w:t>
            </w:r>
            <w:r>
              <w:t xml:space="preserve">“</w:t>
            </w:r>
            <w:r>
              <w:t xml:space="preserve">June 4, 2018 – January 3, 2021</w:t>
            </w:r>
            <w:r>
              <w:t xml:space="preserve">”</w:t>
            </w:r>
            <w:r>
              <w:t xml:space="preserve"> </w:t>
            </w:r>
            <w:r>
              <w:t xml:space="preserve">— minor date inconsistency</w:t>
            </w:r>
          </w:p>
        </w:tc>
        <w:tc>
          <w:tcPr/>
          <w:p>
            <w:pPr>
              <w:pStyle w:val="Compact"/>
              <w:jc w:val="left"/>
            </w:pPr>
            <w:r>
              <w:t xml:space="preserve">Résumé; PERM § J.C, Entry 3; DataBridge letter</w:t>
            </w:r>
          </w:p>
        </w:tc>
        <w:tc>
          <w:tcPr/>
          <w:p>
            <w:pPr>
              <w:pStyle w:val="Compact"/>
              <w:jc w:val="left"/>
            </w:pPr>
            <w:r>
              <w:rPr>
                <w:b/>
                <w:bCs/>
              </w:rPr>
              <w:t xml:space="preserve">Low</w:t>
            </w:r>
          </w:p>
        </w:tc>
        <w:tc>
          <w:tcPr/>
          <w:p>
            <w:pPr>
              <w:pStyle w:val="Compact"/>
              <w:jc w:val="left"/>
            </w:pPr>
            <w:r>
              <w:t xml:space="preserve">Consistency</w:t>
            </w:r>
          </w:p>
        </w:tc>
      </w:tr>
      <w:tr>
        <w:tc>
          <w:tcPr/>
          <w:p>
            <w:pPr>
              <w:pStyle w:val="Compact"/>
              <w:jc w:val="left"/>
            </w:pPr>
            <w:r>
              <w:t xml:space="preserve">18</w:t>
            </w:r>
          </w:p>
        </w:tc>
        <w:tc>
          <w:tcPr/>
          <w:p>
            <w:pPr>
              <w:pStyle w:val="Compact"/>
              <w:jc w:val="left"/>
            </w:pPr>
            <w:r>
              <w:t xml:space="preserve">Ability-to-pay documentation (payroll/financial evidence) is not in the transmitted package; available on request from Cornerpoint Payroll Services (PERM § N.4 attests adequate funds) — I-140 documentation item</w:t>
            </w:r>
          </w:p>
        </w:tc>
        <w:tc>
          <w:tcPr/>
          <w:p>
            <w:pPr>
              <w:pStyle w:val="Compact"/>
              <w:jc w:val="left"/>
            </w:pPr>
            <w:r>
              <w:t xml:space="preserve">PERM § N.4; HR email; PERM Wage Verification Note</w:t>
            </w:r>
          </w:p>
        </w:tc>
        <w:tc>
          <w:tcPr/>
          <w:p>
            <w:pPr>
              <w:pStyle w:val="Compact"/>
              <w:jc w:val="left"/>
            </w:pPr>
            <w:r>
              <w:rPr>
                <w:b/>
                <w:bCs/>
              </w:rPr>
              <w:t xml:space="preserve">Informational</w:t>
            </w:r>
          </w:p>
        </w:tc>
        <w:tc>
          <w:tcPr/>
          <w:p>
            <w:pPr>
              <w:pStyle w:val="Compact"/>
              <w:jc w:val="left"/>
            </w:pPr>
            <w:r>
              <w:t xml:space="preserve">I-140 documentation item</w:t>
            </w:r>
          </w:p>
        </w:tc>
      </w:tr>
    </w:tbl>
    <w:p>
      <w:pPr>
        <w:pStyle w:val="BodyText"/>
      </w:pPr>
      <w:r>
        <w:rPr>
          <w:b/>
          <w:bCs/>
        </w:rPr>
        <w:t xml:space="preserve">Confirmed compliant/consistent items</w:t>
      </w:r>
      <w:r>
        <w:t xml:space="preserve"> </w:t>
      </w:r>
      <w:r>
        <w:t xml:space="preserve">(addressed in Section V): M.S. satisfies the education minimum; IAE evaluation properly scoped to the foreign B.Tech; offered wage exceeds prevailing wage; PWD within validity; SOC 15-2051 consistent across PERM and PWD; PWD minimums consistent with PERM; special skills (a)–(d) supported by DataBridge experience; progressive experience shown by promotion; no qualifying experience gained with the petitioning employer; biographic/identity data (DOB, passport, address, SEVIS, I-94) consistent across the PERM, résumé, transcript, IAE evaluation, and HR email.</w:t>
      </w:r>
    </w:p>
    <w:p>
      <w:r>
        <w:pict>
          <v:rect style="width:0;height:1.5pt" o:hralign="center" o:hrstd="t" o:hr="t"/>
        </w:pict>
      </w:r>
    </w:p>
    <w:bookmarkEnd w:id="22"/>
    <w:bookmarkStart w:id="32" w:name="X4edb6c82f09524fbfc5beea98a5de53e146a273"/>
    <w:p>
      <w:pPr>
        <w:pStyle w:val="Heading2"/>
      </w:pPr>
      <w:r>
        <w:t xml:space="preserve">IV. Detailed Gap Analysis and Remedial Recommendations</w:t>
      </w:r>
    </w:p>
    <w:bookmarkStart w:id="23" w:name="Xbf6ef5ea76bd023fad04ab1b1d734d691ded819"/>
    <w:p>
      <w:pPr>
        <w:pStyle w:val="Heading3"/>
      </w:pPr>
      <w:r>
        <w:t xml:space="preserve">A. Certification Requirement (Critical) — Issues 1–4, 16</w:t>
      </w:r>
    </w:p>
    <w:p>
      <w:pPr>
        <w:pStyle w:val="FirstParagraph"/>
      </w:pPr>
      <w:r>
        <w:rPr>
          <w:b/>
          <w:bCs/>
        </w:rPr>
        <w:t xml:space="preserve">1. The required AWS Certified Machine Learning – Specialty certification is not held by the beneficiary.</w:t>
      </w:r>
    </w:p>
    <w:p>
      <w:pPr>
        <w:pStyle w:val="BodyText"/>
      </w:pPr>
      <w:r>
        <w:t xml:space="preserve">PERM Section J.B.5 states that the position requires the</w:t>
      </w:r>
      <w:r>
        <w:t xml:space="preserve"> </w:t>
      </w:r>
      <w:r>
        <w:t xml:space="preserve">“</w:t>
      </w:r>
      <w:r>
        <w:t xml:space="preserve">AWS Certified Machine Learning – Specialty certification or equivalent.</w:t>
      </w:r>
      <w:r>
        <w:t xml:space="preserve">”</w:t>
      </w:r>
      <w:r>
        <w:t xml:space="preserve"> </w:t>
      </w:r>
      <w:r>
        <w:t xml:space="preserve">Section K.3 of the certified PERM attests that the beneficiary</w:t>
      </w:r>
      <w:r>
        <w:t xml:space="preserve"> </w:t>
      </w:r>
      <w:r>
        <w:t xml:space="preserve">“</w:t>
      </w:r>
      <w:r>
        <w:t xml:space="preserve">possess[es] the special skills and other requirements stated in Section J.B.5.</w:t>
      </w:r>
      <w:r>
        <w:t xml:space="preserve">”</w:t>
      </w:r>
      <w:r>
        <w:t xml:space="preserve"> </w:t>
      </w:r>
      <w:r>
        <w:t xml:space="preserve">The compiled certifications, however, contain only two credentials, and the Certification Verification Notes expressly state that</w:t>
      </w:r>
      <w:r>
        <w:t xml:space="preserve"> </w:t>
      </w:r>
      <w:r>
        <w:t xml:space="preserve">“</w:t>
      </w:r>
      <w:r>
        <w:t xml:space="preserve">counsel specifically inquired whether the beneficiary holds the AWS Certified Machine Learning – Specialty certification or any other AWS specialty-level certification; the beneficiary confirmed she does not hold any such certification.</w:t>
      </w:r>
      <w:r>
        <w:t xml:space="preserve">”</w:t>
      </w:r>
      <w:r>
        <w:t xml:space="preserve"> </w:t>
      </w:r>
      <w:r>
        <w:t xml:space="preserve">The beneficiary therefore does not meet this minimum special requirement as attested.</w:t>
      </w:r>
    </w:p>
    <w:p>
      <w:pPr>
        <w:pStyle w:val="BodyText"/>
      </w:pPr>
      <w:r>
        <w:rPr>
          <w:b/>
          <w:bCs/>
        </w:rPr>
        <w:t xml:space="preserve">2. Neither held certification satisfies the</w:t>
      </w:r>
      <w:r>
        <w:rPr>
          <w:b/>
          <w:bCs/>
        </w:rPr>
        <w:t xml:space="preserve"> </w:t>
      </w:r>
      <w:r>
        <w:rPr>
          <w:b/>
          <w:bCs/>
        </w:rPr>
        <w:t xml:space="preserve">“</w:t>
      </w:r>
      <w:r>
        <w:rPr>
          <w:b/>
          <w:bCs/>
        </w:rPr>
        <w:t xml:space="preserve">or equivalent</w:t>
      </w:r>
      <w:r>
        <w:rPr>
          <w:b/>
          <w:bCs/>
        </w:rPr>
        <w:t xml:space="preserve">”</w:t>
      </w:r>
      <w:r>
        <w:rPr>
          <w:b/>
          <w:bCs/>
        </w:rPr>
        <w:t xml:space="preserve"> </w:t>
      </w:r>
      <w:r>
        <w:rPr>
          <w:b/>
          <w:bCs/>
        </w:rPr>
        <w:t xml:space="preserve">language.</w:t>
      </w:r>
    </w:p>
    <w:p>
      <w:pPr>
        <w:pStyle w:val="Compact"/>
        <w:numPr>
          <w:ilvl w:val="0"/>
          <w:numId w:val="1001"/>
        </w:numPr>
      </w:pPr>
      <w:r>
        <w:rPr>
          <w:b/>
          <w:bCs/>
        </w:rPr>
        <w:t xml:space="preserve">AWS Certified Cloud Practitioner</w:t>
      </w:r>
      <w:r>
        <w:t xml:space="preserve"> </w:t>
      </w:r>
      <w:r>
        <w:t xml:space="preserve">(Validation No. AWS-CCP-2022-0418-MEHROTRA): This is a</w:t>
      </w:r>
      <w:r>
        <w:t xml:space="preserve"> </w:t>
      </w:r>
      <w:r>
        <w:rPr>
          <w:b/>
          <w:bCs/>
        </w:rPr>
        <w:t xml:space="preserve">foundational-level</w:t>
      </w:r>
      <w:r>
        <w:t xml:space="preserve"> </w:t>
      </w:r>
      <w:r>
        <w:t xml:space="preserve">credential that, per the compilation,</w:t>
      </w:r>
      <w:r>
        <w:t xml:space="preserve"> </w:t>
      </w:r>
      <w:r>
        <w:t xml:space="preserve">“</w:t>
      </w:r>
      <w:r>
        <w:t xml:space="preserve">does not demonstrate specialization in any specific AWS service domain, including machine learning.</w:t>
      </w:r>
      <w:r>
        <w:t xml:space="preserve">”</w:t>
      </w:r>
      <w:r>
        <w:t xml:space="preserve"> </w:t>
      </w:r>
      <w:r>
        <w:t xml:space="preserve">It is</w:t>
      </w:r>
      <w:r>
        <w:t xml:space="preserve"> </w:t>
      </w:r>
      <w:r>
        <w:rPr>
          <w:b/>
          <w:bCs/>
        </w:rPr>
        <w:t xml:space="preserve">not</w:t>
      </w:r>
      <w:r>
        <w:t xml:space="preserve"> </w:t>
      </w:r>
      <w:r>
        <w:t xml:space="preserve">equivalent to the AWS ML – Specialty certification. Moreover, it</w:t>
      </w:r>
      <w:r>
        <w:t xml:space="preserve"> </w:t>
      </w:r>
      <w:r>
        <w:rPr>
          <w:b/>
          <w:bCs/>
        </w:rPr>
        <w:t xml:space="preserve">expired on January 18, 2025</w:t>
      </w:r>
      <w:r>
        <w:t xml:space="preserve"> </w:t>
      </w:r>
      <w:r>
        <w:t xml:space="preserve">— approximately two months</w:t>
      </w:r>
      <w:r>
        <w:t xml:space="preserve"> </w:t>
      </w:r>
      <w:r>
        <w:rPr>
          <w:b/>
          <w:bCs/>
        </w:rPr>
        <w:t xml:space="preserve">before</w:t>
      </w:r>
      <w:r>
        <w:t xml:space="preserve"> </w:t>
      </w:r>
      <w:r>
        <w:t xml:space="preserve">the PERM filing date of March 15, 2025 — and the beneficiary has not renewed it. It was therefore expired at the time of filing and at certification.</w:t>
      </w:r>
    </w:p>
    <w:p>
      <w:pPr>
        <w:pStyle w:val="Compact"/>
        <w:numPr>
          <w:ilvl w:val="0"/>
          <w:numId w:val="1001"/>
        </w:numPr>
      </w:pPr>
      <w:r>
        <w:rPr>
          <w:b/>
          <w:bCs/>
        </w:rPr>
        <w:t xml:space="preserve">TensorFlow Developer Certificate</w:t>
      </w:r>
      <w:r>
        <w:t xml:space="preserve"> </w:t>
      </w:r>
      <w:r>
        <w:t xml:space="preserve">(Validation No. TF-DEV-2023-0310-AM, issued March 10, 2023, no expiration): This is issued by</w:t>
      </w:r>
      <w:r>
        <w:t xml:space="preserve"> </w:t>
      </w:r>
      <w:r>
        <w:rPr>
          <w:b/>
          <w:bCs/>
        </w:rPr>
        <w:t xml:space="preserve">Google</w:t>
      </w:r>
      <w:r>
        <w:t xml:space="preserve">, is</w:t>
      </w:r>
      <w:r>
        <w:t xml:space="preserve"> </w:t>
      </w:r>
      <w:r>
        <w:rPr>
          <w:b/>
          <w:bCs/>
        </w:rPr>
        <w:t xml:space="preserve">framework-specific to TensorFlow</w:t>
      </w:r>
      <w:r>
        <w:t xml:space="preserve">, and</w:t>
      </w:r>
      <w:r>
        <w:t xml:space="preserve"> </w:t>
      </w:r>
      <w:r>
        <w:t xml:space="preserve">“</w:t>
      </w:r>
      <w:r>
        <w:t xml:space="preserve">is not affiliated with Amazon Web Services (AWS).</w:t>
      </w:r>
      <w:r>
        <w:t xml:space="preserve">”</w:t>
      </w:r>
      <w:r>
        <w:t xml:space="preserve"> </w:t>
      </w:r>
      <w:r>
        <w:t xml:space="preserve">It validates TensorFlow model-building skill, not AWS-based ML deployment or the breadth of the AWS ML – Specialty scope. It is not an</w:t>
      </w:r>
      <w:r>
        <w:t xml:space="preserve"> </w:t>
      </w:r>
      <w:r>
        <w:t xml:space="preserve">“</w:t>
      </w:r>
      <w:r>
        <w:t xml:space="preserve">equivalent.</w:t>
      </w:r>
      <w:r>
        <w:t xml:space="preserve">”</w:t>
      </w:r>
    </w:p>
    <w:p>
      <w:pPr>
        <w:pStyle w:val="FirstParagraph"/>
      </w:pPr>
      <w:r>
        <w:t xml:space="preserve">Accordingly, the</w:t>
      </w:r>
      <w:r>
        <w:t xml:space="preserve"> </w:t>
      </w:r>
      <w:r>
        <w:t xml:space="preserve">“</w:t>
      </w:r>
      <w:r>
        <w:t xml:space="preserve">or equivalent</w:t>
      </w:r>
      <w:r>
        <w:t xml:space="preserve">”</w:t>
      </w:r>
      <w:r>
        <w:t xml:space="preserve"> </w:t>
      </w:r>
      <w:r>
        <w:t xml:space="preserve">alternative is not satisfied by either credential.</w:t>
      </w:r>
    </w:p>
    <w:p>
      <w:pPr>
        <w:pStyle w:val="BodyText"/>
      </w:pPr>
      <w:r>
        <w:rPr>
          <w:b/>
          <w:bCs/>
        </w:rPr>
        <w:t xml:space="preserve">3. The K.3 attestation is inconsistent with the credential record.</w:t>
      </w:r>
    </w:p>
    <w:p>
      <w:pPr>
        <w:pStyle w:val="BodyText"/>
      </w:pPr>
      <w:r>
        <w:t xml:space="preserve">Because J.B.5 includes the AWS ML – Specialty certification as a required special skill and K.3 attests that the beneficiary possesses all such special skills, the K.3 attestation is inconsistent with the documented credentials. Under 20 CFR Part 656, material misstatements in a PERM application can subject a certification to revocation and the employer (and beneficiary) to further consequences; the alien declaration on the form itself references potential penalties under 18 U.S.C. § 1546. This is the most significant exposure in the file.</w:t>
      </w:r>
    </w:p>
    <w:p>
      <w:pPr>
        <w:pStyle w:val="BodyText"/>
      </w:pPr>
      <w:r>
        <w:rPr>
          <w:b/>
          <w:bCs/>
        </w:rPr>
        <w:t xml:space="preserve">4. The certification requirement may not be</w:t>
      </w:r>
      <w:r>
        <w:rPr>
          <w:b/>
          <w:bCs/>
        </w:rPr>
        <w:t xml:space="preserve"> </w:t>
      </w:r>
      <w:r>
        <w:rPr>
          <w:b/>
          <w:bCs/>
        </w:rPr>
        <w:t xml:space="preserve">“</w:t>
      </w:r>
      <w:r>
        <w:rPr>
          <w:b/>
          <w:bCs/>
        </w:rPr>
        <w:t xml:space="preserve">normal to the occupation.</w:t>
      </w:r>
      <w:r>
        <w:rPr>
          <w:b/>
          <w:bCs/>
        </w:rPr>
        <w:t xml:space="preserve">”</w:t>
      </w:r>
    </w:p>
    <w:p>
      <w:pPr>
        <w:pStyle w:val="BodyText"/>
      </w:pPr>
      <w:r>
        <w:t xml:space="preserve">Under 20 CFR 656.17(h), a requirement that is not normal to the occupation must be justified by business necessity (i.e., job-relatedness and consistency with business necessity). A specific vendor specialty certification is arguably not normal to the Data Scientist occupation (SOC 15-2051). If the application is audited, DOL may challenge whether the certification requirement is normal and business-necessary — a vulnerability that is compounded by the fact that the beneficiary does not hold the credential.</w:t>
      </w:r>
    </w:p>
    <w:p>
      <w:pPr>
        <w:pStyle w:val="BodyText"/>
      </w:pPr>
      <w:r>
        <w:rPr>
          <w:b/>
          <w:bCs/>
        </w:rPr>
        <w:t xml:space="preserve">5. The recruitment did not screen applicants for the required certification (Issue 16).</w:t>
      </w:r>
      <w:r>
        <w:t xml:space="preserve"> </w:t>
      </w:r>
      <w:r>
        <w:t xml:space="preserve">The PERM recruitment report (Section G.3) states that three (3) U.S. applicants were received and that all three were found unqualified — two (2) for</w:t>
      </w:r>
      <w:r>
        <w:t xml:space="preserve"> </w:t>
      </w:r>
      <w:r>
        <w:t xml:space="preserve">“</w:t>
      </w:r>
      <w:r>
        <w:t xml:space="preserve">lacking the required educational credentials</w:t>
      </w:r>
      <w:r>
        <w:t xml:space="preserve">”</w:t>
      </w:r>
      <w:r>
        <w:t xml:space="preserve"> </w:t>
      </w:r>
      <w:r>
        <w:t xml:space="preserve">and one (1) for</w:t>
      </w:r>
      <w:r>
        <w:t xml:space="preserve"> </w:t>
      </w:r>
      <w:r>
        <w:t xml:space="preserve">“</w:t>
      </w:r>
      <w:r>
        <w:t xml:space="preserve">lacking the required minimum years of experience.</w:t>
      </w:r>
      <w:r>
        <w:t xml:space="preserve">”</w:t>
      </w:r>
      <w:r>
        <w:t xml:space="preserve"> </w:t>
      </w:r>
      <w:r>
        <w:t xml:space="preserve">None was rejected for lacking the AWS Certified Machine Learning – Specialty certification, even though that certification is stated as a minimum special requirement in J.B.5. If the certification is a genuine minimum requirement, it should have been applied as a screening criterion against U.S. applicants; the report’s silence on certification-based rejection raises a</w:t>
      </w:r>
      <w:r>
        <w:t xml:space="preserve"> </w:t>
      </w:r>
      <w:r>
        <w:t xml:space="preserve">“</w:t>
      </w:r>
      <w:r>
        <w:t xml:space="preserve">requirements not as stated</w:t>
      </w:r>
      <w:r>
        <w:t xml:space="preserve">”</w:t>
      </w:r>
      <w:r>
        <w:t xml:space="preserve"> </w:t>
      </w:r>
      <w:r>
        <w:t xml:space="preserve">exposure under 20 CFR 656.17 and is a distinct audit vulnerability from the beneficiary’s own lack of the credential. We further note that the full underlying recruitment documentation (the SWA job order TX-8247163, the two Austin American-Statesman Sunday advertisements of December 8 and 22, 2024, and the additional recruitment steps) is not in the transmitted package; the HR email states it is on file with the employer and Broadleaf Staffing Advisors and available on request.</w:t>
      </w:r>
    </w:p>
    <w:p>
      <w:pPr>
        <w:pStyle w:val="BodyText"/>
      </w:pPr>
      <w:r>
        <w:rPr>
          <w:b/>
          <w:bCs/>
        </w:rPr>
        <w:t xml:space="preserve">Remedial recommendations (Priority 1):</w:t>
      </w:r>
    </w:p>
    <w:p>
      <w:pPr>
        <w:pStyle w:val="Compact"/>
        <w:numPr>
          <w:ilvl w:val="0"/>
          <w:numId w:val="1002"/>
        </w:numPr>
      </w:pPr>
      <w:r>
        <w:rPr>
          <w:b/>
          <w:bCs/>
        </w:rPr>
        <w:t xml:space="preserve">Counsel the employer on the attestation discrepancy.</w:t>
      </w:r>
      <w:r>
        <w:t xml:space="preserve"> </w:t>
      </w:r>
      <w:r>
        <w:t xml:space="preserve">We will advise Prismex in writing of the inconsistency between K.3 and the credential record and the resulting audit, revocation, and I-140 exposure, and document the employer’s informed decision on how to proceed.</w:t>
      </w:r>
    </w:p>
    <w:p>
      <w:pPr>
        <w:pStyle w:val="Compact"/>
        <w:numPr>
          <w:ilvl w:val="0"/>
          <w:numId w:val="1002"/>
        </w:numPr>
      </w:pPr>
      <w:r>
        <w:rPr>
          <w:b/>
          <w:bCs/>
        </w:rPr>
        <w:t xml:space="preserve">Obtain the AWS Certified Machine Learning – Specialty certification for the beneficiary as quickly as practicable.</w:t>
      </w:r>
      <w:r>
        <w:t xml:space="preserve"> </w:t>
      </w:r>
      <w:r>
        <w:rPr>
          <w:i/>
          <w:iCs/>
        </w:rPr>
        <w:t xml:space="preserve">Caution on timing:</w:t>
      </w:r>
      <w:r>
        <w:t xml:space="preserve"> </w:t>
      </w:r>
      <w:r>
        <w:t xml:space="preserve">for PERM purposes the beneficiary must have met the minimum requirements</w:t>
      </w:r>
      <w:r>
        <w:t xml:space="preserve"> </w:t>
      </w:r>
      <w:r>
        <w:rPr>
          <w:b/>
          <w:bCs/>
        </w:rPr>
        <w:t xml:space="preserve">at the time of filing</w:t>
      </w:r>
      <w:r>
        <w:t xml:space="preserve"> </w:t>
      </w:r>
      <w:r>
        <w:t xml:space="preserve">(March 15, 2025), and USCIS evaluates I-140 qualification as of the PERM filing date. A certification obtained after filing does not retroactively cure the K.3 attestation as of the filing date and may not cure the I-140 qualification analysis. We will assess whether the certification can be earned before I-140 filing/adjudication and how best to present it.</w:t>
      </w:r>
    </w:p>
    <w:p>
      <w:pPr>
        <w:pStyle w:val="Compact"/>
        <w:numPr>
          <w:ilvl w:val="0"/>
          <w:numId w:val="1002"/>
        </w:numPr>
      </w:pPr>
      <w:r>
        <w:rPr>
          <w:b/>
          <w:bCs/>
        </w:rPr>
        <w:t xml:space="preserve">Assemble business-necessity documentation</w:t>
      </w:r>
      <w:r>
        <w:t xml:space="preserve"> </w:t>
      </w:r>
      <w:r>
        <w:t xml:space="preserve">for the certification requirement (job-relatedness to the healthcare/fintech ML-deployment duties and business necessity), in anticipation of audit.</w:t>
      </w:r>
    </w:p>
    <w:p>
      <w:pPr>
        <w:pStyle w:val="Compact"/>
        <w:numPr>
          <w:ilvl w:val="0"/>
          <w:numId w:val="1002"/>
        </w:numPr>
      </w:pPr>
      <w:r>
        <w:rPr>
          <w:b/>
          <w:bCs/>
        </w:rPr>
        <w:t xml:space="preserve">Review the recruitment record for consistency with the certification requirement (Issue 16).</w:t>
      </w:r>
      <w:r>
        <w:t xml:space="preserve"> </w:t>
      </w:r>
      <w:r>
        <w:t xml:space="preserve">Confirm whether the AWS ML – Specialty certification was actually applied as a screening criterion against U.S. applicants, and evaluate any</w:t>
      </w:r>
      <w:r>
        <w:t xml:space="preserve"> </w:t>
      </w:r>
      <w:r>
        <w:t xml:space="preserve">“</w:t>
      </w:r>
      <w:r>
        <w:t xml:space="preserve">requirements not as stated</w:t>
      </w:r>
      <w:r>
        <w:t xml:space="preserve">”</w:t>
      </w:r>
      <w:r>
        <w:t xml:space="preserve"> </w:t>
      </w:r>
      <w:r>
        <w:t xml:space="preserve">exposure given that the recruitment report (G.3) cites only education- and experience-based rejections.</w:t>
      </w:r>
    </w:p>
    <w:p>
      <w:pPr>
        <w:pStyle w:val="Compact"/>
        <w:numPr>
          <w:ilvl w:val="0"/>
          <w:numId w:val="1002"/>
        </w:numPr>
      </w:pPr>
      <w:r>
        <w:rPr>
          <w:b/>
          <w:bCs/>
        </w:rPr>
        <w:t xml:space="preserve">Evaluate post-certification correction options.</w:t>
      </w:r>
      <w:r>
        <w:t xml:space="preserve"> </w:t>
      </w:r>
      <w:r>
        <w:t xml:space="preserve">DOL permits only limited amendments after certification; a substantive change to the minimum requirements generally cannot be made post-certification and would require refiling (new PWD and recruitment), which is in tension with the September 15, 2025 STEM OPT deadline. We will weigh refiling, proceeding with documented audit risk, and obtaining the certification, and recommend a path.</w:t>
      </w:r>
    </w:p>
    <w:p>
      <w:pPr>
        <w:pStyle w:val="Compact"/>
        <w:numPr>
          <w:ilvl w:val="0"/>
          <w:numId w:val="1002"/>
        </w:numPr>
      </w:pPr>
      <w:r>
        <w:rPr>
          <w:b/>
          <w:bCs/>
        </w:rPr>
        <w:t xml:space="preserve">Do not file the I-140</w:t>
      </w:r>
      <w:r>
        <w:t xml:space="preserve"> </w:t>
      </w:r>
      <w:r>
        <w:t xml:space="preserve">until the certification issue is resolved or a documented, informed risk decision is made by the employer.</w:t>
      </w:r>
    </w:p>
    <w:p>
      <w:pPr>
        <w:pStyle w:val="Compact"/>
        <w:numPr>
          <w:ilvl w:val="0"/>
          <w:numId w:val="1002"/>
        </w:numPr>
      </w:pPr>
      <w:r>
        <w:rPr>
          <w:b/>
          <w:bCs/>
        </w:rPr>
        <w:t xml:space="preserve">Request and review the full underlying recruitment file</w:t>
      </w:r>
      <w:r>
        <w:t xml:space="preserve"> </w:t>
      </w:r>
      <w:r>
        <w:t xml:space="preserve">(SWA job order TX-8247163; the two Austin American-Statesman Sunday advertisements of December 8 and 22, 2024; and the additional recruitment steps) from the employer and Broadleaf Staffing Advisors — this documentation is not in the transmitted package but is on file and available on request (per the HR email) — and reconcile it with the J.B.5 certification requirement (Issue 16).</w:t>
      </w:r>
    </w:p>
    <w:bookmarkEnd w:id="23"/>
    <w:bookmarkStart w:id="24" w:name="X58c306aa8b035f6143bd64d437122df359a9144"/>
    <w:p>
      <w:pPr>
        <w:pStyle w:val="Heading3"/>
      </w:pPr>
      <w:r>
        <w:t xml:space="preserve">B. R Programming Proficiency (Material) — Issue 5</w:t>
      </w:r>
    </w:p>
    <w:p>
      <w:pPr>
        <w:pStyle w:val="FirstParagraph"/>
      </w:pPr>
      <w:r>
        <w:t xml:space="preserve">PERM Section J.B.5(e) and the job description (H.10) require</w:t>
      </w:r>
      <w:r>
        <w:t xml:space="preserve"> </w:t>
      </w:r>
      <w:r>
        <w:t xml:space="preserve">“</w:t>
      </w:r>
      <w:r>
        <w:t xml:space="preserve">proficiency in Python and R programming languages.</w:t>
      </w:r>
      <w:r>
        <w:t xml:space="preserve">”</w:t>
      </w:r>
      <w:r>
        <w:t xml:space="preserve"> </w:t>
      </w:r>
      <w:r>
        <w:t xml:space="preserve">The record documents</w:t>
      </w:r>
      <w:r>
        <w:t xml:space="preserve"> </w:t>
      </w:r>
      <w:r>
        <w:rPr>
          <w:b/>
          <w:bCs/>
        </w:rPr>
        <w:t xml:space="preserve">expert</w:t>
      </w:r>
      <w:r>
        <w:t xml:space="preserve"> </w:t>
      </w:r>
      <w:r>
        <w:t xml:space="preserve">Python proficiency but characterizes R only as</w:t>
      </w:r>
      <w:r>
        <w:t xml:space="preserve"> </w:t>
      </w:r>
      <w:r>
        <w:rPr>
          <w:b/>
          <w:bCs/>
        </w:rPr>
        <w:t xml:space="preserve">“</w:t>
      </w:r>
      <w:r>
        <w:rPr>
          <w:b/>
          <w:bCs/>
        </w:rPr>
        <w:t xml:space="preserve">intermediate</w:t>
      </w:r>
      <w:r>
        <w:rPr>
          <w:b/>
          <w:bCs/>
        </w:rPr>
        <w:t xml:space="preserve">”</w:t>
      </w:r>
      <w:r>
        <w:t xml:space="preserve"> </w:t>
      </w:r>
      <w:r>
        <w:t xml:space="preserve">(résumé) and</w:t>
      </w:r>
      <w:r>
        <w:t xml:space="preserve"> </w:t>
      </w:r>
      <w:r>
        <w:rPr>
          <w:b/>
          <w:bCs/>
        </w:rPr>
        <w:t xml:space="preserve">“</w:t>
      </w:r>
      <w:r>
        <w:rPr>
          <w:b/>
          <w:bCs/>
        </w:rPr>
        <w:t xml:space="preserve">some use of R for statistical reporting and ad hoc data analysis</w:t>
      </w:r>
      <w:r>
        <w:rPr>
          <w:b/>
          <w:bCs/>
        </w:rPr>
        <w:t xml:space="preserve">”</w:t>
      </w:r>
      <w:r>
        <w:t xml:space="preserve"> </w:t>
      </w:r>
      <w:r>
        <w:t xml:space="preserve">(DataBridge letter).</w:t>
      </w:r>
      <w:r>
        <w:t xml:space="preserve"> </w:t>
      </w:r>
      <w:r>
        <w:t xml:space="preserve">“</w:t>
      </w:r>
      <w:r>
        <w:t xml:space="preserve">Some use</w:t>
      </w:r>
      <w:r>
        <w:t xml:space="preserve">”</w:t>
      </w:r>
      <w:r>
        <w:t xml:space="preserve">/</w:t>
      </w:r>
      <w:r>
        <w:t xml:space="preserve">“</w:t>
      </w:r>
      <w:r>
        <w:t xml:space="preserve">intermediate</w:t>
      </w:r>
      <w:r>
        <w:t xml:space="preserve">”</w:t>
      </w:r>
      <w:r>
        <w:t xml:space="preserve"> </w:t>
      </w:r>
      <w:r>
        <w:t xml:space="preserve">may not rise to</w:t>
      </w:r>
      <w:r>
        <w:t xml:space="preserve"> </w:t>
      </w:r>
      <w:r>
        <w:t xml:space="preserve">“</w:t>
      </w:r>
      <w:r>
        <w:t xml:space="preserve">proficiency</w:t>
      </w:r>
      <w:r>
        <w:t xml:space="preserve">”</w:t>
      </w:r>
      <w:r>
        <w:t xml:space="preserve"> </w:t>
      </w:r>
      <w:r>
        <w:t xml:space="preserve">and could be challenged as insufficient to meet the attested minimum. We note, however, that the record does contain some academic support for R competency: the NC State transcript shows the beneficiary completed</w:t>
      </w:r>
      <w:r>
        <w:t xml:space="preserve"> </w:t>
      </w:r>
      <w:r>
        <w:rPr>
          <w:b/>
          <w:bCs/>
        </w:rPr>
        <w:t xml:space="preserve">ST 558,</w:t>
      </w:r>
      <w:r>
        <w:rPr>
          <w:b/>
          <w:bCs/>
        </w:rPr>
        <w:t xml:space="preserve"> </w:t>
      </w:r>
      <w:r>
        <w:rPr>
          <w:b/>
          <w:bCs/>
        </w:rPr>
        <w:t xml:space="preserve">“</w:t>
      </w:r>
      <w:r>
        <w:rPr>
          <w:b/>
          <w:bCs/>
        </w:rPr>
        <w:t xml:space="preserve">Statistical Computing with R</w:t>
      </w:r>
      <w:r>
        <w:rPr>
          <w:b/>
          <w:bCs/>
        </w:rPr>
        <w:t xml:space="preserve">”</w:t>
      </w:r>
      <w:r>
        <w:rPr>
          <w:b/>
          <w:bCs/>
        </w:rPr>
        <w:t xml:space="preserve"> </w:t>
      </w:r>
      <w:r>
        <w:rPr>
          <w:b/>
          <w:bCs/>
        </w:rPr>
        <w:t xml:space="preserve">(grade A-, Spring 2017)</w:t>
      </w:r>
      <w:r>
        <w:t xml:space="preserve">, and the résumé lists</w:t>
      </w:r>
      <w:r>
        <w:t xml:space="preserve"> </w:t>
      </w:r>
      <w:r>
        <w:t xml:space="preserve">“</w:t>
      </w:r>
      <w:r>
        <w:t xml:space="preserve">Statistical Computing with R</w:t>
      </w:r>
      <w:r>
        <w:t xml:space="preserve">”</w:t>
      </w:r>
      <w:r>
        <w:t xml:space="preserve"> </w:t>
      </w:r>
      <w:r>
        <w:t xml:space="preserve">among her relevant coursework. This formal coursework provides partial support for R competency, but because J.B.5(e) frames the requirement as experience-based (</w:t>
      </w:r>
      <w:r>
        <w:t xml:space="preserve">“</w:t>
      </w:r>
      <w:r>
        <w:t xml:space="preserve">Experience must include… proficiency in Python and R</w:t>
      </w:r>
      <w:r>
        <w:t xml:space="preserve">”</w:t>
      </w:r>
      <w:r>
        <w:t xml:space="preserve">), academic coursework alone may not satisfy it, and the professional-experience evidence of R remains thin.</w:t>
      </w:r>
    </w:p>
    <w:p>
      <w:pPr>
        <w:pStyle w:val="BodyText"/>
      </w:pPr>
      <w:r>
        <w:rPr>
          <w:b/>
          <w:bCs/>
        </w:rPr>
        <w:t xml:space="preserve">Remedial recommendations (Priority 2):</w:t>
      </w:r>
    </w:p>
    <w:p>
      <w:pPr>
        <w:pStyle w:val="Compact"/>
        <w:numPr>
          <w:ilvl w:val="0"/>
          <w:numId w:val="1003"/>
        </w:numPr>
      </w:pPr>
      <w:r>
        <w:t xml:space="preserve">Obtain</w:t>
      </w:r>
      <w:r>
        <w:t xml:space="preserve"> </w:t>
      </w:r>
      <w:r>
        <w:rPr>
          <w:b/>
          <w:bCs/>
        </w:rPr>
        <w:t xml:space="preserve">supplemental evidence of R proficiency</w:t>
      </w:r>
      <w:r>
        <w:t xml:space="preserve"> </w:t>
      </w:r>
      <w:r>
        <w:t xml:space="preserve">— e.g., an amended or supplemental experience letter from DataBridge detailing specific R-based deliverables, packages, and models; R-based project artifacts; or R training/certification.</w:t>
      </w:r>
    </w:p>
    <w:p>
      <w:pPr>
        <w:pStyle w:val="Compact"/>
        <w:numPr>
          <w:ilvl w:val="0"/>
          <w:numId w:val="1003"/>
        </w:numPr>
      </w:pPr>
      <w:r>
        <w:t xml:space="preserve">If the beneficiary’s R skills are genuinely proficient, document them with specifics (statistical reporting products, R packages used, models built in R).</w:t>
      </w:r>
    </w:p>
    <w:p>
      <w:pPr>
        <w:pStyle w:val="Compact"/>
        <w:numPr>
          <w:ilvl w:val="0"/>
          <w:numId w:val="1003"/>
        </w:numPr>
      </w:pPr>
      <w:r>
        <w:t xml:space="preserve">If R proficiency cannot be substantiated at the</w:t>
      </w:r>
      <w:r>
        <w:t xml:space="preserve"> </w:t>
      </w:r>
      <w:r>
        <w:t xml:space="preserve">“</w:t>
      </w:r>
      <w:r>
        <w:t xml:space="preserve">proficiency</w:t>
      </w:r>
      <w:r>
        <w:t xml:space="preserve">”</w:t>
      </w:r>
      <w:r>
        <w:t xml:space="preserve"> </w:t>
      </w:r>
      <w:r>
        <w:t xml:space="preserve">level, assess whether</w:t>
      </w:r>
      <w:r>
        <w:t xml:space="preserve"> </w:t>
      </w:r>
      <w:r>
        <w:t xml:space="preserve">“</w:t>
      </w:r>
      <w:r>
        <w:t xml:space="preserve">intermediate</w:t>
      </w:r>
      <w:r>
        <w:t xml:space="preserve">”</w:t>
      </w:r>
      <w:r>
        <w:t xml:space="preserve">/</w:t>
      </w:r>
      <w:r>
        <w:t xml:space="preserve">“</w:t>
      </w:r>
      <w:r>
        <w:t xml:space="preserve">some use</w:t>
      </w:r>
      <w:r>
        <w:t xml:space="preserve">”</w:t>
      </w:r>
      <w:r>
        <w:t xml:space="preserve"> </w:t>
      </w:r>
      <w:r>
        <w:t xml:space="preserve">is defensible (likely insufficient) and whether the requirement should be revisited for audit-defense purposes. Note that R is more normal to the Data Scientist occupation than the AWS certification, so the requirement itself is more defensible; the issue is the level of supporting evidence.</w:t>
      </w:r>
    </w:p>
    <w:bookmarkEnd w:id="24"/>
    <w:bookmarkStart w:id="25" w:name="c.-fein-discrepancy-material-issue-6"/>
    <w:p>
      <w:pPr>
        <w:pStyle w:val="Heading3"/>
      </w:pPr>
      <w:r>
        <w:t xml:space="preserve">C. FEIN Discrepancy (Material) — Issue 6</w:t>
      </w:r>
    </w:p>
    <w:p>
      <w:pPr>
        <w:pStyle w:val="FirstParagraph"/>
      </w:pPr>
      <w:r>
        <w:t xml:space="preserve">The PERM (Section C.7) lists the employer’s Federal Employer Identification Number as</w:t>
      </w:r>
      <w:r>
        <w:t xml:space="preserve"> </w:t>
      </w:r>
      <w:r>
        <w:rPr>
          <w:b/>
          <w:bCs/>
        </w:rPr>
        <w:t xml:space="preserve">84-3291756</w:t>
      </w:r>
      <w:r>
        <w:t xml:space="preserve">, while the Prevailing Wage Determination (Section 1) lists</w:t>
      </w:r>
      <w:r>
        <w:t xml:space="preserve"> </w:t>
      </w:r>
      <w:r>
        <w:rPr>
          <w:b/>
          <w:bCs/>
        </w:rPr>
        <w:t xml:space="preserve">84-3291047</w:t>
      </w:r>
      <w:r>
        <w:t xml:space="preserve">. The two FEINs differ. Because the PWD was issued (November 8, 2024) before the PERM filing (March 15, 2025), and the PERM is certified under FEIN 84-3291756, this discrepancy must be reconciled before the I-140 is filed, as USCIS will verify the petitioner’s identity against the certified PERM.</w:t>
      </w:r>
    </w:p>
    <w:p>
      <w:pPr>
        <w:pStyle w:val="BodyText"/>
      </w:pPr>
      <w:r>
        <w:rPr>
          <w:b/>
          <w:bCs/>
        </w:rPr>
        <w:t xml:space="preserve">Remedial recommendations (Priority 2):</w:t>
      </w:r>
    </w:p>
    <w:p>
      <w:pPr>
        <w:pStyle w:val="Compact"/>
        <w:numPr>
          <w:ilvl w:val="0"/>
          <w:numId w:val="1004"/>
        </w:numPr>
      </w:pPr>
      <w:r>
        <w:t xml:space="preserve">Obtain the employer’s</w:t>
      </w:r>
      <w:r>
        <w:t xml:space="preserve"> </w:t>
      </w:r>
      <w:r>
        <w:rPr>
          <w:b/>
          <w:bCs/>
        </w:rPr>
        <w:t xml:space="preserve">IRS FEIN confirmation</w:t>
      </w:r>
      <w:r>
        <w:t xml:space="preserve"> </w:t>
      </w:r>
      <w:r>
        <w:t xml:space="preserve">(e.g., CP 575 notice or a recent tax filing/payroll record from Cornerpoint Payroll Services) to establish the correct FEIN.</w:t>
      </w:r>
    </w:p>
    <w:p>
      <w:pPr>
        <w:pStyle w:val="Compact"/>
        <w:numPr>
          <w:ilvl w:val="0"/>
          <w:numId w:val="1004"/>
        </w:numPr>
      </w:pPr>
      <w:r>
        <w:rPr>
          <w:b/>
          <w:bCs/>
        </w:rPr>
        <w:t xml:space="preserve">Reconcile</w:t>
      </w:r>
      <w:r>
        <w:t xml:space="preserve"> </w:t>
      </w:r>
      <w:r>
        <w:t xml:space="preserve">the PERM and PWD FEINs. If the PERM FEIN (84-3291756) is correct, document the PWD discrepancy (the PWD is employer-input-based; the certified PERM FEIN governs for the I-140). If the PERM FEIN is erroneous, assess correction/explanation options for the I-140 and the audit exposure.</w:t>
      </w:r>
    </w:p>
    <w:p>
      <w:pPr>
        <w:pStyle w:val="Compact"/>
        <w:numPr>
          <w:ilvl w:val="0"/>
          <w:numId w:val="1004"/>
        </w:numPr>
      </w:pPr>
      <w:r>
        <w:t xml:space="preserve">Ensure the</w:t>
      </w:r>
      <w:r>
        <w:t xml:space="preserve"> </w:t>
      </w:r>
      <w:r>
        <w:rPr>
          <w:b/>
          <w:bCs/>
        </w:rPr>
        <w:t xml:space="preserve">I-140 petitioner FEIN matches the certified PERM</w:t>
      </w:r>
      <w:r>
        <w:t xml:space="preserve">; prepare an explanation of the PWD discrepancy for the record.</w:t>
      </w:r>
    </w:p>
    <w:bookmarkEnd w:id="25"/>
    <w:bookmarkStart w:id="26" w:name="X6b8dc586c8cfbd68f5f624fcaee52012983bb45"/>
    <w:p>
      <w:pPr>
        <w:pStyle w:val="Heading3"/>
      </w:pPr>
      <w:r>
        <w:t xml:space="preserve">D. Missing NC State Research Assistant Experience Letter (Moderate) — Issue 7</w:t>
      </w:r>
    </w:p>
    <w:p>
      <w:pPr>
        <w:pStyle w:val="FirstParagraph"/>
      </w:pPr>
      <w:r>
        <w:t xml:space="preserve">As you flagged in your email, the package does not include an experience verification letter from NC State University for the beneficiary’s Research Assistant position (August 15, 2016 – May 15, 2018). Professor Helen Tsai (the RA supervisor and thesis advisor) is on sabbatical and has not responded. The official transcript does document the appointment — the</w:t>
      </w:r>
      <w:r>
        <w:t xml:space="preserve"> </w:t>
      </w:r>
      <w:r>
        <w:t xml:space="preserve">“</w:t>
      </w:r>
      <w:r>
        <w:t xml:space="preserve">Graduate Assistantship Appointments</w:t>
      </w:r>
      <w:r>
        <w:t xml:space="preserve">”</w:t>
      </w:r>
      <w:r>
        <w:t xml:space="preserve"> </w:t>
      </w:r>
      <w:r>
        <w:t xml:space="preserve">section records a Research Assistant appointment, August 15, 2016 – May 15, 2018, supervised by Professor Tsai, funded under NSF Grant No. IIS-1742956 — but there is no separate employer experience letter.</w:t>
      </w:r>
    </w:p>
    <w:p>
      <w:pPr>
        <w:pStyle w:val="BodyText"/>
      </w:pPr>
      <w:r>
        <w:rPr>
          <w:b/>
          <w:bCs/>
        </w:rPr>
        <w:t xml:space="preserve">Mitigating context.</w:t>
      </w:r>
      <w:r>
        <w:t xml:space="preserve"> </w:t>
      </w:r>
      <w:r>
        <w:t xml:space="preserve">This RA experience is</w:t>
      </w:r>
      <w:r>
        <w:t xml:space="preserve"> </w:t>
      </w:r>
      <w:r>
        <w:rPr>
          <w:b/>
          <w:bCs/>
        </w:rPr>
        <w:t xml:space="preserve">pre-master’s</w:t>
      </w:r>
      <w:r>
        <w:t xml:space="preserve"> </w:t>
      </w:r>
      <w:r>
        <w:t xml:space="preserve">(it predates the May 12, 2018 M.S. conferral) and</w:t>
      </w:r>
      <w:r>
        <w:t xml:space="preserve"> </w:t>
      </w:r>
      <w:r>
        <w:rPr>
          <w:b/>
          <w:bCs/>
        </w:rPr>
        <w:t xml:space="preserve">part-time (20 hours/week)</w:t>
      </w:r>
      <w:r>
        <w:t xml:space="preserve">. It therefore does</w:t>
      </w:r>
      <w:r>
        <w:t xml:space="preserve"> </w:t>
      </w:r>
      <w:r>
        <w:rPr>
          <w:b/>
          <w:bCs/>
        </w:rPr>
        <w:t xml:space="preserve">not</w:t>
      </w:r>
      <w:r>
        <w:t xml:space="preserve"> </w:t>
      </w:r>
      <w:r>
        <w:t xml:space="preserve">count toward the 5-year</w:t>
      </w:r>
      <w:r>
        <w:t xml:space="preserve"> </w:t>
      </w:r>
      <w:r>
        <w:rPr>
          <w:i/>
          <w:iCs/>
        </w:rPr>
        <w:t xml:space="preserve">post-master’s</w:t>
      </w:r>
      <w:r>
        <w:t xml:space="preserve"> </w:t>
      </w:r>
      <w:r>
        <w:t xml:space="preserve">experience requirement, which is satisfied solely by the DataBridge experience. The gap is accordingly lower-risk, but it should still be closed for audit completeness because the position is listed as an experience entry on the PERM (Section J.C, Entry 2).</w:t>
      </w:r>
    </w:p>
    <w:p>
      <w:pPr>
        <w:pStyle w:val="BodyText"/>
      </w:pPr>
      <w:r>
        <w:rPr>
          <w:b/>
          <w:bCs/>
        </w:rPr>
        <w:t xml:space="preserve">Remedial recommendations (Priority 3):</w:t>
      </w:r>
    </w:p>
    <w:p>
      <w:pPr>
        <w:pStyle w:val="Compact"/>
        <w:numPr>
          <w:ilvl w:val="0"/>
          <w:numId w:val="1005"/>
        </w:numPr>
      </w:pPr>
      <w:r>
        <w:t xml:space="preserve">Pursue an experience verification letter from NC State through alternative channels: (a) the Department of Computer Science administrator or NC State HR; or (b) a thesis committee member — Professor Mark R. Linden or Professor Sonia K. Patel — who can corroborate the RA appointment, dates, and duties.</w:t>
      </w:r>
    </w:p>
    <w:p>
      <w:pPr>
        <w:pStyle w:val="Compact"/>
        <w:numPr>
          <w:ilvl w:val="0"/>
          <w:numId w:val="1005"/>
        </w:numPr>
      </w:pPr>
      <w:r>
        <w:t xml:space="preserve">In the interim, rely on the</w:t>
      </w:r>
      <w:r>
        <w:t xml:space="preserve"> </w:t>
      </w:r>
      <w:r>
        <w:rPr>
          <w:b/>
          <w:bCs/>
        </w:rPr>
        <w:t xml:space="preserve">official transcript’s Graduate Assistantship Appointments record</w:t>
      </w:r>
      <w:r>
        <w:t xml:space="preserve"> </w:t>
      </w:r>
      <w:r>
        <w:t xml:space="preserve">(plus the thesis record) as partial documentation of the appointment.</w:t>
      </w:r>
    </w:p>
    <w:p>
      <w:pPr>
        <w:pStyle w:val="Compact"/>
        <w:numPr>
          <w:ilvl w:val="0"/>
          <w:numId w:val="1005"/>
        </w:numPr>
      </w:pPr>
      <w:r>
        <w:t xml:space="preserve">If the RA experience is not needed to meet any minimum requirement, consider whether it should remain listed on the PERM experience record or be de-emphasized in the petition narrative to avoid inviting scrutiny of part-time, pre-master’s experience.</w:t>
      </w:r>
    </w:p>
    <w:bookmarkEnd w:id="26"/>
    <w:bookmarkStart w:id="27" w:name="X76934521fa46ab58c48d953bb55ff4d4b343174"/>
    <w:p>
      <w:pPr>
        <w:pStyle w:val="Heading3"/>
      </w:pPr>
      <w:r>
        <w:t xml:space="preserve">E. Missing Underlying Foreign-Degree Evidence (Moderate) — Issue 8</w:t>
      </w:r>
    </w:p>
    <w:p>
      <w:pPr>
        <w:pStyle w:val="FirstParagraph"/>
      </w:pPr>
      <w:r>
        <w:t xml:space="preserve">The petition package inventory lists the IAE credential evaluation report for the B.Tech, but does not list the</w:t>
      </w:r>
      <w:r>
        <w:t xml:space="preserve"> </w:t>
      </w:r>
      <w:r>
        <w:rPr>
          <w:b/>
          <w:bCs/>
        </w:rPr>
        <w:t xml:space="preserve">underlying foreign-degree documents</w:t>
      </w:r>
      <w:r>
        <w:t xml:space="preserve"> </w:t>
      </w:r>
      <w:r>
        <w:t xml:space="preserve">(the B.Tech degree/convocation certificate and the eight-semester marksheets/transcripts). The IAE report (Section 2) states that it reviewed these documents, but USCIS requires the</w:t>
      </w:r>
      <w:r>
        <w:t xml:space="preserve"> </w:t>
      </w:r>
      <w:r>
        <w:rPr>
          <w:b/>
          <w:bCs/>
        </w:rPr>
        <w:t xml:space="preserve">actual foreign degree evidence</w:t>
      </w:r>
      <w:r>
        <w:t xml:space="preserve"> </w:t>
      </w:r>
      <w:r>
        <w:t xml:space="preserve">in addition to the evaluation. Relying on the evaluation alone is insufficient.</w:t>
      </w:r>
    </w:p>
    <w:p>
      <w:pPr>
        <w:pStyle w:val="BodyText"/>
      </w:pPr>
      <w:r>
        <w:rPr>
          <w:b/>
          <w:bCs/>
        </w:rPr>
        <w:t xml:space="preserve">Remedial recommendations (Priority 3):</w:t>
      </w:r>
    </w:p>
    <w:p>
      <w:pPr>
        <w:pStyle w:val="Compact"/>
        <w:numPr>
          <w:ilvl w:val="0"/>
          <w:numId w:val="1006"/>
        </w:numPr>
      </w:pPr>
      <w:r>
        <w:t xml:space="preserve">Include</w:t>
      </w:r>
      <w:r>
        <w:t xml:space="preserve"> </w:t>
      </w:r>
      <w:r>
        <w:rPr>
          <w:b/>
          <w:bCs/>
        </w:rPr>
        <w:t xml:space="preserve">copies of the B.Tech degree certificate (convocation certificate) and the official marksheets/transcripts</w:t>
      </w:r>
      <w:r>
        <w:t xml:space="preserve"> </w:t>
      </w:r>
      <w:r>
        <w:t xml:space="preserve">(all eight semesters, as issued by Savitribai Phule Pune University / MIT-Pune) in the petition package.</w:t>
      </w:r>
    </w:p>
    <w:p>
      <w:pPr>
        <w:pStyle w:val="Compact"/>
        <w:numPr>
          <w:ilvl w:val="0"/>
          <w:numId w:val="1006"/>
        </w:numPr>
      </w:pPr>
      <w:r>
        <w:t xml:space="preserve">Optionally include the</w:t>
      </w:r>
      <w:r>
        <w:t xml:space="preserve"> </w:t>
      </w:r>
      <w:r>
        <w:rPr>
          <w:b/>
          <w:bCs/>
        </w:rPr>
        <w:t xml:space="preserve">NC State M.S. diploma</w:t>
      </w:r>
      <w:r>
        <w:t xml:space="preserve"> </w:t>
      </w:r>
      <w:r>
        <w:t xml:space="preserve">for completeness (the transcript, which shows conferral on May 12, 2018, is sufficient standing alone, but the diploma may be added).</w:t>
      </w:r>
    </w:p>
    <w:bookmarkEnd w:id="27"/>
    <w:bookmarkStart w:id="28" w:name="Xbf066d44a2ef0e29732043765c37ef771f14e26"/>
    <w:p>
      <w:pPr>
        <w:pStyle w:val="Heading3"/>
      </w:pPr>
      <w:r>
        <w:t xml:space="preserve">F.</w:t>
      </w:r>
      <w:r>
        <w:t xml:space="preserve"> </w:t>
      </w:r>
      <w:r>
        <w:t xml:space="preserve">“</w:t>
      </w:r>
      <w:r>
        <w:t xml:space="preserve">Dr.</w:t>
      </w:r>
      <w:r>
        <w:t xml:space="preserve">”</w:t>
      </w:r>
      <w:r>
        <w:t xml:space="preserve"> </w:t>
      </w:r>
      <w:r>
        <w:t xml:space="preserve">Title / Credential Accuracy (Moderate) — Issue 9</w:t>
      </w:r>
    </w:p>
    <w:p>
      <w:pPr>
        <w:pStyle w:val="FirstParagraph"/>
      </w:pPr>
      <w:r>
        <w:t xml:space="preserve">The beneficiary is referred to as</w:t>
      </w:r>
      <w:r>
        <w:t xml:space="preserve"> </w:t>
      </w:r>
      <w:r>
        <w:rPr>
          <w:b/>
          <w:bCs/>
        </w:rPr>
        <w:t xml:space="preserve">“</w:t>
      </w:r>
      <w:r>
        <w:rPr>
          <w:b/>
          <w:bCs/>
        </w:rPr>
        <w:t xml:space="preserve">Dr. Ananya Mehrotra</w:t>
      </w:r>
      <w:r>
        <w:rPr>
          <w:b/>
          <w:bCs/>
        </w:rPr>
        <w:t xml:space="preserve">”</w:t>
      </w:r>
      <w:r>
        <w:t xml:space="preserve"> </w:t>
      </w:r>
      <w:r>
        <w:t xml:space="preserve">throughout the record — including the PERM (Section I.1:</w:t>
      </w:r>
      <w:r>
        <w:t xml:space="preserve"> </w:t>
      </w:r>
      <w:r>
        <w:t xml:space="preserve">“</w:t>
      </w:r>
      <w:r>
        <w:t xml:space="preserve">also known as: Dr. Ananya Mehrotra</w:t>
      </w:r>
      <w:r>
        <w:t xml:space="preserve">”</w:t>
      </w:r>
      <w:r>
        <w:t xml:space="preserve">), the résumé, the DataBridge experience letter, the IAE evaluation, and the certifications compilation. Her</w:t>
      </w:r>
      <w:r>
        <w:t xml:space="preserve"> </w:t>
      </w:r>
      <w:r>
        <w:rPr>
          <w:b/>
          <w:bCs/>
        </w:rPr>
        <w:t xml:space="preserve">highest documented degree, however, is the M.S. in Computer Science</w:t>
      </w:r>
      <w:r>
        <w:t xml:space="preserve"> </w:t>
      </w:r>
      <w:r>
        <w:t xml:space="preserve">(NC State, 2018); the record reflects no doctoral degree (no Ph.D. appears in the transcript, the IAE evaluation, or the résumé). The</w:t>
      </w:r>
      <w:r>
        <w:t xml:space="preserve"> </w:t>
      </w:r>
      <w:r>
        <w:t xml:space="preserve">“</w:t>
      </w:r>
      <w:r>
        <w:t xml:space="preserve">Dr.</w:t>
      </w:r>
      <w:r>
        <w:t xml:space="preserve">”</w:t>
      </w:r>
      <w:r>
        <w:t xml:space="preserve"> </w:t>
      </w:r>
      <w:r>
        <w:t xml:space="preserve">title is therefore unsupported by the documented credentials and could be read to imply a doctorate that the beneficiary does not hold. Notably, the Evalpoint Technologies experience letter is the one document that refers to her as</w:t>
      </w:r>
      <w:r>
        <w:t xml:space="preserve"> </w:t>
      </w:r>
      <w:r>
        <w:rPr>
          <w:b/>
          <w:bCs/>
        </w:rPr>
        <w:t xml:space="preserve">“</w:t>
      </w:r>
      <w:r>
        <w:rPr>
          <w:b/>
          <w:bCs/>
        </w:rPr>
        <w:t xml:space="preserve">Ms. Ananya Mehrotra</w:t>
      </w:r>
      <w:r>
        <w:rPr>
          <w:b/>
          <w:bCs/>
        </w:rPr>
        <w:t xml:space="preserve">”</w:t>
      </w:r>
      <w:r>
        <w:t xml:space="preserve"> </w:t>
      </w:r>
      <w:r>
        <w:t xml:space="preserve">(consistent with her then-bachelor’s-level status during that 2013–2016 employment), whereas the PERM, résumé, DataBridge letter, IAE evaluation, and certifications compilation all use</w:t>
      </w:r>
      <w:r>
        <w:t xml:space="preserve"> </w:t>
      </w:r>
      <w:r>
        <w:t xml:space="preserve">“</w:t>
      </w:r>
      <w:r>
        <w:t xml:space="preserve">Dr.</w:t>
      </w:r>
      <w:r>
        <w:t xml:space="preserve">”</w:t>
      </w:r>
      <w:r>
        <w:t xml:space="preserve"> </w:t>
      </w:r>
      <w:r>
        <w:t xml:space="preserve">— an internal inconsistency that further supports reconciling the title.</w:t>
      </w:r>
    </w:p>
    <w:p>
      <w:pPr>
        <w:pStyle w:val="BodyText"/>
      </w:pPr>
      <w:r>
        <w:rPr>
          <w:b/>
          <w:bCs/>
        </w:rPr>
        <w:t xml:space="preserve">Remedial recommendations (Priority 3):</w:t>
      </w:r>
    </w:p>
    <w:p>
      <w:pPr>
        <w:pStyle w:val="Compact"/>
        <w:numPr>
          <w:ilvl w:val="0"/>
          <w:numId w:val="1007"/>
        </w:numPr>
      </w:pPr>
      <w:r>
        <w:rPr>
          <w:b/>
          <w:bCs/>
        </w:rPr>
        <w:t xml:space="preserve">Confirm</w:t>
      </w:r>
      <w:r>
        <w:t xml:space="preserve"> </w:t>
      </w:r>
      <w:r>
        <w:t xml:space="preserve">with the beneficiary whether she holds any doctoral degree not reflected in the package. If she does, document it.</w:t>
      </w:r>
    </w:p>
    <w:p>
      <w:pPr>
        <w:pStyle w:val="Compact"/>
        <w:numPr>
          <w:ilvl w:val="0"/>
          <w:numId w:val="1007"/>
        </w:numPr>
      </w:pPr>
      <w:r>
        <w:t xml:space="preserve">If no doctorate is held,</w:t>
      </w:r>
      <w:r>
        <w:t xml:space="preserve"> </w:t>
      </w:r>
      <w:r>
        <w:rPr>
          <w:b/>
          <w:bCs/>
        </w:rPr>
        <w:t xml:space="preserve">correct the title</w:t>
      </w:r>
      <w:r>
        <w:t xml:space="preserve"> </w:t>
      </w:r>
      <w:r>
        <w:t xml:space="preserve">to</w:t>
      </w:r>
      <w:r>
        <w:t xml:space="preserve"> </w:t>
      </w:r>
      <w:r>
        <w:t xml:space="preserve">“</w:t>
      </w:r>
      <w:r>
        <w:t xml:space="preserve">Ms.</w:t>
      </w:r>
      <w:r>
        <w:t xml:space="preserve">”</w:t>
      </w:r>
      <w:r>
        <w:t xml:space="preserve"> </w:t>
      </w:r>
      <w:r>
        <w:t xml:space="preserve">or use</w:t>
      </w:r>
      <w:r>
        <w:t xml:space="preserve"> </w:t>
      </w:r>
      <w:r>
        <w:t xml:space="preserve">“</w:t>
      </w:r>
      <w:r>
        <w:t xml:space="preserve">Ananya Mehrotra</w:t>
      </w:r>
      <w:r>
        <w:t xml:space="preserve">”</w:t>
      </w:r>
      <w:r>
        <w:t xml:space="preserve"> </w:t>
      </w:r>
      <w:r>
        <w:t xml:space="preserve">without</w:t>
      </w:r>
      <w:r>
        <w:t xml:space="preserve"> </w:t>
      </w:r>
      <w:r>
        <w:t xml:space="preserve">“</w:t>
      </w:r>
      <w:r>
        <w:t xml:space="preserve">Dr.</w:t>
      </w:r>
      <w:r>
        <w:t xml:space="preserve">”</w:t>
      </w:r>
      <w:r>
        <w:t xml:space="preserve"> </w:t>
      </w:r>
      <w:r>
        <w:t xml:space="preserve">in the I-140/I-129 filings and supporting documents, and ensure consistency across the package, to avoid any implication of a doctoral credential.</w:t>
      </w:r>
    </w:p>
    <w:p>
      <w:pPr>
        <w:pStyle w:val="Compact"/>
        <w:numPr>
          <w:ilvl w:val="0"/>
          <w:numId w:val="1007"/>
        </w:numPr>
      </w:pPr>
      <w:r>
        <w:t xml:space="preserve">Note that the certified PERM already uses</w:t>
      </w:r>
      <w:r>
        <w:t xml:space="preserve"> </w:t>
      </w:r>
      <w:r>
        <w:t xml:space="preserve">“</w:t>
      </w:r>
      <w:r>
        <w:t xml:space="preserve">also known as: Dr. Ananya Mehrotra</w:t>
      </w:r>
      <w:r>
        <w:t xml:space="preserve">”</w:t>
      </w:r>
      <w:r>
        <w:t xml:space="preserve"> </w:t>
      </w:r>
      <w:r>
        <w:t xml:space="preserve">(Section I.1); this is harmless in the certified application but should be reconciled going forward.</w:t>
      </w:r>
    </w:p>
    <w:bookmarkEnd w:id="28"/>
    <w:bookmarkStart w:id="29" w:name="X917da3e26e0a2b741a99960f0445e1bd7e6db7b"/>
    <w:p>
      <w:pPr>
        <w:pStyle w:val="Heading3"/>
      </w:pPr>
      <w:r>
        <w:t xml:space="preserve">G. Experience Calculation and Characterization (Low) — Issues 10–11</w:t>
      </w:r>
    </w:p>
    <w:p>
      <w:pPr>
        <w:pStyle w:val="FirstParagraph"/>
      </w:pPr>
      <w:r>
        <w:rPr>
          <w:b/>
          <w:bCs/>
        </w:rPr>
        <w:t xml:space="preserve">Issue 10 —</w:t>
      </w:r>
      <w:r>
        <w:rPr>
          <w:b/>
          <w:bCs/>
        </w:rPr>
        <w:t xml:space="preserve"> </w:t>
      </w:r>
      <w:r>
        <w:rPr>
          <w:b/>
          <w:bCs/>
        </w:rPr>
        <w:t xml:space="preserve">“</w:t>
      </w:r>
      <w:r>
        <w:rPr>
          <w:b/>
          <w:bCs/>
        </w:rPr>
        <w:t xml:space="preserve">Approximately 7 years</w:t>
      </w:r>
      <w:r>
        <w:rPr>
          <w:b/>
          <w:bCs/>
        </w:rPr>
        <w:t xml:space="preserve">”</w:t>
      </w:r>
      <w:r>
        <w:rPr>
          <w:b/>
          <w:bCs/>
        </w:rPr>
        <w:t xml:space="preserve"> </w:t>
      </w:r>
      <w:r>
        <w:rPr>
          <w:b/>
          <w:bCs/>
        </w:rPr>
        <w:t xml:space="preserve">precision.</w:t>
      </w:r>
      <w:r>
        <w:t xml:space="preserve"> </w:t>
      </w:r>
      <w:r>
        <w:t xml:space="preserve">Section K.2 states the beneficiary has</w:t>
      </w:r>
      <w:r>
        <w:t xml:space="preserve"> </w:t>
      </w:r>
      <w:r>
        <w:t xml:space="preserve">“</w:t>
      </w:r>
      <w:r>
        <w:t xml:space="preserve">approximately 7 years of post-master’s experience at DataBridge Solutions LLC (June 2018 – present).</w:t>
      </w:r>
      <w:r>
        <w:t xml:space="preserve">”</w:t>
      </w:r>
      <w:r>
        <w:t xml:space="preserve"> </w:t>
      </w:r>
      <w:r>
        <w:t xml:space="preserve">Measured precisely, the DataBridge tenure is approximately</w:t>
      </w:r>
      <w:r>
        <w:t xml:space="preserve"> </w:t>
      </w:r>
      <w:r>
        <w:rPr>
          <w:b/>
          <w:bCs/>
        </w:rPr>
        <w:t xml:space="preserve">6 years and 9 months</w:t>
      </w:r>
      <w:r>
        <w:t xml:space="preserve"> </w:t>
      </w:r>
      <w:r>
        <w:t xml:space="preserve">as of the March 15, 2025 filing date, and approximately</w:t>
      </w:r>
      <w:r>
        <w:t xml:space="preserve"> </w:t>
      </w:r>
      <w:r>
        <w:rPr>
          <w:b/>
          <w:bCs/>
        </w:rPr>
        <w:t xml:space="preserve">6 years and 11.5 months</w:t>
      </w:r>
      <w:r>
        <w:t xml:space="preserve"> </w:t>
      </w:r>
      <w:r>
        <w:t xml:space="preserve">as of the May 22, 2025 certification date. Both figures exceed the 5-year minimum, but</w:t>
      </w:r>
      <w:r>
        <w:t xml:space="preserve"> </w:t>
      </w:r>
      <w:r>
        <w:t xml:space="preserve">“</w:t>
      </w:r>
      <w:r>
        <w:t xml:space="preserve">approximately 7 years</w:t>
      </w:r>
      <w:r>
        <w:t xml:space="preserve">”</w:t>
      </w:r>
      <w:r>
        <w:t xml:space="preserve"> </w:t>
      </w:r>
      <w:r>
        <w:t xml:space="preserve">slightly overstates the figure as of filing. We recommend using precise figures in the petition narrative.</w:t>
      </w:r>
    </w:p>
    <w:p>
      <w:pPr>
        <w:pStyle w:val="BodyText"/>
      </w:pPr>
      <w:r>
        <w:rPr>
          <w:b/>
          <w:bCs/>
        </w:rPr>
        <w:t xml:space="preserve">Issue 11 — Source of the post-master’s experience.</w:t>
      </w:r>
      <w:r>
        <w:t xml:space="preserve"> </w:t>
      </w:r>
      <w:r>
        <w:t xml:space="preserve">The 5-year progressive</w:t>
      </w:r>
      <w:r>
        <w:t xml:space="preserve"> </w:t>
      </w:r>
      <w:r>
        <w:rPr>
          <w:i/>
          <w:iCs/>
        </w:rPr>
        <w:t xml:space="preserve">post-master’s</w:t>
      </w:r>
      <w:r>
        <w:t xml:space="preserve"> </w:t>
      </w:r>
      <w:r>
        <w:t xml:space="preserve">requirement is met</w:t>
      </w:r>
      <w:r>
        <w:t xml:space="preserve"> </w:t>
      </w:r>
      <w:r>
        <w:rPr>
          <w:b/>
          <w:bCs/>
        </w:rPr>
        <w:t xml:space="preserve">solely</w:t>
      </w:r>
      <w:r>
        <w:t xml:space="preserve"> </w:t>
      </w:r>
      <w:r>
        <w:t xml:space="preserve">by the DataBridge experience (June 4, 2018 – present). The Evalpoint experience (July 2013 – July 2016) is</w:t>
      </w:r>
      <w:r>
        <w:t xml:space="preserve"> </w:t>
      </w:r>
      <w:r>
        <w:rPr>
          <w:b/>
          <w:bCs/>
        </w:rPr>
        <w:t xml:space="preserve">pre-master’s</w:t>
      </w:r>
      <w:r>
        <w:t xml:space="preserve"> </w:t>
      </w:r>
      <w:r>
        <w:t xml:space="preserve">and is, per the Evalpoint letter, primarily backend software engineering in which ML exposure was</w:t>
      </w:r>
      <w:r>
        <w:t xml:space="preserve"> </w:t>
      </w:r>
      <w:r>
        <w:t xml:space="preserve">“</w:t>
      </w:r>
      <w:r>
        <w:t xml:space="preserve">ancillary and secondary.</w:t>
      </w:r>
      <w:r>
        <w:t xml:space="preserve">”</w:t>
      </w:r>
      <w:r>
        <w:t xml:space="preserve"> </w:t>
      </w:r>
      <w:r>
        <w:t xml:space="preserve">The NC State RA experience (August 2016 – May 2018) is</w:t>
      </w:r>
      <w:r>
        <w:t xml:space="preserve"> </w:t>
      </w:r>
      <w:r>
        <w:rPr>
          <w:b/>
          <w:bCs/>
        </w:rPr>
        <w:t xml:space="preserve">pre-master’s and part-time (20 hrs/week)</w:t>
      </w:r>
      <w:r>
        <w:t xml:space="preserve">. Neither counts toward the post-master’s requirement. The petition narrative should make clear that the qualifying post-master’s experience is the DataBridge tenure only, and should not conflate the pre-master’s roles with the post-master’s qualifying experience.</w:t>
      </w:r>
    </w:p>
    <w:p>
      <w:pPr>
        <w:pStyle w:val="BodyText"/>
      </w:pPr>
      <w:r>
        <w:rPr>
          <w:b/>
          <w:bCs/>
        </w:rPr>
        <w:t xml:space="preserve">Remedial recommendations (Priority 4):</w:t>
      </w:r>
      <w:r>
        <w:t xml:space="preserve"> </w:t>
      </w:r>
      <w:r>
        <w:t xml:space="preserve">Use precise post-master’s figures; clearly attribute the 5-year qualifying experience to DataBridge alone; avoid relying on (or implying reliance on) the pre-master’s, part-time, or non-ML roles to satisfy the post-master’s minimum.</w:t>
      </w:r>
    </w:p>
    <w:bookmarkEnd w:id="29"/>
    <w:bookmarkStart w:id="30" w:name="X26c1810163367120369c562d78ba21d6cad4358"/>
    <w:p>
      <w:pPr>
        <w:pStyle w:val="Heading3"/>
      </w:pPr>
      <w:r>
        <w:t xml:space="preserve">H. Supervisory Scope (Low / Observation) — Issue 12</w:t>
      </w:r>
    </w:p>
    <w:p>
      <w:pPr>
        <w:pStyle w:val="FirstParagraph"/>
      </w:pPr>
      <w:r>
        <w:t xml:space="preserve">The position requires supervising</w:t>
      </w:r>
      <w:r>
        <w:t xml:space="preserve"> </w:t>
      </w:r>
      <w:r>
        <w:t xml:space="preserve">“</w:t>
      </w:r>
      <w:r>
        <w:t xml:space="preserve">a team of 3–5 ML engineers</w:t>
      </w:r>
      <w:r>
        <w:t xml:space="preserve">”</w:t>
      </w:r>
      <w:r>
        <w:t xml:space="preserve"> </w:t>
      </w:r>
      <w:r>
        <w:t xml:space="preserve">(J.B.5; H.10). The beneficiary’s documented supervisory experience is leading</w:t>
      </w:r>
      <w:r>
        <w:t xml:space="preserve"> </w:t>
      </w:r>
      <w:r>
        <w:t xml:space="preserve">“</w:t>
      </w:r>
      <w:r>
        <w:t xml:space="preserve">a team of 2 junior data scientists</w:t>
      </w:r>
      <w:r>
        <w:t xml:space="preserve">”</w:t>
      </w:r>
      <w:r>
        <w:t xml:space="preserve"> </w:t>
      </w:r>
      <w:r>
        <w:t xml:space="preserve">at DataBridge. The supervision of 3–5 engineers is phrased in J.B.5 as a forward-looking job condition (</w:t>
      </w:r>
      <w:r>
        <w:t xml:space="preserve">“</w:t>
      </w:r>
      <w:r>
        <w:t xml:space="preserve">Will supervise a team of 3–5 ML engineers</w:t>
      </w:r>
      <w:r>
        <w:t xml:space="preserve">”</w:t>
      </w:r>
      <w:r>
        <w:t xml:space="preserve">) rather than as a prior-experience prerequisite (</w:t>
      </w:r>
      <w:r>
        <w:t xml:space="preserve">“</w:t>
      </w:r>
      <w:r>
        <w:t xml:space="preserve">Experience must include…</w:t>
      </w:r>
      <w:r>
        <w:t xml:space="preserve">”</w:t>
      </w:r>
      <w:r>
        <w:t xml:space="preserve">), so it is most likely</w:t>
      </w:r>
      <w:r>
        <w:t xml:space="preserve"> </w:t>
      </w:r>
      <w:r>
        <w:rPr>
          <w:b/>
          <w:bCs/>
        </w:rPr>
        <w:t xml:space="preserve">not</w:t>
      </w:r>
      <w:r>
        <w:t xml:space="preserve"> </w:t>
      </w:r>
      <w:r>
        <w:t xml:space="preserve">a credential gap. We flag it only so that counsel can confirm the employer’s intent.</w:t>
      </w:r>
    </w:p>
    <w:p>
      <w:pPr>
        <w:pStyle w:val="BodyText"/>
      </w:pPr>
      <w:r>
        <w:rPr>
          <w:b/>
          <w:bCs/>
        </w:rPr>
        <w:t xml:space="preserve">Remedial recommendations (Priority 4):</w:t>
      </w:r>
      <w:r>
        <w:t xml:space="preserve"> </w:t>
      </w:r>
      <w:r>
        <w:t xml:space="preserve">Confirm that supervision of 3–5 engineers is a job condition (not a prior-experience requirement). If so, no further action is required beyond ensuring the I-140 job description matches the certified PERM. If the employer intended prior supervisory experience over 3–5 as a requirement, note that the documented scope (2) is below 3–5 and assess audit exposure.</w:t>
      </w:r>
    </w:p>
    <w:bookmarkEnd w:id="30"/>
    <w:bookmarkStart w:id="31" w:name="Xa514366fbeec9dab511b7e3f6d8cd27974f3ce5"/>
    <w:p>
      <w:pPr>
        <w:pStyle w:val="Heading3"/>
      </w:pPr>
      <w:r>
        <w:t xml:space="preserve">I. Minor Consistency and Informational Items (Low) — Issues 13–15, 17–18</w:t>
      </w:r>
    </w:p>
    <w:p>
      <w:pPr>
        <w:pStyle w:val="FirstParagraph"/>
      </w:pPr>
      <w:r>
        <w:rPr>
          <w:b/>
          <w:bCs/>
        </w:rPr>
        <w:t xml:space="preserve">Issue 13 — HR Director telephone number.</w:t>
      </w:r>
      <w:r>
        <w:t xml:space="preserve"> </w:t>
      </w:r>
      <w:r>
        <w:t xml:space="preserve">The PERM (Section C.11) and the PWD (Section 1) list the HR Director’s phone as (512) 555-0174, while your email signature lists (512) 555-0184. Confirm the correct number and ensure consistency in the filings.</w:t>
      </w:r>
    </w:p>
    <w:p>
      <w:pPr>
        <w:pStyle w:val="BodyText"/>
      </w:pPr>
      <w:r>
        <w:rPr>
          <w:b/>
          <w:bCs/>
        </w:rPr>
        <w:t xml:space="preserve">Issue 14 — Experience-letter timing.</w:t>
      </w:r>
      <w:r>
        <w:t xml:space="preserve"> </w:t>
      </w:r>
      <w:r>
        <w:t xml:space="preserve">The DataBridge letter (April 10, 2025) and the Evalpoint letter (March 28, 2025) both post-date the PERM filing (March 15, 2025). This is generally acceptable for PERM audit purposes — the letters document experience gained before filing, and both clearly state pre-filing dates of employment — but we note the timing for the record.</w:t>
      </w:r>
    </w:p>
    <w:p>
      <w:pPr>
        <w:pStyle w:val="BodyText"/>
      </w:pPr>
      <w:r>
        <w:rPr>
          <w:b/>
          <w:bCs/>
        </w:rPr>
        <w:t xml:space="preserve">Issue 15 — Résumé</w:t>
      </w:r>
      <w:r>
        <w:rPr>
          <w:b/>
          <w:bCs/>
        </w:rPr>
        <w:t xml:space="preserve"> </w:t>
      </w:r>
      <w:r>
        <w:rPr>
          <w:b/>
          <w:bCs/>
        </w:rPr>
        <w:t xml:space="preserve">“</w:t>
      </w:r>
      <w:r>
        <w:rPr>
          <w:b/>
          <w:bCs/>
        </w:rPr>
        <w:t xml:space="preserve">7+ years</w:t>
      </w:r>
      <w:r>
        <w:rPr>
          <w:b/>
          <w:bCs/>
        </w:rPr>
        <w:t xml:space="preserve">”</w:t>
      </w:r>
      <w:r>
        <w:rPr>
          <w:b/>
          <w:bCs/>
        </w:rPr>
        <w:t xml:space="preserve"> </w:t>
      </w:r>
      <w:r>
        <w:rPr>
          <w:b/>
          <w:bCs/>
        </w:rPr>
        <w:t xml:space="preserve">phrasing.</w:t>
      </w:r>
      <w:r>
        <w:t xml:space="preserve"> </w:t>
      </w:r>
      <w:r>
        <w:t xml:space="preserve">The résumé’s professional summary states</w:t>
      </w:r>
      <w:r>
        <w:t xml:space="preserve"> </w:t>
      </w:r>
      <w:r>
        <w:t xml:space="preserve">“</w:t>
      </w:r>
      <w:r>
        <w:t xml:space="preserve">7+ years of experience spanning software development, applied research, and production data science,</w:t>
      </w:r>
      <w:r>
        <w:t xml:space="preserve">”</w:t>
      </w:r>
      <w:r>
        <w:t xml:space="preserve"> </w:t>
      </w:r>
      <w:r>
        <w:t xml:space="preserve">which measures</w:t>
      </w:r>
      <w:r>
        <w:t xml:space="preserve"> </w:t>
      </w:r>
      <w:r>
        <w:rPr>
          <w:b/>
          <w:bCs/>
        </w:rPr>
        <w:t xml:space="preserve">total</w:t>
      </w:r>
      <w:r>
        <w:t xml:space="preserve"> </w:t>
      </w:r>
      <w:r>
        <w:t xml:space="preserve">experience across all four roles (including pre-master’s roles). This is a different measure from the PERM’s</w:t>
      </w:r>
      <w:r>
        <w:t xml:space="preserve"> </w:t>
      </w:r>
      <w:r>
        <w:t xml:space="preserve">“</w:t>
      </w:r>
      <w:r>
        <w:t xml:space="preserve">approximately 7 years of</w:t>
      </w:r>
      <w:r>
        <w:t xml:space="preserve"> </w:t>
      </w:r>
      <w:r>
        <w:rPr>
          <w:i/>
          <w:iCs/>
        </w:rPr>
        <w:t xml:space="preserve">post-master’s</w:t>
      </w:r>
      <w:r>
        <w:t xml:space="preserve">”</w:t>
      </w:r>
      <w:r>
        <w:t xml:space="preserve"> </w:t>
      </w:r>
      <w:r>
        <w:t xml:space="preserve">experience (DataBridge only). Ensure the petition narrative does not conflate the two.</w:t>
      </w:r>
    </w:p>
    <w:p>
      <w:pPr>
        <w:pStyle w:val="BodyText"/>
      </w:pPr>
      <w:r>
        <w:rPr>
          <w:b/>
          <w:bCs/>
        </w:rPr>
        <w:t xml:space="preserve">Issue 17 — DataBridge Data Scientist I end-date.</w:t>
      </w:r>
      <w:r>
        <w:t xml:space="preserve"> </w:t>
      </w:r>
      <w:r>
        <w:t xml:space="preserve">The résumé lists the Data Scientist I role as</w:t>
      </w:r>
      <w:r>
        <w:t xml:space="preserve"> </w:t>
      </w:r>
      <w:r>
        <w:t xml:space="preserve">“</w:t>
      </w:r>
      <w:r>
        <w:t xml:space="preserve">June 2018 – December 2020,</w:t>
      </w:r>
      <w:r>
        <w:t xml:space="preserve">”</w:t>
      </w:r>
      <w:r>
        <w:t xml:space="preserve"> </w:t>
      </w:r>
      <w:r>
        <w:t xml:space="preserve">while the PERM (Section J.C, Experience Entry 3) and the DataBridge experience letter both state the Data Scientist I period as</w:t>
      </w:r>
      <w:r>
        <w:t xml:space="preserve"> </w:t>
      </w:r>
      <w:r>
        <w:t xml:space="preserve">“</w:t>
      </w:r>
      <w:r>
        <w:t xml:space="preserve">June 4, 2018 – January 3, 2021</w:t>
      </w:r>
      <w:r>
        <w:t xml:space="preserve">”</w:t>
      </w:r>
      <w:r>
        <w:t xml:space="preserve"> </w:t>
      </w:r>
      <w:r>
        <w:t xml:space="preserve">(with the Data Scientist II promotion effective January 4, 2021). The résumé’s</w:t>
      </w:r>
      <w:r>
        <w:t xml:space="preserve"> </w:t>
      </w:r>
      <w:r>
        <w:t xml:space="preserve">“</w:t>
      </w:r>
      <w:r>
        <w:t xml:space="preserve">December 2020</w:t>
      </w:r>
      <w:r>
        <w:t xml:space="preserve">”</w:t>
      </w:r>
      <w:r>
        <w:t xml:space="preserve"> </w:t>
      </w:r>
      <w:r>
        <w:t xml:space="preserve">end date is approximately three days earlier than the official</w:t>
      </w:r>
      <w:r>
        <w:t xml:space="preserve"> </w:t>
      </w:r>
      <w:r>
        <w:t xml:space="preserve">“</w:t>
      </w:r>
      <w:r>
        <w:t xml:space="preserve">January 3, 2021</w:t>
      </w:r>
      <w:r>
        <w:t xml:space="preserve">”</w:t>
      </w:r>
      <w:r>
        <w:t xml:space="preserve"> </w:t>
      </w:r>
      <w:r>
        <w:t xml:space="preserve">end date. This is a minor month-granularity rounding inconsistency, but it should be reconciled so the petition narrative matches the official experience letter and the certified PERM.</w:t>
      </w:r>
    </w:p>
    <w:p>
      <w:pPr>
        <w:pStyle w:val="BodyText"/>
      </w:pPr>
      <w:r>
        <w:rPr>
          <w:b/>
          <w:bCs/>
        </w:rPr>
        <w:t xml:space="preserve">Issue 18 — Ability-to-pay documentation.</w:t>
      </w:r>
      <w:r>
        <w:t xml:space="preserve"> </w:t>
      </w:r>
      <w:r>
        <w:t xml:space="preserve">The PERM employer certification (Section N.4) attests that the employer</w:t>
      </w:r>
      <w:r>
        <w:t xml:space="preserve"> </w:t>
      </w:r>
      <w:r>
        <w:t xml:space="preserve">“</w:t>
      </w:r>
      <w:r>
        <w:t xml:space="preserve">has adequate funds available to pay the offered wage.</w:t>
      </w:r>
      <w:r>
        <w:t xml:space="preserve">”</w:t>
      </w:r>
      <w:r>
        <w:t xml:space="preserve"> </w:t>
      </w:r>
      <w:r>
        <w:t xml:space="preserve">The HR email notes that payroll/financial documentation to demonstrate ability to pay the $142,000 offered wage is available on request from the employer’s payroll provider, Cornerpoint Payroll Services (also referenced in the PERM Wage Verification Note). This documentation is not in the transmitted package. While ability to pay is an I-140 (USCIS) financial requirement rather than a beneficiary-credential matter, we flag it here for completeness because the email expressly raises it and the certified PERM’s wage attestation underlies the I-140; the documentation should be assembled before I-140 filing.</w:t>
      </w:r>
    </w:p>
    <w:p>
      <w:pPr>
        <w:pStyle w:val="BodyText"/>
      </w:pPr>
      <w:r>
        <w:rPr>
          <w:b/>
          <w:bCs/>
        </w:rPr>
        <w:t xml:space="preserve">Remedial recommendations (Priority 4):</w:t>
      </w:r>
      <w:r>
        <w:t xml:space="preserve"> </w:t>
      </w:r>
      <w:r>
        <w:t xml:space="preserve">Reconcile the phone number; note the letter timing (acceptable); distinguish the résumé’s total-experience figure from the PERM’s post-master’s figure in the petition narrative; reconcile the DataBridge Data Scientist I end date to match the official</w:t>
      </w:r>
      <w:r>
        <w:t xml:space="preserve"> </w:t>
      </w:r>
      <w:r>
        <w:t xml:space="preserve">“</w:t>
      </w:r>
      <w:r>
        <w:t xml:space="preserve">January 3, 2021</w:t>
      </w:r>
      <w:r>
        <w:t xml:space="preserve">”</w:t>
      </w:r>
      <w:r>
        <w:t xml:space="preserve"> </w:t>
      </w:r>
      <w:r>
        <w:t xml:space="preserve">(Issue 17); and assemble the ability-to-pay documentation from Cornerpoint Payroll Services before I-140 filing (Issue 18).</w:t>
      </w:r>
    </w:p>
    <w:p>
      <w:r>
        <w:pict>
          <v:rect style="width:0;height:1.5pt" o:hralign="center" o:hrstd="t" o:hr="t"/>
        </w:pict>
      </w:r>
    </w:p>
    <w:bookmarkEnd w:id="31"/>
    <w:bookmarkEnd w:id="32"/>
    <w:bookmarkStart w:id="33" w:name="Xae88a4b920858250a46f349791425b26518f955"/>
    <w:p>
      <w:pPr>
        <w:pStyle w:val="Heading2"/>
      </w:pPr>
      <w:r>
        <w:t xml:space="preserve">V. Confirmed Compliant and Consistent Items</w:t>
      </w:r>
    </w:p>
    <w:p>
      <w:pPr>
        <w:pStyle w:val="FirstParagraph"/>
      </w:pPr>
      <w:r>
        <w:t xml:space="preserve">For completeness, the following elements of the certified PERM are supported by, and consistent with, the supporting credentials, and require no remedial action:</w:t>
      </w:r>
    </w:p>
    <w:p>
      <w:pPr>
        <w:pStyle w:val="Compact"/>
        <w:numPr>
          <w:ilvl w:val="0"/>
          <w:numId w:val="1008"/>
        </w:numPr>
      </w:pPr>
      <w:r>
        <w:rPr>
          <w:b/>
          <w:bCs/>
        </w:rPr>
        <w:t xml:space="preserve">Education minimum (J.B.1).</w:t>
      </w:r>
      <w:r>
        <w:t xml:space="preserve"> </w:t>
      </w:r>
      <w:r>
        <w:t xml:space="preserve">The M.S. in Computer Science from NC State (conferred May 12, 2018) satisfies the</w:t>
      </w:r>
      <w:r>
        <w:t xml:space="preserve"> </w:t>
      </w:r>
      <w:r>
        <w:t xml:space="preserve">“</w:t>
      </w:r>
      <w:r>
        <w:t xml:space="preserve">Master’s degree in Computer Science, Machine Learning, or a closely related field</w:t>
      </w:r>
      <w:r>
        <w:t xml:space="preserve">”</w:t>
      </w:r>
      <w:r>
        <w:t xml:space="preserve"> </w:t>
      </w:r>
      <w:r>
        <w:t xml:space="preserve">requirement. The official transcript (issued May 20, 2025) confirms the May 12, 2018 conferral, which predates the March 15, 2025 PERM filing. (PERM § J.B.1; NC State transcript.)</w:t>
      </w:r>
    </w:p>
    <w:p>
      <w:pPr>
        <w:pStyle w:val="Compact"/>
        <w:numPr>
          <w:ilvl w:val="0"/>
          <w:numId w:val="1008"/>
        </w:numPr>
      </w:pPr>
      <w:r>
        <w:rPr>
          <w:b/>
          <w:bCs/>
        </w:rPr>
        <w:t xml:space="preserve">Foreign credential evaluation.</w:t>
      </w:r>
      <w:r>
        <w:t xml:space="preserve"> </w:t>
      </w:r>
      <w:r>
        <w:t xml:space="preserve">The IAE evaluation (NACES-member, Report No. IAE-2025-02-4738, dated February 15, 2025 — predating the March 15, 2025 filing) is properly scoped to the foreign B.Tech only and finds it equivalent to a U.S. bachelor’s in Electronics and Communication Engineering; the domestic M.S. requires no foreign evaluation. (IAE Report §§ 1, 5.)</w:t>
      </w:r>
    </w:p>
    <w:p>
      <w:pPr>
        <w:pStyle w:val="Compact"/>
        <w:numPr>
          <w:ilvl w:val="0"/>
          <w:numId w:val="1008"/>
        </w:numPr>
      </w:pPr>
      <w:r>
        <w:rPr>
          <w:b/>
          <w:bCs/>
        </w:rPr>
        <w:t xml:space="preserve">Offered wage vs. prevailing wage.</w:t>
      </w:r>
      <w:r>
        <w:t xml:space="preserve"> </w:t>
      </w:r>
      <w:r>
        <w:t xml:space="preserve">The offered wage of $142,000/year exceeds the prevailing wage of $131,747/year (Level III). (PERM §§ E.5, H.6, N.2; PWD § 3.)</w:t>
      </w:r>
    </w:p>
    <w:p>
      <w:pPr>
        <w:pStyle w:val="Compact"/>
        <w:numPr>
          <w:ilvl w:val="0"/>
          <w:numId w:val="1008"/>
        </w:numPr>
      </w:pPr>
      <w:r>
        <w:rPr>
          <w:b/>
          <w:bCs/>
        </w:rPr>
        <w:t xml:space="preserve">PWD validity.</w:t>
      </w:r>
      <w:r>
        <w:t xml:space="preserve"> </w:t>
      </w:r>
      <w:r>
        <w:t xml:space="preserve">The PWD (issued November 8, 2024; valid through November 7, 2025) was valid at the time of the March 15, 2025 filing. (PWD; PERM § E.)</w:t>
      </w:r>
    </w:p>
    <w:p>
      <w:pPr>
        <w:pStyle w:val="Compact"/>
        <w:numPr>
          <w:ilvl w:val="0"/>
          <w:numId w:val="1008"/>
        </w:numPr>
      </w:pPr>
      <w:r>
        <w:rPr>
          <w:b/>
          <w:bCs/>
        </w:rPr>
        <w:t xml:space="preserve">SOC code consistency.</w:t>
      </w:r>
      <w:r>
        <w:t xml:space="preserve"> </w:t>
      </w:r>
      <w:r>
        <w:t xml:space="preserve">SOC 15-2051 (Data Scientists) is consistent across the PERM and the PWD. (PERM §§ E.2, H.3; PWD § 2.)</w:t>
      </w:r>
    </w:p>
    <w:p>
      <w:pPr>
        <w:pStyle w:val="Compact"/>
        <w:numPr>
          <w:ilvl w:val="0"/>
          <w:numId w:val="1008"/>
        </w:numPr>
      </w:pPr>
      <w:r>
        <w:rPr>
          <w:b/>
          <w:bCs/>
        </w:rPr>
        <w:t xml:space="preserve">PWD minimums consistent with PERM.</w:t>
      </w:r>
      <w:r>
        <w:t xml:space="preserve"> </w:t>
      </w:r>
      <w:r>
        <w:t xml:space="preserve">The PWD’s minimum education (Master’s) and minimum experience (5 years) are consistent with PERM §§ J.B.1 and J.B.3. (PWD § 2; PERM § J.B.)</w:t>
      </w:r>
    </w:p>
    <w:p>
      <w:pPr>
        <w:pStyle w:val="Compact"/>
        <w:numPr>
          <w:ilvl w:val="0"/>
          <w:numId w:val="1008"/>
        </w:numPr>
      </w:pPr>
      <w:r>
        <w:rPr>
          <w:b/>
          <w:bCs/>
        </w:rPr>
        <w:t xml:space="preserve">Special skills (a)–(d) supported.</w:t>
      </w:r>
      <w:r>
        <w:t xml:space="preserve"> </w:t>
      </w:r>
      <w:r>
        <w:t xml:space="preserve">The DataBridge Data Scientist II experience supports (a) designing/deploying deep learning models with TensorFlow and PyTorch; (b) Apache Spark (MLlib) distributed training; (c) NLP pipeline development (NER, sentiment analysis); and (d) cloud-based ML deployment — the requirement is</w:t>
      </w:r>
      <w:r>
        <w:t xml:space="preserve"> </w:t>
      </w:r>
      <w:r>
        <w:t xml:space="preserve">“</w:t>
      </w:r>
      <w:r>
        <w:t xml:space="preserve">AWS SageMaker</w:t>
      </w:r>
      <w:r>
        <w:t xml:space="preserve"> </w:t>
      </w:r>
      <w:r>
        <w:rPr>
          <w:b/>
          <w:bCs/>
        </w:rPr>
        <w:t xml:space="preserve">or</w:t>
      </w:r>
      <w:r>
        <w:t xml:space="preserve"> </w:t>
      </w:r>
      <w:r>
        <w:t xml:space="preserve">Google Vertex AI,</w:t>
      </w:r>
      <w:r>
        <w:t xml:space="preserve">”</w:t>
      </w:r>
      <w:r>
        <w:t xml:space="preserve"> </w:t>
      </w:r>
      <w:r>
        <w:t xml:space="preserve">and the beneficiary’s documented AWS SageMaker deployment satisfies the</w:t>
      </w:r>
      <w:r>
        <w:t xml:space="preserve"> </w:t>
      </w:r>
      <w:r>
        <w:t xml:space="preserve">“</w:t>
      </w:r>
      <w:r>
        <w:t xml:space="preserve">or</w:t>
      </w:r>
      <w:r>
        <w:t xml:space="preserve">”</w:t>
      </w:r>
      <w:r>
        <w:t xml:space="preserve"> </w:t>
      </w:r>
      <w:r>
        <w:t xml:space="preserve">(she need not also have Google Vertex AI experience). (PERM § J.B.5(a)–(d); DataBridge letter § 3; résumé.)</w:t>
      </w:r>
    </w:p>
    <w:p>
      <w:pPr>
        <w:pStyle w:val="Compact"/>
        <w:numPr>
          <w:ilvl w:val="0"/>
          <w:numId w:val="1008"/>
        </w:numPr>
      </w:pPr>
      <w:r>
        <w:rPr>
          <w:b/>
          <w:bCs/>
        </w:rPr>
        <w:t xml:space="preserve">Progressive experience.</w:t>
      </w:r>
      <w:r>
        <w:t xml:space="preserve"> </w:t>
      </w:r>
      <w:r>
        <w:t xml:space="preserve">The promotion from Data Scientist I to Data Scientist II (effective January 4, 2021) supports the</w:t>
      </w:r>
      <w:r>
        <w:t xml:space="preserve"> </w:t>
      </w:r>
      <w:r>
        <w:t xml:space="preserve">“</w:t>
      </w:r>
      <w:r>
        <w:t xml:space="preserve">progressive</w:t>
      </w:r>
      <w:r>
        <w:t xml:space="preserve">”</w:t>
      </w:r>
      <w:r>
        <w:t xml:space="preserve"> </w:t>
      </w:r>
      <w:r>
        <w:t xml:space="preserve">characterization of the post-master’s experience. (PERM § J.B.3; DataBridge letter §§ 1–3.)</w:t>
      </w:r>
    </w:p>
    <w:p>
      <w:pPr>
        <w:pStyle w:val="Compact"/>
        <w:numPr>
          <w:ilvl w:val="0"/>
          <w:numId w:val="1008"/>
        </w:numPr>
      </w:pPr>
      <w:r>
        <w:rPr>
          <w:b/>
          <w:bCs/>
        </w:rPr>
        <w:t xml:space="preserve">No qualifying experience with the petitioning employer.</w:t>
      </w:r>
      <w:r>
        <w:t xml:space="preserve"> </w:t>
      </w:r>
      <w:r>
        <w:t xml:space="preserve">The beneficiary has never been employed by Prismex Analytics (PERM §§ I.10, I.11, K.5), so no experience gained with the petitioning employer is being used to qualify — no issue under the restrictions on using petitioning-employer experience.</w:t>
      </w:r>
    </w:p>
    <w:p>
      <w:pPr>
        <w:pStyle w:val="Compact"/>
        <w:numPr>
          <w:ilvl w:val="0"/>
          <w:numId w:val="1008"/>
        </w:numPr>
      </w:pPr>
      <w:r>
        <w:rPr>
          <w:b/>
          <w:bCs/>
        </w:rPr>
        <w:t xml:space="preserve">Biographic and identity-data consistency.</w:t>
      </w:r>
      <w:r>
        <w:t xml:space="preserve"> </w:t>
      </w:r>
      <w:r>
        <w:t xml:space="preserve">The beneficiary’s date of birth (March 14, 1991), passport number (T4827361, India), residential address (2417 Hillsborough St, Apt 6C, Raleigh, NC 27607), SEVIS ID (N0003847261), and I-94 number (94-2023-08741256) are consistent across the PERM (Sections I.2, I.5, I.7–I.9), the résumé, the NC State transcript, the IAE evaluation, and the HR email. (PERM § I; NC State transcript; IAE Report; résumé; HR email.)</w:t>
      </w:r>
    </w:p>
    <w:p>
      <w:r>
        <w:pict>
          <v:rect style="width:0;height:1.5pt" o:hralign="center" o:hrstd="t" o:hr="t"/>
        </w:pict>
      </w:r>
    </w:p>
    <w:bookmarkEnd w:id="33"/>
    <w:bookmarkStart w:id="34" w:name="vi.-prioritized-action-plan"/>
    <w:p>
      <w:pPr>
        <w:pStyle w:val="Heading2"/>
      </w:pPr>
      <w:r>
        <w:t xml:space="preserve">VI. Prioritized Action Plan</w:t>
      </w:r>
    </w:p>
    <w:p>
      <w:pPr>
        <w:pStyle w:val="FirstParagraph"/>
      </w:pPr>
      <w:r>
        <w:rPr>
          <w:b/>
          <w:bCs/>
        </w:rPr>
        <w:t xml:space="preserve">Priority 1 — Critical (resolve before I-140 filing):</w:t>
      </w:r>
    </w:p>
    <w:p>
      <w:pPr>
        <w:pStyle w:val="Compact"/>
        <w:numPr>
          <w:ilvl w:val="0"/>
          <w:numId w:val="1009"/>
        </w:numPr>
      </w:pPr>
      <w:r>
        <w:t xml:space="preserve">Reconcile the AWS Certified Machine Learning – Specialty certification gap (Issues 1–3): counsel the employer on the K.3 attestation discrepancy; pursue the certification for the beneficiary; assemble business-necessity documentation; and evaluate correction/refiling options against the September 15, 2025 STEM OPT deadline.</w:t>
      </w:r>
    </w:p>
    <w:p>
      <w:pPr>
        <w:pStyle w:val="Compact"/>
        <w:numPr>
          <w:ilvl w:val="0"/>
          <w:numId w:val="1009"/>
        </w:numPr>
      </w:pPr>
      <w:r>
        <w:t xml:space="preserve">Resolve the recruitment-consistency exposure (Issue 16): review the recruitment record to confirm whether the certification was applied as a screening criterion against U.S. applicants, and request the full underlying recruitment file from the employer/Broadleaf (not currently in the package).</w:t>
      </w:r>
    </w:p>
    <w:p>
      <w:pPr>
        <w:pStyle w:val="FirstParagraph"/>
      </w:pPr>
      <w:r>
        <w:rPr>
          <w:b/>
          <w:bCs/>
        </w:rPr>
        <w:t xml:space="preserve">Priority 2 — Material:</w:t>
      </w:r>
    </w:p>
    <w:p>
      <w:pPr>
        <w:pStyle w:val="Compact"/>
        <w:numPr>
          <w:ilvl w:val="0"/>
          <w:numId w:val="1010"/>
        </w:numPr>
      </w:pPr>
      <w:r>
        <w:t xml:space="preserve">Document R proficiency or assess the requirement (Issue 5).</w:t>
      </w:r>
    </w:p>
    <w:p>
      <w:pPr>
        <w:pStyle w:val="Compact"/>
        <w:numPr>
          <w:ilvl w:val="0"/>
          <w:numId w:val="1010"/>
        </w:numPr>
      </w:pPr>
      <w:r>
        <w:t xml:space="preserve">Reconcile the FEIN mismatch between the PERM and the PWD (Issue 6).</w:t>
      </w:r>
    </w:p>
    <w:p>
      <w:pPr>
        <w:pStyle w:val="FirstParagraph"/>
      </w:pPr>
      <w:r>
        <w:rPr>
          <w:b/>
          <w:bCs/>
        </w:rPr>
        <w:t xml:space="preserve">Priority 3 — Moderate (documentation/accuracy):</w:t>
      </w:r>
    </w:p>
    <w:p>
      <w:pPr>
        <w:pStyle w:val="Compact"/>
        <w:numPr>
          <w:ilvl w:val="0"/>
          <w:numId w:val="1011"/>
        </w:numPr>
      </w:pPr>
      <w:r>
        <w:t xml:space="preserve">Obtain an NC State RA experience verification letter via alternative channels (Issue 7).</w:t>
      </w:r>
    </w:p>
    <w:p>
      <w:pPr>
        <w:pStyle w:val="Compact"/>
        <w:numPr>
          <w:ilvl w:val="0"/>
          <w:numId w:val="1011"/>
        </w:numPr>
      </w:pPr>
      <w:r>
        <w:t xml:space="preserve">Add the underlying B.Tech degree certificate and marksheets to the package (Issue 8).</w:t>
      </w:r>
    </w:p>
    <w:p>
      <w:pPr>
        <w:pStyle w:val="Compact"/>
        <w:numPr>
          <w:ilvl w:val="0"/>
          <w:numId w:val="1011"/>
        </w:numPr>
      </w:pPr>
      <w:r>
        <w:t xml:space="preserve">Reconcile the</w:t>
      </w:r>
      <w:r>
        <w:t xml:space="preserve"> </w:t>
      </w:r>
      <w:r>
        <w:t xml:space="preserve">“</w:t>
      </w:r>
      <w:r>
        <w:t xml:space="preserve">Dr.</w:t>
      </w:r>
      <w:r>
        <w:t xml:space="preserve">”</w:t>
      </w:r>
      <w:r>
        <w:t xml:space="preserve"> </w:t>
      </w:r>
      <w:r>
        <w:t xml:space="preserve">title with the documented (master’s-level) credentials (Issue 9).</w:t>
      </w:r>
    </w:p>
    <w:p>
      <w:pPr>
        <w:pStyle w:val="FirstParagraph"/>
      </w:pPr>
      <w:r>
        <w:rPr>
          <w:b/>
          <w:bCs/>
        </w:rPr>
        <w:t xml:space="preserve">Priority 4 — Low / consistency:</w:t>
      </w:r>
    </w:p>
    <w:p>
      <w:pPr>
        <w:pStyle w:val="Compact"/>
        <w:numPr>
          <w:ilvl w:val="0"/>
          <w:numId w:val="1012"/>
        </w:numPr>
      </w:pPr>
      <w:r>
        <w:t xml:space="preserve">Use precise post-master’s experience figures and attribute qualifying experience to DataBridge only (Issues 10–11).</w:t>
      </w:r>
    </w:p>
    <w:p>
      <w:pPr>
        <w:pStyle w:val="Compact"/>
        <w:numPr>
          <w:ilvl w:val="0"/>
          <w:numId w:val="1012"/>
        </w:numPr>
      </w:pPr>
      <w:r>
        <w:t xml:space="preserve">Confirm the supervisory-scope item is a job condition (Issue 12).</w:t>
      </w:r>
    </w:p>
    <w:p>
      <w:pPr>
        <w:pStyle w:val="Compact"/>
        <w:numPr>
          <w:ilvl w:val="0"/>
          <w:numId w:val="1012"/>
        </w:numPr>
      </w:pPr>
      <w:r>
        <w:t xml:space="preserve">Reconcile the HR phone number; note letter timing; distinguish résumé total-experience from PERM post-master’s experience (Issues 13–15).</w:t>
      </w:r>
    </w:p>
    <w:p>
      <w:pPr>
        <w:pStyle w:val="Compact"/>
        <w:numPr>
          <w:ilvl w:val="0"/>
          <w:numId w:val="1012"/>
        </w:numPr>
      </w:pPr>
      <w:r>
        <w:t xml:space="preserve">Reconcile the DataBridge Data Scientist I end date to match the official record (Issue 17).</w:t>
      </w:r>
    </w:p>
    <w:p>
      <w:pPr>
        <w:pStyle w:val="Compact"/>
        <w:numPr>
          <w:ilvl w:val="0"/>
          <w:numId w:val="1012"/>
        </w:numPr>
      </w:pPr>
      <w:r>
        <w:t xml:space="preserve">Assemble ability-to-pay documentation from Cornerpoint Payroll Services before I-140 filing (Issue 18).</w:t>
      </w:r>
    </w:p>
    <w:p>
      <w:r>
        <w:pict>
          <v:rect style="width:0;height:1.5pt" o:hralign="center" o:hrstd="t" o:hr="t"/>
        </w:pict>
      </w:r>
    </w:p>
    <w:bookmarkEnd w:id="34"/>
    <w:bookmarkStart w:id="35" w:name="vii.-risk-assessment-and-next-steps"/>
    <w:p>
      <w:pPr>
        <w:pStyle w:val="Heading2"/>
      </w:pPr>
      <w:r>
        <w:t xml:space="preserve">VII. Risk Assessment and Next Steps</w:t>
      </w:r>
    </w:p>
    <w:p>
      <w:pPr>
        <w:pStyle w:val="FirstParagraph"/>
      </w:pPr>
      <w:r>
        <w:t xml:space="preserve">The certified PERM is, on its face, approvable as to education, core experience, and wage. The</w:t>
      </w:r>
      <w:r>
        <w:t xml:space="preserve"> </w:t>
      </w:r>
      <w:r>
        <w:rPr>
          <w:b/>
          <w:bCs/>
        </w:rPr>
        <w:t xml:space="preserve">decisive risk</w:t>
      </w:r>
      <w:r>
        <w:t xml:space="preserve"> </w:t>
      </w:r>
      <w:r>
        <w:t xml:space="preserve">is the certification gap in Section J.B.5, compounded by the K.3 attestation: the beneficiary does not hold the required AWS Certified Machine Learning – Specialty certification (or an equivalent), yet the certified application attests that she does. This exposure is live for (a) a DOL audit/revocation of the certification and (b) USCIS adjudication of the I-140, where the beneficiary’s qualifications are evaluated as of the PERM filing date. The secondary risks are the R-proficiency evidence, the FEIN discrepancy, the recruitment-consistency exposure (Issue 16), and the documentation gaps (RA letter; underlying foreign-degree evidence).</w:t>
      </w:r>
    </w:p>
    <w:p>
      <w:pPr>
        <w:pStyle w:val="BodyText"/>
      </w:pPr>
      <w:r>
        <w:t xml:space="preserve">We recommend that Prismex</w:t>
      </w:r>
      <w:r>
        <w:t xml:space="preserve"> </w:t>
      </w:r>
      <w:r>
        <w:rPr>
          <w:b/>
          <w:bCs/>
        </w:rPr>
        <w:t xml:space="preserve">not authorize I-140 filing</w:t>
      </w:r>
      <w:r>
        <w:t xml:space="preserve"> </w:t>
      </w:r>
      <w:r>
        <w:t xml:space="preserve">until the Priority 1 certification issue is resolved or a documented, informed risk decision is recorded. Given the September 15, 2025 STEM OPT expiration, we will move quickly to (i) confirm the certification path and timing, (ii) assemble business-necessity and recruitment-consistency documentation, and (iii) reconcile the FEIN and documentation items in parallel, and we will report back with a recommended filing strategy and timeline.</w:t>
      </w:r>
    </w:p>
    <w:p>
      <w:pPr>
        <w:pStyle w:val="BodyText"/>
      </w:pPr>
      <w:r>
        <w:t xml:space="preserve">Please let us know if you would like to schedule a call with Rajiv to review the Priority 1 items. We are available at your convenience.</w:t>
      </w:r>
    </w:p>
    <w:p>
      <w:pPr>
        <w:pStyle w:val="BodyText"/>
      </w:pPr>
      <w:r>
        <w:rPr>
          <w:i/>
          <w:iCs/>
        </w:rPr>
        <w:t xml:space="preserve">This memorandum is privileged and confidential, constitutes attorney work product, and is intended solely for the named recipients in connection with the above-referenced matter.</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2026-06-27T01:11:44Z</dcterms:created>
  <dcterms:modified xsi:type="dcterms:W3CDTF">2026-06-27T01:11:44Z</dcterms:modified>
</cp:coreProperties>
</file>

<file path=docProps/custom.xml><?xml version="1.0" encoding="utf-8"?>
<Properties xmlns="http://schemas.openxmlformats.org/officeDocument/2006/custom-properties" xmlns:vt="http://schemas.openxmlformats.org/officeDocument/2006/docPropsVTypes"/>
</file>