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189c682bce14fdefea26e9bef009b113297d449"/>
    <w:p>
      <w:pPr>
        <w:pStyle w:val="Heading1"/>
      </w:pPr>
      <w:r>
        <w:t xml:space="preserve">PRIVILEGED &amp; CONFIDENTIAL — ATTORNEY WORK PRODUCT / PREPARED IN ANTICIPATION OF LITIGATION</w:t>
      </w:r>
    </w:p>
    <w:bookmarkStart w:id="20" w:name="memorandum"/>
    <w:p>
      <w:pPr>
        <w:pStyle w:val="Heading2"/>
      </w:pPr>
      <w:r>
        <w:t xml:space="preserve">MEMORANDUM</w:t>
      </w:r>
    </w:p>
    <w:p>
      <w:pPr>
        <w:pStyle w:val="FirstParagraph"/>
      </w:pPr>
      <w:r>
        <w:rPr>
          <w:b/>
          <w:bCs/>
        </w:rPr>
        <w:t xml:space="preserve">TO:</w:t>
      </w:r>
      <w:r>
        <w:t xml:space="preserve"> </w:t>
      </w:r>
      <w:r>
        <w:t xml:space="preserve">Immigration Case File; Daniel Okafor, Esq., Holloway Sterne LLP (Attorney of Record)</w:t>
      </w:r>
      <w:r>
        <w:t xml:space="preserve"> </w:t>
      </w:r>
      <w:r>
        <w:rPr>
          <w:b/>
          <w:bCs/>
        </w:rPr>
        <w:t xml:space="preserve">FROM:</w:t>
      </w:r>
      <w:r>
        <w:t xml:space="preserve"> </w:t>
      </w:r>
      <w:r>
        <w:t xml:space="preserve">Petition Review / Quality Control</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Issue Identification — H-1B Petition on Behalf of Rajesh Venkataraman (Brightfield Analytics Inc.; Senior Machine Learning Engineer; SOC 15-2051; Certified LCA No. I-200-25031-543219)</w:t>
      </w:r>
    </w:p>
    <w:p>
      <w:r>
        <w:pict>
          <v:rect style="width:0;height:1.5pt" o:hralign="center" o:hrstd="t" o:hr="t"/>
        </w:pict>
      </w:r>
    </w:p>
    <w:bookmarkEnd w:id="20"/>
    <w:bookmarkStart w:id="23" w:name="i.-introduction-and-scope"/>
    <w:p>
      <w:pPr>
        <w:pStyle w:val="Heading2"/>
      </w:pPr>
      <w:r>
        <w:t xml:space="preserve">I. Introduction and Scope</w:t>
      </w:r>
    </w:p>
    <w:p>
      <w:pPr>
        <w:pStyle w:val="FirstParagraph"/>
      </w:pPr>
      <w:r>
        <w:t xml:space="preserve">This memorandum reports the results of a cross-referenced review of the H-1B petition package assembled on behalf of</w:t>
      </w:r>
      <w:r>
        <w:t xml:space="preserve"> </w:t>
      </w:r>
      <w:r>
        <w:rPr>
          <w:b/>
          <w:bCs/>
        </w:rPr>
        <w:t xml:space="preserve">Rajesh Venkataraman</w:t>
      </w:r>
      <w:r>
        <w:t xml:space="preserve"> </w:t>
      </w:r>
      <w:r>
        <w:t xml:space="preserve">(the</w:t>
      </w:r>
      <w:r>
        <w:t xml:space="preserve"> </w:t>
      </w:r>
      <w:r>
        <w:t xml:space="preserve">“</w:t>
      </w:r>
      <w:r>
        <w:t xml:space="preserve">Beneficiary</w:t>
      </w:r>
      <w:r>
        <w:t xml:space="preserve">”</w:t>
      </w:r>
      <w:r>
        <w:t xml:space="preserve">), to be filed by</w:t>
      </w:r>
      <w:r>
        <w:t xml:space="preserve"> </w:t>
      </w:r>
      <w:r>
        <w:rPr>
          <w:b/>
          <w:bCs/>
        </w:rPr>
        <w:t xml:space="preserve">Brightfield Analytics Inc.</w:t>
      </w:r>
      <w:r>
        <w:t xml:space="preserve"> </w:t>
      </w:r>
      <w:r>
        <w:t xml:space="preserve">(the</w:t>
      </w:r>
      <w:r>
        <w:t xml:space="preserve"> </w:t>
      </w:r>
      <w:r>
        <w:t xml:space="preserve">“</w:t>
      </w:r>
      <w:r>
        <w:t xml:space="preserve">Petitioner</w:t>
      </w:r>
      <w:r>
        <w:t xml:space="preserve">”</w:t>
      </w:r>
      <w:r>
        <w:t xml:space="preserve">) for the position of</w:t>
      </w:r>
      <w:r>
        <w:t xml:space="preserve"> </w:t>
      </w:r>
      <w:r>
        <w:rPr>
          <w:b/>
          <w:bCs/>
        </w:rPr>
        <w:t xml:space="preserve">Senior Machine Learning Engineer</w:t>
      </w:r>
      <w:r>
        <w:t xml:space="preserve"> </w:t>
      </w:r>
      <w:r>
        <w:t xml:space="preserve">(SOC 15-2051, Data Scientists). The purpose of the review is to identify internal inconsistencies, cross-document conflicts, legal vulnerabilities, and documentation gaps</w:t>
      </w:r>
      <w:r>
        <w:t xml:space="preserve"> </w:t>
      </w:r>
      <w:r>
        <w:rPr>
          <w:b/>
          <w:bCs/>
        </w:rPr>
        <w:t xml:space="preserve">before</w:t>
      </w:r>
      <w:r>
        <w:t xml:space="preserve"> </w:t>
      </w:r>
      <w:r>
        <w:t xml:space="preserve">the package is filed with U.S. Citizenship and Immigration Services (</w:t>
      </w:r>
      <w:r>
        <w:t xml:space="preserve">“</w:t>
      </w:r>
      <w:r>
        <w:t xml:space="preserve">USCIS</w:t>
      </w:r>
      <w:r>
        <w:t xml:space="preserve">”</w:t>
      </w:r>
      <w:r>
        <w:t xml:space="preserve">), so that corrections and supplementation can be made.</w:t>
      </w:r>
    </w:p>
    <w:bookmarkStart w:id="21" w:name="documents-reviewed"/>
    <w:p>
      <w:pPr>
        <w:pStyle w:val="Heading3"/>
      </w:pPr>
      <w:r>
        <w:t xml:space="preserve">Documents Reviewed</w:t>
      </w:r>
    </w:p>
    <w:p>
      <w:pPr>
        <w:pStyle w:val="Compact"/>
        <w:numPr>
          <w:ilvl w:val="0"/>
          <w:numId w:val="1001"/>
        </w:numPr>
      </w:pPr>
      <w:r>
        <w:t xml:space="preserve">Beneficiary résumé (</w:t>
      </w:r>
      <w:r>
        <w:t xml:space="preserve">“</w:t>
      </w:r>
      <w:r>
        <w:t xml:space="preserve">Résumé</w:t>
      </w:r>
      <w:r>
        <w:t xml:space="preserve">”</w:t>
      </w:r>
      <w:r>
        <w:t xml:space="preserve">)</w:t>
      </w:r>
    </w:p>
    <w:p>
      <w:pPr>
        <w:pStyle w:val="Compact"/>
        <w:numPr>
          <w:ilvl w:val="0"/>
          <w:numId w:val="1001"/>
        </w:numPr>
      </w:pPr>
      <w:r>
        <w:t xml:space="preserve">Certified Labor Condition Application, ETA Form 9035/9035E, Case No. I-200-25031-543219 (</w:t>
      </w:r>
      <w:r>
        <w:t xml:space="preserve">“</w:t>
      </w:r>
      <w:r>
        <w:t xml:space="preserve">LCA</w:t>
      </w:r>
      <w:r>
        <w:t xml:space="preserve">”</w:t>
      </w:r>
      <w:r>
        <w:t xml:space="preserve">)</w:t>
      </w:r>
    </w:p>
    <w:p>
      <w:pPr>
        <w:pStyle w:val="Compact"/>
        <w:numPr>
          <w:ilvl w:val="0"/>
          <w:numId w:val="1001"/>
        </w:numPr>
      </w:pPr>
      <w:r>
        <w:t xml:space="preserve">Foreign Credential Evaluation Report, Westbridge Credential Services, No. WCS-2025-03187 (</w:t>
      </w:r>
      <w:r>
        <w:t xml:space="preserve">“</w:t>
      </w:r>
      <w:r>
        <w:t xml:space="preserve">Credential Evaluation</w:t>
      </w:r>
      <w:r>
        <w:t xml:space="preserve">”</w:t>
      </w:r>
      <w:r>
        <w:t xml:space="preserve">)</w:t>
      </w:r>
    </w:p>
    <w:p>
      <w:pPr>
        <w:pStyle w:val="Compact"/>
        <w:numPr>
          <w:ilvl w:val="0"/>
          <w:numId w:val="1001"/>
        </w:numPr>
      </w:pPr>
      <w:r>
        <w:t xml:space="preserve">Employer Support Letter, Brightfield Analytics Inc., dated April 7, 2025 (</w:t>
      </w:r>
      <w:r>
        <w:t xml:space="preserve">“</w:t>
      </w:r>
      <w:r>
        <w:t xml:space="preserve">Support Letter</w:t>
      </w:r>
      <w:r>
        <w:t xml:space="preserve">”</w:t>
      </w:r>
      <w:r>
        <w:t xml:space="preserve">)</w:t>
      </w:r>
    </w:p>
    <w:p>
      <w:pPr>
        <w:pStyle w:val="Compact"/>
        <w:numPr>
          <w:ilvl w:val="0"/>
          <w:numId w:val="1001"/>
        </w:numPr>
      </w:pPr>
      <w:r>
        <w:t xml:space="preserve">JNTU Hyderabad Official Transcript of Academic Record, Ref. No. JNTUH/ECE/2014/08347 (</w:t>
      </w:r>
      <w:r>
        <w:t xml:space="preserve">“</w:t>
      </w:r>
      <w:r>
        <w:t xml:space="preserve">Transcripts</w:t>
      </w:r>
      <w:r>
        <w:t xml:space="preserve">”</w:t>
      </w:r>
      <w:r>
        <w:t xml:space="preserve">)</w:t>
      </w:r>
    </w:p>
    <w:p>
      <w:pPr>
        <w:pStyle w:val="Compact"/>
        <w:numPr>
          <w:ilvl w:val="0"/>
          <w:numId w:val="1001"/>
        </w:numPr>
      </w:pPr>
      <w:r>
        <w:t xml:space="preserve">Kiran Software Solutions Pvt. Ltd. experience letter, dated February 18, 2025 (</w:t>
      </w:r>
      <w:r>
        <w:t xml:space="preserve">“</w:t>
      </w:r>
      <w:r>
        <w:t xml:space="preserve">Kiran Letter</w:t>
      </w:r>
      <w:r>
        <w:t xml:space="preserve">”</w:t>
      </w:r>
      <w:r>
        <w:t xml:space="preserve">)</w:t>
      </w:r>
    </w:p>
    <w:p>
      <w:pPr>
        <w:pStyle w:val="Compact"/>
        <w:numPr>
          <w:ilvl w:val="0"/>
          <w:numId w:val="1001"/>
        </w:numPr>
      </w:pPr>
      <w:r>
        <w:t xml:space="preserve">LCA Notice of Filing / Posting Notice (</w:t>
      </w:r>
      <w:r>
        <w:t xml:space="preserve">“</w:t>
      </w:r>
      <w:r>
        <w:t xml:space="preserve">Posting Notice</w:t>
      </w:r>
      <w:r>
        <w:t xml:space="preserve">”</w:t>
      </w:r>
      <w:r>
        <w:t xml:space="preserve">)</w:t>
      </w:r>
    </w:p>
    <w:p>
      <w:pPr>
        <w:pStyle w:val="Compact"/>
        <w:numPr>
          <w:ilvl w:val="0"/>
          <w:numId w:val="1001"/>
        </w:numPr>
      </w:pPr>
      <w:r>
        <w:t xml:space="preserve">NovaStar Data Systems LLC experience letter, dated March 5, 2025 (</w:t>
      </w:r>
      <w:r>
        <w:t xml:space="preserve">“</w:t>
      </w:r>
      <w:r>
        <w:t xml:space="preserve">NovaStar Letter</w:t>
      </w:r>
      <w:r>
        <w:t xml:space="preserve">”</w:t>
      </w:r>
      <w:r>
        <w:t xml:space="preserve">)</w:t>
      </w:r>
    </w:p>
    <w:p>
      <w:pPr>
        <w:pStyle w:val="Compact"/>
        <w:numPr>
          <w:ilvl w:val="0"/>
          <w:numId w:val="1001"/>
        </w:numPr>
      </w:pPr>
      <w:r>
        <w:t xml:space="preserve">Brightfield Analytics Inc. Organizational Chart — Data Science &amp; Machine Learning Group (</w:t>
      </w:r>
      <w:r>
        <w:t xml:space="preserve">“</w:t>
      </w:r>
      <w:r>
        <w:t xml:space="preserve">Org Chart</w:t>
      </w:r>
      <w:r>
        <w:t xml:space="preserve">”</w:t>
      </w:r>
      <w:r>
        <w:t xml:space="preserve">)</w:t>
      </w:r>
    </w:p>
    <w:p>
      <w:pPr>
        <w:pStyle w:val="Compact"/>
        <w:numPr>
          <w:ilvl w:val="0"/>
          <w:numId w:val="1001"/>
        </w:numPr>
      </w:pPr>
      <w:r>
        <w:t xml:space="preserve">U.S. Department of Labor Prevailing Wage Determination, Case No. P-300-25012-183456 (</w:t>
      </w:r>
      <w:r>
        <w:t xml:space="preserve">“</w:t>
      </w:r>
      <w:r>
        <w:t xml:space="preserve">PWD</w:t>
      </w:r>
      <w:r>
        <w:t xml:space="preserve">”</w:t>
      </w:r>
      <w:r>
        <w:t xml:space="preserve">)</w:t>
      </w:r>
    </w:p>
    <w:bookmarkEnd w:id="21"/>
    <w:bookmarkStart w:id="22" w:name="methodology"/>
    <w:p>
      <w:pPr>
        <w:pStyle w:val="Heading3"/>
      </w:pPr>
      <w:r>
        <w:t xml:space="preserve">Methodology</w:t>
      </w:r>
    </w:p>
    <w:p>
      <w:pPr>
        <w:pStyle w:val="FirstParagraph"/>
      </w:pPr>
      <w:r>
        <w:t xml:space="preserve">Each data element (identity, employer, position, wage, dates, education, experience, and attestations) was traced across every document in which it appears. Items that reconcile are listed in Part III. Items that conflict, that are legally vulnerable, or that are unsupported by documentation are set out in Part IV, organized by severity. Part V contains recommended corrective actions.</w:t>
      </w:r>
    </w:p>
    <w:p>
      <w:r>
        <w:pict>
          <v:rect style="width:0;height:1.5pt" o:hralign="center" o:hrstd="t" o:hr="t"/>
        </w:pict>
      </w:r>
    </w:p>
    <w:bookmarkEnd w:id="22"/>
    <w:bookmarkEnd w:id="23"/>
    <w:bookmarkStart w:id="24" w:name="ii.-executive-summary"/>
    <w:p>
      <w:pPr>
        <w:pStyle w:val="Heading2"/>
      </w:pPr>
      <w:r>
        <w:t xml:space="preserve">II. Executive Summary</w:t>
      </w:r>
    </w:p>
    <w:p>
      <w:pPr>
        <w:pStyle w:val="FirstParagraph"/>
      </w:pPr>
      <w:r>
        <w:t xml:space="preserve">The package is, on the whole, internally coherent on the core petition elements: the identity of the Beneficiary and Petitioner, the proffered position and SOC code, the certified LCA, the prevailing wage, and the offered wage are consistent across the principal documents, and the offered wage ($128,000) exceeds the certified Level 2 prevailing wage ($113,734). The Petitioner’s size and revenue ($41.2M; 187 employees) make ability-to-pay a low risk.</w:t>
      </w:r>
    </w:p>
    <w:p>
      <w:pPr>
        <w:pStyle w:val="BodyText"/>
      </w:pPr>
      <w:r>
        <w:t xml:space="preserve">However, the review identifies</w:t>
      </w:r>
      <w:r>
        <w:t xml:space="preserve"> </w:t>
      </w:r>
      <w:r>
        <w:rPr>
          <w:b/>
          <w:bCs/>
        </w:rPr>
        <w:t xml:space="preserve">four critical issues</w:t>
      </w:r>
      <w:r>
        <w:t xml:space="preserve"> </w:t>
      </w:r>
      <w:r>
        <w:t xml:space="preserve">that, if not corrected, create a material risk of a Request for Evidence (</w:t>
      </w:r>
      <w:r>
        <w:t xml:space="preserve">“</w:t>
      </w:r>
      <w:r>
        <w:t xml:space="preserve">RFE</w:t>
      </w:r>
      <w:r>
        <w:t xml:space="preserve">”</w:t>
      </w:r>
      <w:r>
        <w:t xml:space="preserve">), a Notice of Intent to Deny (</w:t>
      </w:r>
      <w:r>
        <w:t xml:space="preserve">“</w:t>
      </w:r>
      <w:r>
        <w:t xml:space="preserve">NOID</w:t>
      </w:r>
      <w:r>
        <w:t xml:space="preserve">”</w:t>
      </w:r>
      <w:r>
        <w:t xml:space="preserve">), or a Department of Labor (</w:t>
      </w:r>
      <w:r>
        <w:t xml:space="preserve">“</w:t>
      </w:r>
      <w:r>
        <w:t xml:space="preserve">DOL</w:t>
      </w:r>
      <w:r>
        <w:t xml:space="preserve">”</w:t>
      </w:r>
      <w:r>
        <w:t xml:space="preserve">) compliance finding, and</w:t>
      </w:r>
      <w:r>
        <w:t xml:space="preserve"> </w:t>
      </w:r>
      <w:r>
        <w:rPr>
          <w:b/>
          <w:bCs/>
        </w:rPr>
        <w:t xml:space="preserve">seven moderate issues</w:t>
      </w:r>
      <w:r>
        <w:t xml:space="preserve"> </w:t>
      </w:r>
      <w:r>
        <w:t xml:space="preserve">and</w:t>
      </w:r>
      <w:r>
        <w:t xml:space="preserve"> </w:t>
      </w:r>
      <w:r>
        <w:rPr>
          <w:b/>
          <w:bCs/>
        </w:rPr>
        <w:t xml:space="preserve">several minor/documentation issues</w:t>
      </w:r>
      <w:r>
        <w:t xml:space="preserve"> </w:t>
      </w:r>
      <w:r>
        <w:t xml:space="preserve">that should be addressed before filing. The most serious concerns are:</w:t>
      </w:r>
    </w:p>
    <w:p>
      <w:pPr>
        <w:numPr>
          <w:ilvl w:val="0"/>
          <w:numId w:val="1002"/>
        </w:numPr>
      </w:pPr>
      <w:r>
        <w:rPr>
          <w:b/>
          <w:bCs/>
        </w:rPr>
        <w:t xml:space="preserve">Prevailing wage level mismatch.</w:t>
      </w:r>
      <w:r>
        <w:t xml:space="preserve"> </w:t>
      </w:r>
      <w:r>
        <w:t xml:space="preserve">The position is described as a</w:t>
      </w:r>
      <w:r>
        <w:t xml:space="preserve"> </w:t>
      </w:r>
      <w:r>
        <w:rPr>
          <w:i/>
          <w:iCs/>
        </w:rPr>
        <w:t xml:space="preserve">senior</w:t>
      </w:r>
      <w:r>
        <w:t xml:space="preserve">,</w:t>
      </w:r>
      <w:r>
        <w:t xml:space="preserve"> </w:t>
      </w:r>
      <w:r>
        <w:rPr>
          <w:i/>
          <w:iCs/>
        </w:rPr>
        <w:t xml:space="preserve">supervisory</w:t>
      </w:r>
      <w:r>
        <w:t xml:space="preserve"> </w:t>
      </w:r>
      <w:r>
        <w:t xml:space="preserve">role requiring</w:t>
      </w:r>
      <w:r>
        <w:t xml:space="preserve"> </w:t>
      </w:r>
      <w:r>
        <w:rPr>
          <w:i/>
          <w:iCs/>
        </w:rPr>
        <w:t xml:space="preserve">independent judgment</w:t>
      </w:r>
      <w:r>
        <w:t xml:space="preserve"> </w:t>
      </w:r>
      <w:r>
        <w:t xml:space="preserve">and reporting to the CTO, yet the PWD was issued at</w:t>
      </w:r>
      <w:r>
        <w:t xml:space="preserve"> </w:t>
      </w:r>
      <w:r>
        <w:rPr>
          <w:b/>
          <w:bCs/>
        </w:rPr>
        <w:t xml:space="preserve">Wage Level 2</w:t>
      </w:r>
      <w:r>
        <w:t xml:space="preserve"> </w:t>
      </w:r>
      <w:r>
        <w:t xml:space="preserve">(</w:t>
      </w:r>
      <w:r>
        <w:t xml:space="preserve">“</w:t>
      </w:r>
      <w:r>
        <w:t xml:space="preserve">moderately complex tasks requiring limited judgment</w:t>
      </w:r>
      <w:r>
        <w:t xml:space="preserve">”</w:t>
      </w:r>
      <w:r>
        <w:t xml:space="preserve">). The offered wage of $128,000 exceeds Level 2 ($113,734) but</w:t>
      </w:r>
      <w:r>
        <w:t xml:space="preserve"> </w:t>
      </w:r>
      <w:r>
        <w:rPr>
          <w:b/>
          <w:bCs/>
        </w:rPr>
        <w:t xml:space="preserve">falls below Level 3 ($137,946)</w:t>
      </w:r>
      <w:r>
        <w:t xml:space="preserve">. If the wage level is properly Level 3 (or 4), the Petitioner is not paying the required prevailing wage — an LCA compliance violation and a petition vulnerability.</w:t>
      </w:r>
    </w:p>
    <w:p>
      <w:pPr>
        <w:numPr>
          <w:ilvl w:val="0"/>
          <w:numId w:val="1002"/>
        </w:numPr>
      </w:pPr>
      <w:r>
        <w:rPr>
          <w:b/>
          <w:bCs/>
        </w:rPr>
        <w:t xml:space="preserve">Beneficiary field-of-study /</w:t>
      </w:r>
      <w:r>
        <w:rPr>
          <w:b/>
          <w:bCs/>
        </w:rPr>
        <w:t xml:space="preserve"> </w:t>
      </w:r>
      <w:r>
        <w:rPr>
          <w:b/>
          <w:bCs/>
        </w:rPr>
        <w:t xml:space="preserve">“</w:t>
      </w:r>
      <w:r>
        <w:rPr>
          <w:b/>
          <w:bCs/>
        </w:rPr>
        <w:t xml:space="preserve">closely related field</w:t>
      </w:r>
      <w:r>
        <w:rPr>
          <w:b/>
          <w:bCs/>
        </w:rPr>
        <w:t xml:space="preserve">”</w:t>
      </w:r>
      <w:r>
        <w:rPr>
          <w:b/>
          <w:bCs/>
        </w:rPr>
        <w:t xml:space="preserve"> </w:t>
      </w:r>
      <w:r>
        <w:rPr>
          <w:b/>
          <w:bCs/>
        </w:rPr>
        <w:t xml:space="preserve">gap.</w:t>
      </w:r>
      <w:r>
        <w:t xml:space="preserve"> </w:t>
      </w:r>
      <w:r>
        <w:t xml:space="preserve">The position requires a degree in Computer Science, Machine Learning, Artificial Intelligence, or a closely related field. The Beneficiary holds a B.Tech in</w:t>
      </w:r>
      <w:r>
        <w:t xml:space="preserve"> </w:t>
      </w:r>
      <w:r>
        <w:rPr>
          <w:b/>
          <w:bCs/>
        </w:rPr>
        <w:t xml:space="preserve">Electronics and Communication Engineering</w:t>
      </w:r>
      <w:r>
        <w:t xml:space="preserve">, in which computer/AI coursework is only ~7.5% of the curriculum. The Credential Evaluation expressly</w:t>
      </w:r>
      <w:r>
        <w:t xml:space="preserve"> </w:t>
      </w:r>
      <w:r>
        <w:rPr>
          <w:b/>
          <w:bCs/>
        </w:rPr>
        <w:t xml:space="preserve">disclaims</w:t>
      </w:r>
      <w:r>
        <w:t xml:space="preserve"> </w:t>
      </w:r>
      <w:r>
        <w:t xml:space="preserve">any opinion on field-of-study relevance, and the Support Letter</w:t>
      </w:r>
      <w:r>
        <w:t xml:space="preserve"> </w:t>
      </w:r>
      <w:r>
        <w:rPr>
          <w:b/>
          <w:bCs/>
        </w:rPr>
        <w:t xml:space="preserve">mischaracterizes</w:t>
      </w:r>
      <w:r>
        <w:t xml:space="preserve"> </w:t>
      </w:r>
      <w:r>
        <w:t xml:space="preserve">the evaluation’s conclusion by omitting that the equivalency is to a B.S.</w:t>
      </w:r>
      <w:r>
        <w:t xml:space="preserve"> </w:t>
      </w:r>
      <w:r>
        <w:rPr>
          <w:i/>
          <w:iCs/>
        </w:rPr>
        <w:t xml:space="preserve">in Electronics and Communication Engineering</w:t>
      </w:r>
      <w:r>
        <w:t xml:space="preserve">. No expert opinion establishes the nexus between ECE and ML engineering.</w:t>
      </w:r>
    </w:p>
    <w:p>
      <w:pPr>
        <w:numPr>
          <w:ilvl w:val="0"/>
          <w:numId w:val="1002"/>
        </w:numPr>
      </w:pPr>
      <w:r>
        <w:rPr>
          <w:b/>
          <w:bCs/>
        </w:rPr>
        <w:t xml:space="preserve">LCA posting-period deficiency.</w:t>
      </w:r>
      <w:r>
        <w:t xml:space="preserve"> </w:t>
      </w:r>
      <w:r>
        <w:t xml:space="preserve">The Notice of Filing was posted March 10–19, 2025 — only</w:t>
      </w:r>
      <w:r>
        <w:t xml:space="preserve"> </w:t>
      </w:r>
      <w:r>
        <w:rPr>
          <w:b/>
          <w:bCs/>
        </w:rPr>
        <w:t xml:space="preserve">8 business days</w:t>
      </w:r>
      <w:r>
        <w:t xml:space="preserve">, short of the</w:t>
      </w:r>
      <w:r>
        <w:t xml:space="preserve"> </w:t>
      </w:r>
      <w:r>
        <w:rPr>
          <w:b/>
          <w:bCs/>
        </w:rPr>
        <w:t xml:space="preserve">10 consecutive business days</w:t>
      </w:r>
      <w:r>
        <w:t xml:space="preserve"> </w:t>
      </w:r>
      <w:r>
        <w:t xml:space="preserve">required by 20 C.F.R. § 655.734.</w:t>
      </w:r>
    </w:p>
    <w:p>
      <w:pPr>
        <w:numPr>
          <w:ilvl w:val="0"/>
          <w:numId w:val="1002"/>
        </w:numPr>
      </w:pPr>
      <w:r>
        <w:rPr>
          <w:b/>
          <w:bCs/>
        </w:rPr>
        <w:t xml:space="preserve">Employment-date discrepancies.</w:t>
      </w:r>
      <w:r>
        <w:t xml:space="preserve"> </w:t>
      </w:r>
      <w:r>
        <w:t xml:space="preserve">The Résumé states end dates for both prior U.S./foreign employers that conflict with the corresponding experience letters and the Support Letter (Kiran: March 2017 vs. December 9, 2016; NovaStar: August 2020 vs. July 2020).</w:t>
      </w:r>
    </w:p>
    <w:p>
      <w:pPr>
        <w:pStyle w:val="FirstParagraph"/>
      </w:pPr>
      <w:r>
        <w:t xml:space="preserve">These and the remaining issues are detailed below.</w:t>
      </w:r>
    </w:p>
    <w:p>
      <w:r>
        <w:pict>
          <v:rect style="width:0;height:1.5pt" o:hralign="center" o:hrstd="t" o:hr="t"/>
        </w:pict>
      </w:r>
    </w:p>
    <w:bookmarkEnd w:id="24"/>
    <w:bookmarkStart w:id="25" w:name="X6e84da81a99d1e8977d95d14b36a18bb10ecf94"/>
    <w:p>
      <w:pPr>
        <w:pStyle w:val="Heading2"/>
      </w:pPr>
      <w:r>
        <w:t xml:space="preserve">III. Cross-Reference Verification (Items That Reconcile)</w:t>
      </w:r>
    </w:p>
    <w:p>
      <w:pPr>
        <w:pStyle w:val="FirstParagraph"/>
      </w:pPr>
      <w:r>
        <w:t xml:space="preserve">The following elements are consistent across all documents in which they appear and require no correction: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Reconciled Value</w:t>
            </w:r>
          </w:p>
        </w:tc>
        <w:tc>
          <w:tcPr/>
          <w:p>
            <w:pPr>
              <w:pStyle w:val="Compact"/>
              <w:jc w:val="left"/>
            </w:pPr>
            <w:r>
              <w:t xml:space="preserve">Documents</w:t>
            </w:r>
          </w:p>
        </w:tc>
      </w:tr>
      <w:tr>
        <w:tc>
          <w:tcPr/>
          <w:p>
            <w:pPr>
              <w:pStyle w:val="Compact"/>
              <w:jc w:val="left"/>
            </w:pPr>
            <w:r>
              <w:t xml:space="preserve">Beneficiary name</w:t>
            </w:r>
          </w:p>
        </w:tc>
        <w:tc>
          <w:tcPr/>
          <w:p>
            <w:pPr>
              <w:pStyle w:val="Compact"/>
              <w:jc w:val="left"/>
            </w:pPr>
            <w:r>
              <w:t xml:space="preserve">Rajesh Venkataraman</w:t>
            </w:r>
          </w:p>
        </w:tc>
        <w:tc>
          <w:tcPr/>
          <w:p>
            <w:pPr>
              <w:pStyle w:val="Compact"/>
              <w:jc w:val="left"/>
            </w:pPr>
            <w:r>
              <w:t xml:space="preserve">All</w:t>
            </w:r>
          </w:p>
        </w:tc>
      </w:tr>
      <w:tr>
        <w:tc>
          <w:tcPr/>
          <w:p>
            <w:pPr>
              <w:pStyle w:val="Compact"/>
              <w:jc w:val="left"/>
            </w:pPr>
            <w:r>
              <w:t xml:space="preserve">Date of birth</w:t>
            </w:r>
          </w:p>
        </w:tc>
        <w:tc>
          <w:tcPr/>
          <w:p>
            <w:pPr>
              <w:pStyle w:val="Compact"/>
              <w:jc w:val="left"/>
            </w:pPr>
            <w:r>
              <w:t xml:space="preserve">March 14, 1992</w:t>
            </w:r>
          </w:p>
        </w:tc>
        <w:tc>
          <w:tcPr/>
          <w:p>
            <w:pPr>
              <w:pStyle w:val="Compact"/>
              <w:jc w:val="left"/>
            </w:pPr>
            <w:r>
              <w:t xml:space="preserve">Credential Evaluation; Support Letter; Transcripts</w:t>
            </w:r>
          </w:p>
        </w:tc>
      </w:tr>
      <w:tr>
        <w:tc>
          <w:tcPr/>
          <w:p>
            <w:pPr>
              <w:pStyle w:val="Compact"/>
              <w:jc w:val="left"/>
            </w:pPr>
            <w:r>
              <w:t xml:space="preserve">Citizenship</w:t>
            </w:r>
          </w:p>
        </w:tc>
        <w:tc>
          <w:tcPr/>
          <w:p>
            <w:pPr>
              <w:pStyle w:val="Compact"/>
              <w:jc w:val="left"/>
            </w:pPr>
            <w:r>
              <w:t xml:space="preserve">India</w:t>
            </w:r>
          </w:p>
        </w:tc>
        <w:tc>
          <w:tcPr/>
          <w:p>
            <w:pPr>
              <w:pStyle w:val="Compact"/>
              <w:jc w:val="left"/>
            </w:pPr>
            <w:r>
              <w:t xml:space="preserve">Credential Evaluation; Support Letter</w:t>
            </w:r>
          </w:p>
        </w:tc>
      </w:tr>
      <w:tr>
        <w:tc>
          <w:tcPr/>
          <w:p>
            <w:pPr>
              <w:pStyle w:val="Compact"/>
              <w:jc w:val="left"/>
            </w:pPr>
            <w:r>
              <w:t xml:space="preserve">Petitioner legal name</w:t>
            </w:r>
          </w:p>
        </w:tc>
        <w:tc>
          <w:tcPr/>
          <w:p>
            <w:pPr>
              <w:pStyle w:val="Compact"/>
              <w:jc w:val="left"/>
            </w:pPr>
            <w:r>
              <w:t xml:space="preserve">Brightfield Analytics Inc.</w:t>
            </w:r>
          </w:p>
        </w:tc>
        <w:tc>
          <w:tcPr/>
          <w:p>
            <w:pPr>
              <w:pStyle w:val="Compact"/>
              <w:jc w:val="left"/>
            </w:pPr>
            <w:r>
              <w:t xml:space="preserve">LCA; Support Letter; PWD; Posting Notice; Org Chart</w:t>
            </w:r>
          </w:p>
        </w:tc>
      </w:tr>
      <w:tr>
        <w:tc>
          <w:tcPr/>
          <w:p>
            <w:pPr>
              <w:pStyle w:val="Compact"/>
              <w:jc w:val="left"/>
            </w:pPr>
            <w:r>
              <w:t xml:space="preserve">Petitioner address</w:t>
            </w:r>
          </w:p>
        </w:tc>
        <w:tc>
          <w:tcPr/>
          <w:p>
            <w:pPr>
              <w:pStyle w:val="Compact"/>
              <w:jc w:val="left"/>
            </w:pPr>
            <w:r>
              <w:t xml:space="preserve">4200 Congress Avenue, Suite 1100, Austin, TX 78701</w:t>
            </w:r>
          </w:p>
        </w:tc>
        <w:tc>
          <w:tcPr/>
          <w:p>
            <w:pPr>
              <w:pStyle w:val="Compact"/>
              <w:jc w:val="left"/>
            </w:pPr>
            <w:r>
              <w:t xml:space="preserve">LCA; Support Letter; PWD; Posting Notice; Org Chart</w:t>
            </w:r>
          </w:p>
        </w:tc>
      </w:tr>
      <w:tr>
        <w:tc>
          <w:tcPr/>
          <w:p>
            <w:pPr>
              <w:pStyle w:val="Compact"/>
              <w:jc w:val="left"/>
            </w:pPr>
            <w:r>
              <w:t xml:space="preserve">FEIN/EIN</w:t>
            </w:r>
          </w:p>
        </w:tc>
        <w:tc>
          <w:tcPr/>
          <w:p>
            <w:pPr>
              <w:pStyle w:val="Compact"/>
              <w:jc w:val="left"/>
            </w:pPr>
            <w:r>
              <w:t xml:space="preserve">84-3291756</w:t>
            </w:r>
          </w:p>
        </w:tc>
        <w:tc>
          <w:tcPr/>
          <w:p>
            <w:pPr>
              <w:pStyle w:val="Compact"/>
              <w:jc w:val="left"/>
            </w:pPr>
            <w:r>
              <w:t xml:space="preserve">LCA; PWD</w:t>
            </w:r>
          </w:p>
        </w:tc>
      </w:tr>
      <w:tr>
        <w:tc>
          <w:tcPr/>
          <w:p>
            <w:pPr>
              <w:pStyle w:val="Compact"/>
              <w:jc w:val="left"/>
            </w:pPr>
            <w:r>
              <w:t xml:space="preserve">NAICS code</w:t>
            </w:r>
          </w:p>
        </w:tc>
        <w:tc>
          <w:tcPr/>
          <w:p>
            <w:pPr>
              <w:pStyle w:val="Compact"/>
              <w:jc w:val="left"/>
            </w:pPr>
            <w:r>
              <w:t xml:space="preserve">541511 (Custom Computer Programming Services)</w:t>
            </w:r>
          </w:p>
        </w:tc>
        <w:tc>
          <w:tcPr/>
          <w:p>
            <w:pPr>
              <w:pStyle w:val="Compact"/>
              <w:jc w:val="left"/>
            </w:pPr>
            <w:r>
              <w:t xml:space="preserve">LCA; Support Letter; PWD</w:t>
            </w:r>
          </w:p>
        </w:tc>
      </w:tr>
      <w:tr>
        <w:tc>
          <w:tcPr/>
          <w:p>
            <w:pPr>
              <w:pStyle w:val="Compact"/>
              <w:jc w:val="left"/>
            </w:pPr>
            <w:r>
              <w:t xml:space="preserve">Number of employees</w:t>
            </w:r>
          </w:p>
        </w:tc>
        <w:tc>
          <w:tcPr/>
          <w:p>
            <w:pPr>
              <w:pStyle w:val="Compact"/>
              <w:jc w:val="left"/>
            </w:pPr>
            <w:r>
              <w:t xml:space="preserve">187</w:t>
            </w:r>
          </w:p>
        </w:tc>
        <w:tc>
          <w:tcPr/>
          <w:p>
            <w:pPr>
              <w:pStyle w:val="Compact"/>
              <w:jc w:val="left"/>
            </w:pPr>
            <w:r>
              <w:t xml:space="preserve">LCA; Support Letter; Org Chart</w:t>
            </w:r>
          </w:p>
        </w:tc>
      </w:tr>
      <w:tr>
        <w:tc>
          <w:tcPr/>
          <w:p>
            <w:pPr>
              <w:pStyle w:val="Compact"/>
              <w:jc w:val="left"/>
            </w:pPr>
            <w:r>
              <w:t xml:space="preserve">Gross revenue</w:t>
            </w:r>
          </w:p>
        </w:tc>
        <w:tc>
          <w:tcPr/>
          <w:p>
            <w:pPr>
              <w:pStyle w:val="Compact"/>
              <w:jc w:val="left"/>
            </w:pPr>
            <w:r>
              <w:t xml:space="preserve">$41,200,000 / $41.2M</w:t>
            </w:r>
          </w:p>
        </w:tc>
        <w:tc>
          <w:tcPr/>
          <w:p>
            <w:pPr>
              <w:pStyle w:val="Compact"/>
              <w:jc w:val="left"/>
            </w:pPr>
            <w:r>
              <w:t xml:space="preserve">LCA; Support Letter</w:t>
            </w:r>
          </w:p>
        </w:tc>
      </w:tr>
      <w:tr>
        <w:tc>
          <w:tcPr/>
          <w:p>
            <w:pPr>
              <w:pStyle w:val="Compact"/>
              <w:jc w:val="left"/>
            </w:pPr>
            <w:r>
              <w:t xml:space="preserve">Year commenced/founded</w:t>
            </w:r>
          </w:p>
        </w:tc>
        <w:tc>
          <w:tcPr/>
          <w:p>
            <w:pPr>
              <w:pStyle w:val="Compact"/>
              <w:jc w:val="left"/>
            </w:pPr>
            <w:r>
              <w:t xml:space="preserve">2017</w:t>
            </w:r>
          </w:p>
        </w:tc>
        <w:tc>
          <w:tcPr/>
          <w:p>
            <w:pPr>
              <w:pStyle w:val="Compact"/>
              <w:jc w:val="left"/>
            </w:pPr>
            <w:r>
              <w:t xml:space="preserve">LCA; Support Letter</w:t>
            </w:r>
          </w:p>
        </w:tc>
      </w:tr>
      <w:tr>
        <w:tc>
          <w:tcPr/>
          <w:p>
            <w:pPr>
              <w:pStyle w:val="Compact"/>
              <w:jc w:val="left"/>
            </w:pPr>
            <w:r>
              <w:t xml:space="preserve">Proffered position title</w:t>
            </w:r>
          </w:p>
        </w:tc>
        <w:tc>
          <w:tcPr/>
          <w:p>
            <w:pPr>
              <w:pStyle w:val="Compact"/>
              <w:jc w:val="left"/>
            </w:pPr>
            <w:r>
              <w:t xml:space="preserve">Senior Machine Learning Engineer</w:t>
            </w:r>
          </w:p>
        </w:tc>
        <w:tc>
          <w:tcPr/>
          <w:p>
            <w:pPr>
              <w:pStyle w:val="Compact"/>
              <w:jc w:val="left"/>
            </w:pPr>
            <w:r>
              <w:t xml:space="preserve">LCA; Support Letter; PWD; Posting Notice; Org Chart</w:t>
            </w:r>
          </w:p>
        </w:tc>
      </w:tr>
      <w:tr>
        <w:tc>
          <w:tcPr/>
          <w:p>
            <w:pPr>
              <w:pStyle w:val="Compact"/>
              <w:jc w:val="left"/>
            </w:pPr>
            <w:r>
              <w:t xml:space="preserve">SOC code / title</w:t>
            </w:r>
          </w:p>
        </w:tc>
        <w:tc>
          <w:tcPr/>
          <w:p>
            <w:pPr>
              <w:pStyle w:val="Compact"/>
              <w:jc w:val="left"/>
            </w:pPr>
            <w:r>
              <w:t xml:space="preserve">15-2051 / Data Scientists</w:t>
            </w:r>
          </w:p>
        </w:tc>
        <w:tc>
          <w:tcPr/>
          <w:p>
            <w:pPr>
              <w:pStyle w:val="Compact"/>
              <w:jc w:val="left"/>
            </w:pPr>
            <w:r>
              <w:t xml:space="preserve">LCA; Support Letter; PWD; Posting Notice</w:t>
            </w:r>
          </w:p>
        </w:tc>
      </w:tr>
      <w:tr>
        <w:tc>
          <w:tcPr/>
          <w:p>
            <w:pPr>
              <w:pStyle w:val="Compact"/>
              <w:jc w:val="left"/>
            </w:pPr>
            <w:r>
              <w:t xml:space="preserve">LCA case number</w:t>
            </w:r>
          </w:p>
        </w:tc>
        <w:tc>
          <w:tcPr/>
          <w:p>
            <w:pPr>
              <w:pStyle w:val="Compact"/>
              <w:jc w:val="left"/>
            </w:pPr>
            <w:r>
              <w:t xml:space="preserve">I-200-25031-543219</w:t>
            </w:r>
          </w:p>
        </w:tc>
        <w:tc>
          <w:tcPr/>
          <w:p>
            <w:pPr>
              <w:pStyle w:val="Compact"/>
              <w:jc w:val="left"/>
            </w:pPr>
            <w:r>
              <w:t xml:space="preserve">LCA; Support Letter; Posting Notice</w:t>
            </w:r>
          </w:p>
        </w:tc>
      </w:tr>
      <w:tr>
        <w:tc>
          <w:tcPr/>
          <w:p>
            <w:pPr>
              <w:pStyle w:val="Compact"/>
              <w:jc w:val="left"/>
            </w:pPr>
            <w:r>
              <w:t xml:space="preserve">PWD case number</w:t>
            </w:r>
          </w:p>
        </w:tc>
        <w:tc>
          <w:tcPr/>
          <w:p>
            <w:pPr>
              <w:pStyle w:val="Compact"/>
              <w:jc w:val="left"/>
            </w:pPr>
            <w:r>
              <w:t xml:space="preserve">P-300-25012-183456</w:t>
            </w:r>
          </w:p>
        </w:tc>
        <w:tc>
          <w:tcPr/>
          <w:p>
            <w:pPr>
              <w:pStyle w:val="Compact"/>
              <w:jc w:val="left"/>
            </w:pPr>
            <w:r>
              <w:t xml:space="preserve">LCA; PWD</w:t>
            </w:r>
          </w:p>
        </w:tc>
      </w:tr>
      <w:tr>
        <w:tc>
          <w:tcPr/>
          <w:p>
            <w:pPr>
              <w:pStyle w:val="Compact"/>
              <w:jc w:val="left"/>
            </w:pPr>
            <w:r>
              <w:t xml:space="preserve">Prevailing wage</w:t>
            </w:r>
          </w:p>
        </w:tc>
        <w:tc>
          <w:tcPr/>
          <w:p>
            <w:pPr>
              <w:pStyle w:val="Compact"/>
              <w:jc w:val="left"/>
            </w:pPr>
            <w:r>
              <w:t xml:space="preserve">$113,734/yr (Level 2)</w:t>
            </w:r>
          </w:p>
        </w:tc>
        <w:tc>
          <w:tcPr/>
          <w:p>
            <w:pPr>
              <w:pStyle w:val="Compact"/>
              <w:jc w:val="left"/>
            </w:pPr>
            <w:r>
              <w:t xml:space="preserve">LCA; PWD; Posting Notice</w:t>
            </w:r>
          </w:p>
        </w:tc>
      </w:tr>
      <w:tr>
        <w:tc>
          <w:tcPr/>
          <w:p>
            <w:pPr>
              <w:pStyle w:val="Compact"/>
              <w:jc w:val="left"/>
            </w:pPr>
            <w:r>
              <w:t xml:space="preserve">Offered wage</w:t>
            </w:r>
          </w:p>
        </w:tc>
        <w:tc>
          <w:tcPr/>
          <w:p>
            <w:pPr>
              <w:pStyle w:val="Compact"/>
              <w:jc w:val="left"/>
            </w:pPr>
            <w:r>
              <w:t xml:space="preserve">$128,000/yr</w:t>
            </w:r>
          </w:p>
        </w:tc>
        <w:tc>
          <w:tcPr/>
          <w:p>
            <w:pPr>
              <w:pStyle w:val="Compact"/>
              <w:jc w:val="left"/>
            </w:pPr>
            <w:r>
              <w:t xml:space="preserve">LCA; Support Letter; Posting Notice</w:t>
            </w:r>
          </w:p>
        </w:tc>
      </w:tr>
      <w:tr>
        <w:tc>
          <w:tcPr/>
          <w:p>
            <w:pPr>
              <w:pStyle w:val="Compact"/>
              <w:jc w:val="left"/>
            </w:pPr>
            <w:r>
              <w:t xml:space="preserve">Employment period</w:t>
            </w:r>
          </w:p>
        </w:tc>
        <w:tc>
          <w:tcPr/>
          <w:p>
            <w:pPr>
              <w:pStyle w:val="Compact"/>
              <w:jc w:val="left"/>
            </w:pPr>
            <w:r>
              <w:t xml:space="preserve">Oct. 1, 2025 – Sept. 30, 2028</w:t>
            </w:r>
          </w:p>
        </w:tc>
        <w:tc>
          <w:tcPr/>
          <w:p>
            <w:pPr>
              <w:pStyle w:val="Compact"/>
              <w:jc w:val="left"/>
            </w:pPr>
            <w:r>
              <w:t xml:space="preserve">LCA (validity); Support Letter; Posting Notice</w:t>
            </w:r>
          </w:p>
        </w:tc>
      </w:tr>
      <w:tr>
        <w:tc>
          <w:tcPr/>
          <w:p>
            <w:pPr>
              <w:pStyle w:val="Compact"/>
              <w:jc w:val="left"/>
            </w:pPr>
            <w:r>
              <w:t xml:space="preserve">LCA certification within PWD validity</w:t>
            </w:r>
          </w:p>
        </w:tc>
        <w:tc>
          <w:tcPr/>
          <w:p>
            <w:pPr>
              <w:pStyle w:val="Compact"/>
              <w:jc w:val="left"/>
            </w:pPr>
            <w:r>
              <w:t xml:space="preserve">LCA certified Mar. 10, 2025; PWD valid Jan. 15, 2025 – Jan. 14, 2026</w:t>
            </w:r>
          </w:p>
        </w:tc>
        <w:tc>
          <w:tcPr/>
          <w:p>
            <w:pPr>
              <w:pStyle w:val="Compact"/>
              <w:jc w:val="left"/>
            </w:pPr>
            <w:r>
              <w:t xml:space="preserve">LCA; PWD</w:t>
            </w:r>
          </w:p>
        </w:tc>
      </w:tr>
      <w:tr>
        <w:tc>
          <w:tcPr/>
          <w:p>
            <w:pPr>
              <w:pStyle w:val="Compact"/>
              <w:jc w:val="left"/>
            </w:pPr>
            <w:r>
              <w:t xml:space="preserve">Employer point of contact</w:t>
            </w:r>
          </w:p>
        </w:tc>
        <w:tc>
          <w:tcPr/>
          <w:p>
            <w:pPr>
              <w:pStyle w:val="Compact"/>
              <w:jc w:val="left"/>
            </w:pPr>
            <w:r>
              <w:t xml:space="preserve">Patricia Kwon, HR Director</w:t>
            </w:r>
          </w:p>
        </w:tc>
        <w:tc>
          <w:tcPr/>
          <w:p>
            <w:pPr>
              <w:pStyle w:val="Compact"/>
              <w:jc w:val="left"/>
            </w:pPr>
            <w:r>
              <w:t xml:space="preserve">LCA; PWD; Support Letter; Posting Notice; Org Chart</w:t>
            </w:r>
          </w:p>
        </w:tc>
      </w:tr>
      <w:tr>
        <w:tc>
          <w:tcPr/>
          <w:p>
            <w:pPr>
              <w:pStyle w:val="Compact"/>
              <w:jc w:val="left"/>
            </w:pPr>
            <w:r>
              <w:t xml:space="preserve">Attorney of record</w:t>
            </w:r>
          </w:p>
        </w:tc>
        <w:tc>
          <w:tcPr/>
          <w:p>
            <w:pPr>
              <w:pStyle w:val="Compact"/>
              <w:jc w:val="left"/>
            </w:pPr>
            <w:r>
              <w:t xml:space="preserve">Daniel Okafor, Holloway Sterne LLP, 700 Lavaca St., Suite 2400, Austin, TX 78701</w:t>
            </w:r>
          </w:p>
        </w:tc>
        <w:tc>
          <w:tcPr/>
          <w:p>
            <w:pPr>
              <w:pStyle w:val="Compact"/>
              <w:jc w:val="left"/>
            </w:pPr>
            <w:r>
              <w:t xml:space="preserve">LCA; PWD; Support Letter</w:t>
            </w:r>
          </w:p>
        </w:tc>
      </w:tr>
      <w:tr>
        <w:tc>
          <w:tcPr/>
          <w:p>
            <w:pPr>
              <w:pStyle w:val="Compact"/>
              <w:jc w:val="left"/>
            </w:pPr>
            <w:r>
              <w:t xml:space="preserve">Degree / institution</w:t>
            </w:r>
          </w:p>
        </w:tc>
        <w:tc>
          <w:tcPr/>
          <w:p>
            <w:pPr>
              <w:pStyle w:val="Compact"/>
              <w:jc w:val="left"/>
            </w:pPr>
            <w:r>
              <w:t xml:space="preserve">B.Tech, Electronics &amp; Communication Engineering, JNTU Hyderabad, Aug. 2010 – May 2014</w:t>
            </w:r>
          </w:p>
        </w:tc>
        <w:tc>
          <w:tcPr/>
          <w:p>
            <w:pPr>
              <w:pStyle w:val="Compact"/>
              <w:jc w:val="left"/>
            </w:pPr>
            <w:r>
              <w:t xml:space="preserve">Résumé; Credential Evaluation; Support Letter; Transcripts</w:t>
            </w:r>
          </w:p>
        </w:tc>
      </w:tr>
      <w:tr>
        <w:tc>
          <w:tcPr/>
          <w:p>
            <w:pPr>
              <w:pStyle w:val="Compact"/>
              <w:jc w:val="left"/>
            </w:pPr>
            <w:r>
              <w:t xml:space="preserve">Job-duty time allocation</w:t>
            </w:r>
          </w:p>
        </w:tc>
        <w:tc>
          <w:tcPr/>
          <w:p>
            <w:pPr>
              <w:pStyle w:val="Compact"/>
              <w:jc w:val="left"/>
            </w:pPr>
            <w:r>
              <w:t xml:space="preserve">15% + 20% + 20% + 15% + 15% + 10% + 5% = 100%</w:t>
            </w:r>
          </w:p>
        </w:tc>
        <w:tc>
          <w:tcPr/>
          <w:p>
            <w:pPr>
              <w:pStyle w:val="Compact"/>
              <w:jc w:val="left"/>
            </w:pPr>
            <w:r>
              <w:t xml:space="preserve">Support Letter</w:t>
            </w:r>
          </w:p>
        </w:tc>
      </w:tr>
    </w:tbl>
    <w:p>
      <w:r>
        <w:pict>
          <v:rect style="width:0;height:1.5pt" o:hralign="center" o:hrstd="t" o:hr="t"/>
        </w:pict>
      </w:r>
    </w:p>
    <w:bookmarkEnd w:id="25"/>
    <w:bookmarkStart w:id="49" w:name="iv.-issues-identified"/>
    <w:p>
      <w:pPr>
        <w:pStyle w:val="Heading2"/>
      </w:pPr>
      <w:r>
        <w:t xml:space="preserve">IV. Issues Identified</w:t>
      </w:r>
    </w:p>
    <w:bookmarkStart w:id="30" w:name="a.-critical-issues"/>
    <w:p>
      <w:pPr>
        <w:pStyle w:val="Heading3"/>
      </w:pPr>
      <w:r>
        <w:t xml:space="preserve">A. Critical Issues</w:t>
      </w:r>
    </w:p>
    <w:bookmarkStart w:id="26" w:name="Xf5b6fcdb54c7ef230c2c2565abd360539ac2f2c"/>
    <w:p>
      <w:pPr>
        <w:pStyle w:val="Heading4"/>
      </w:pPr>
      <w:r>
        <w:t xml:space="preserve">A-1. Prevailing Wage Level Mismatch — Level 2 vs. Supervisory / Independent-Judgment Duties</w:t>
      </w:r>
    </w:p>
    <w:p>
      <w:pPr>
        <w:pStyle w:val="FirstParagraph"/>
      </w:pPr>
      <w:r>
        <w:rPr>
          <w:b/>
          <w:bCs/>
        </w:rPr>
        <w:t xml:space="preserve">Where it appears.</w:t>
      </w:r>
      <w:r>
        <w:t xml:space="preserve"> </w:t>
      </w:r>
      <w:r>
        <w:t xml:space="preserve">PWD § 4 (Wage Level 2, $113,734); PWD § 3 and LCA § G.5 job duties (</w:t>
      </w:r>
      <w:r>
        <w:t xml:space="preserve">“</w:t>
      </w:r>
      <w:r>
        <w:t xml:space="preserve">lead and mentor a team of data scientists</w:t>
      </w:r>
      <w:r>
        <w:t xml:space="preserve">”</w:t>
      </w:r>
      <w:r>
        <w:t xml:space="preserve">); Support Letter § 2, duty 4 (</w:t>
      </w:r>
      <w:r>
        <w:t xml:space="preserve">“</w:t>
      </w:r>
      <w:r>
        <w:t xml:space="preserve">Leading and mentoring a team of 3 junior data scientists … 15% of time</w:t>
      </w:r>
      <w:r>
        <w:t xml:space="preserve">”</w:t>
      </w:r>
      <w:r>
        <w:t xml:space="preserve">) and § 2 closing paragraph (</w:t>
      </w:r>
      <w:r>
        <w:t xml:space="preserve">“</w:t>
      </w:r>
      <w:r>
        <w:t xml:space="preserve">reports directly to the Chief Technology Officer … and exercises independent judgment</w:t>
      </w:r>
      <w:r>
        <w:t xml:space="preserve">”</w:t>
      </w:r>
      <w:r>
        <w:t xml:space="preserve">); Org Chart (Level 3 position with direct reports).</w:t>
      </w:r>
    </w:p>
    <w:p>
      <w:pPr>
        <w:pStyle w:val="BodyText"/>
      </w:pPr>
      <w:r>
        <w:rPr>
          <w:b/>
          <w:bCs/>
        </w:rPr>
        <w:t xml:space="preserve">The issue.</w:t>
      </w:r>
      <w:r>
        <w:t xml:space="preserve"> </w:t>
      </w:r>
      <w:r>
        <w:t xml:space="preserve">DOL wage levels are keyed to the complexity of duties and the degree of judgment/supervision required:</w:t>
      </w:r>
    </w:p>
    <w:p>
      <w:pPr>
        <w:pStyle w:val="Compact"/>
        <w:numPr>
          <w:ilvl w:val="0"/>
          <w:numId w:val="1003"/>
        </w:numPr>
      </w:pPr>
      <w:r>
        <w:rPr>
          <w:b/>
          <w:bCs/>
        </w:rPr>
        <w:t xml:space="preserve">Level 2</w:t>
      </w:r>
      <w:r>
        <w:t xml:space="preserve"> </w:t>
      </w:r>
      <w:r>
        <w:t xml:space="preserve">—</w:t>
      </w:r>
      <w:r>
        <w:t xml:space="preserve"> </w:t>
      </w:r>
      <w:r>
        <w:t xml:space="preserve">“</w:t>
      </w:r>
      <w:r>
        <w:t xml:space="preserve">moderately complex tasks requiring</w:t>
      </w:r>
      <w:r>
        <w:t xml:space="preserve"> </w:t>
      </w:r>
      <w:r>
        <w:rPr>
          <w:b/>
          <w:bCs/>
        </w:rPr>
        <w:t xml:space="preserve">limited judgment</w:t>
      </w:r>
      <w:r>
        <w:t xml:space="preserve">.</w:t>
      </w:r>
      <w:r>
        <w:t xml:space="preserve">”</w:t>
      </w:r>
    </w:p>
    <w:p>
      <w:pPr>
        <w:pStyle w:val="Compact"/>
        <w:numPr>
          <w:ilvl w:val="0"/>
          <w:numId w:val="1003"/>
        </w:numPr>
      </w:pPr>
      <w:r>
        <w:rPr>
          <w:b/>
          <w:bCs/>
        </w:rPr>
        <w:t xml:space="preserve">Level 3</w:t>
      </w:r>
      <w:r>
        <w:t xml:space="preserve"> </w:t>
      </w:r>
      <w:r>
        <w:t xml:space="preserve">—</w:t>
      </w:r>
      <w:r>
        <w:t xml:space="preserve"> </w:t>
      </w:r>
      <w:r>
        <w:t xml:space="preserve">“</w:t>
      </w:r>
      <w:r>
        <w:t xml:space="preserve">sound understanding … may exercise</w:t>
      </w:r>
      <w:r>
        <w:t xml:space="preserve"> </w:t>
      </w:r>
      <w:r>
        <w:rPr>
          <w:b/>
          <w:bCs/>
        </w:rPr>
        <w:t xml:space="preserve">independent judgment</w:t>
      </w:r>
      <w:r>
        <w:t xml:space="preserve">, and may have</w:t>
      </w:r>
      <w:r>
        <w:t xml:space="preserve"> </w:t>
      </w:r>
      <w:r>
        <w:rPr>
          <w:b/>
          <w:bCs/>
        </w:rPr>
        <w:t xml:space="preserve">supervisory responsibilities</w:t>
      </w:r>
      <w:r>
        <w:t xml:space="preserve">.</w:t>
      </w:r>
      <w:r>
        <w:t xml:space="preserve">”</w:t>
      </w:r>
    </w:p>
    <w:p>
      <w:pPr>
        <w:pStyle w:val="Compact"/>
        <w:numPr>
          <w:ilvl w:val="0"/>
          <w:numId w:val="1003"/>
        </w:numPr>
      </w:pPr>
      <w:r>
        <w:rPr>
          <w:b/>
          <w:bCs/>
        </w:rPr>
        <w:t xml:space="preserve">Level 4</w:t>
      </w:r>
      <w:r>
        <w:t xml:space="preserve"> </w:t>
      </w:r>
      <w:r>
        <w:t xml:space="preserve">—</w:t>
      </w:r>
      <w:r>
        <w:t xml:space="preserve"> </w:t>
      </w:r>
      <w:r>
        <w:t xml:space="preserve">“</w:t>
      </w:r>
      <w:r>
        <w:t xml:space="preserve">advanced skills … exercise</w:t>
      </w:r>
      <w:r>
        <w:t xml:space="preserve"> </w:t>
      </w:r>
      <w:r>
        <w:rPr>
          <w:b/>
          <w:bCs/>
        </w:rPr>
        <w:t xml:space="preserve">broad latitude</w:t>
      </w:r>
      <w:r>
        <w:t xml:space="preserve"> </w:t>
      </w:r>
      <w:r>
        <w:t xml:space="preserve">…</w:t>
      </w:r>
      <w:r>
        <w:t xml:space="preserve"> </w:t>
      </w:r>
      <w:r>
        <w:rPr>
          <w:b/>
          <w:bCs/>
        </w:rPr>
        <w:t xml:space="preserve">supervise and train</w:t>
      </w:r>
      <w:r>
        <w:t xml:space="preserve"> </w:t>
      </w:r>
      <w:r>
        <w:t xml:space="preserve">other workers.</w:t>
      </w:r>
      <w:r>
        <w:t xml:space="preserve">”</w:t>
      </w:r>
    </w:p>
    <w:p>
      <w:pPr>
        <w:pStyle w:val="FirstParagraph"/>
      </w:pPr>
      <w:r>
        <w:t xml:space="preserve">The proffered position is described throughout the package as a</w:t>
      </w:r>
      <w:r>
        <w:t xml:space="preserve"> </w:t>
      </w:r>
      <w:r>
        <w:rPr>
          <w:b/>
          <w:bCs/>
        </w:rPr>
        <w:t xml:space="preserve">“</w:t>
      </w:r>
      <w:r>
        <w:rPr>
          <w:b/>
          <w:bCs/>
        </w:rPr>
        <w:t xml:space="preserve">Senior</w:t>
      </w:r>
      <w:r>
        <w:rPr>
          <w:b/>
          <w:bCs/>
        </w:rPr>
        <w:t xml:space="preserve">”</w:t>
      </w:r>
      <w:r>
        <w:t xml:space="preserve"> </w:t>
      </w:r>
      <w:r>
        <w:t xml:space="preserve">role that</w:t>
      </w:r>
      <w:r>
        <w:t xml:space="preserve"> </w:t>
      </w:r>
      <w:r>
        <w:rPr>
          <w:b/>
          <w:bCs/>
        </w:rPr>
        <w:t xml:space="preserve">leads/mentors junior data scientists</w:t>
      </w:r>
      <w:r>
        <w:t xml:space="preserve">,</w:t>
      </w:r>
      <w:r>
        <w:t xml:space="preserve"> </w:t>
      </w:r>
      <w:r>
        <w:rPr>
          <w:b/>
          <w:bCs/>
        </w:rPr>
        <w:t xml:space="preserve">exercises independent judgment</w:t>
      </w:r>
      <w:r>
        <w:t xml:space="preserve">, and</w:t>
      </w:r>
      <w:r>
        <w:t xml:space="preserve"> </w:t>
      </w:r>
      <w:r>
        <w:rPr>
          <w:b/>
          <w:bCs/>
        </w:rPr>
        <w:t xml:space="preserve">reports directly to the CTO</w:t>
      </w:r>
      <w:r>
        <w:t xml:space="preserve">. These are textbook Level 3 (and arguably Level 4) indicators. The PWD nonetheless issued at Level 2, and the Petitioner requested Level 2. The job-duty language supplied to the NPWC itself includes</w:t>
      </w:r>
      <w:r>
        <w:t xml:space="preserve"> </w:t>
      </w:r>
      <w:r>
        <w:t xml:space="preserve">“</w:t>
      </w:r>
      <w:r>
        <w:t xml:space="preserve">lead a team of data scientists,</w:t>
      </w:r>
      <w:r>
        <w:t xml:space="preserve">”</w:t>
      </w:r>
      <w:r>
        <w:t xml:space="preserve"> </w:t>
      </w:r>
      <w:r>
        <w:t xml:space="preserve">which is facially inconsistent with a Level 2 determination.</w:t>
      </w:r>
    </w:p>
    <w:p>
      <w:pPr>
        <w:pStyle w:val="BodyText"/>
      </w:pPr>
      <w:r>
        <w:rPr>
          <w:b/>
          <w:bCs/>
        </w:rPr>
        <w:t xml:space="preserve">Why it matters.</w:t>
      </w:r>
      <w:r>
        <w:t xml:space="preserve"> </w:t>
      </w:r>
      <w:r>
        <w:t xml:space="preserve">The offered wage of</w:t>
      </w:r>
      <w:r>
        <w:t xml:space="preserve"> </w:t>
      </w:r>
      <w:r>
        <w:rPr>
          <w:b/>
          <w:bCs/>
        </w:rPr>
        <w:t xml:space="preserve">$128,000</w:t>
      </w:r>
      <w:r>
        <w:t xml:space="preserve"> </w:t>
      </w:r>
      <w:r>
        <w:t xml:space="preserve">exceeds the Level 2 prevailing wage ($113,734) but is</w:t>
      </w:r>
      <w:r>
        <w:t xml:space="preserve"> </w:t>
      </w:r>
      <w:r>
        <w:rPr>
          <w:b/>
          <w:bCs/>
        </w:rPr>
        <w:t xml:space="preserve">below the Level 3 prevailing wage ($137,946)</w:t>
      </w:r>
      <w:r>
        <w:t xml:space="preserve"> </w:t>
      </w:r>
      <w:r>
        <w:t xml:space="preserve">— a shortfall of approximately</w:t>
      </w:r>
      <w:r>
        <w:t xml:space="preserve"> </w:t>
      </w:r>
      <w:r>
        <w:rPr>
          <w:b/>
          <w:bCs/>
        </w:rPr>
        <w:t xml:space="preserve">$9,946/year</w:t>
      </w:r>
      <w:r>
        <w:t xml:space="preserve">. If DOL (on audit) or USCIS concludes the position is properly Level 3 or 4, the Petitioner is not paying the required prevailing wage, which is both an</w:t>
      </w:r>
      <w:r>
        <w:t xml:space="preserve"> </w:t>
      </w:r>
      <w:r>
        <w:rPr>
          <w:b/>
          <w:bCs/>
        </w:rPr>
        <w:t xml:space="preserve">LCA attestation violation</w:t>
      </w:r>
      <w:r>
        <w:t xml:space="preserve"> </w:t>
      </w:r>
      <w:r>
        <w:t xml:space="preserve">under INA § 212(n)(1)(A) / 20 C.F.R. § 655.731 and a basis on which USCIS may question the petition. This is the single most consequential issue in the package.</w:t>
      </w:r>
    </w:p>
    <w:p>
      <w:pPr>
        <w:pStyle w:val="BodyText"/>
      </w:pPr>
      <w:r>
        <w:rPr>
          <w:b/>
          <w:bCs/>
        </w:rPr>
        <w:t xml:space="preserve">Recommended action.</w:t>
      </w:r>
      <w:r>
        <w:t xml:space="preserve"> </w:t>
      </w:r>
      <w:r>
        <w:t xml:space="preserve">Re-evaluate the wage level. Either (a)</w:t>
      </w:r>
      <w:r>
        <w:t xml:space="preserve"> </w:t>
      </w:r>
      <w:r>
        <w:rPr>
          <w:b/>
          <w:bCs/>
        </w:rPr>
        <w:t xml:space="preserve">upgrade the wage level to Level 3</w:t>
      </w:r>
      <w:r>
        <w:t xml:space="preserve"> </w:t>
      </w:r>
      <w:r>
        <w:t xml:space="preserve">(or 4) and obtain a new PWD / file a new LCA, and</w:t>
      </w:r>
      <w:r>
        <w:t xml:space="preserve"> </w:t>
      </w:r>
      <w:r>
        <w:rPr>
          <w:b/>
          <w:bCs/>
        </w:rPr>
        <w:t xml:space="preserve">raise the offered wage to at least $137,946</w:t>
      </w:r>
      <w:r>
        <w:t xml:space="preserve"> </w:t>
      </w:r>
      <w:r>
        <w:t xml:space="preserve">(Level 3) or $162,157 (Level 4); or (b) if Level 2 is genuinely intended,</w:t>
      </w:r>
      <w:r>
        <w:t xml:space="preserve"> </w:t>
      </w:r>
      <w:r>
        <w:rPr>
          <w:b/>
          <w:bCs/>
        </w:rPr>
        <w:t xml:space="preserve">remove or substantially soften the supervisory and</w:t>
      </w:r>
      <w:r>
        <w:rPr>
          <w:b/>
          <w:bCs/>
        </w:rPr>
        <w:t xml:space="preserve"> </w:t>
      </w:r>
      <w:r>
        <w:rPr>
          <w:b/>
          <w:bCs/>
        </w:rPr>
        <w:t xml:space="preserve">“</w:t>
      </w:r>
      <w:r>
        <w:rPr>
          <w:b/>
          <w:bCs/>
        </w:rPr>
        <w:t xml:space="preserve">independent judgment</w:t>
      </w:r>
      <w:r>
        <w:rPr>
          <w:b/>
          <w:bCs/>
        </w:rPr>
        <w:t xml:space="preserve">”</w:t>
      </w:r>
      <w:r>
        <w:rPr>
          <w:b/>
          <w:bCs/>
        </w:rPr>
        <w:t xml:space="preserve"> </w:t>
      </w:r>
      <w:r>
        <w:rPr>
          <w:b/>
          <w:bCs/>
        </w:rPr>
        <w:t xml:space="preserve">language</w:t>
      </w:r>
      <w:r>
        <w:t xml:space="preserve"> </w:t>
      </w:r>
      <w:r>
        <w:t xml:space="preserve">from the PWD request, LCA, and Support Letter so the duties are consistent with Level 2. The current package cannot have it both ways.</w:t>
      </w:r>
    </w:p>
    <w:bookmarkEnd w:id="26"/>
    <w:bookmarkStart w:id="27" w:name="X1bd5782164f9a2dcbc8bb47d0f3660d5dff1aab"/>
    <w:p>
      <w:pPr>
        <w:pStyle w:val="Heading4"/>
      </w:pPr>
      <w:r>
        <w:t xml:space="preserve">A-2. Beneficiary Field-of-Study /</w:t>
      </w:r>
      <w:r>
        <w:t xml:space="preserve"> </w:t>
      </w:r>
      <w:r>
        <w:t xml:space="preserve">“</w:t>
      </w:r>
      <w:r>
        <w:t xml:space="preserve">Closely Related Field</w:t>
      </w:r>
      <w:r>
        <w:t xml:space="preserve">”</w:t>
      </w:r>
      <w:r>
        <w:t xml:space="preserve"> </w:t>
      </w:r>
      <w:r>
        <w:t xml:space="preserve">Qualification Gap</w:t>
      </w:r>
    </w:p>
    <w:p>
      <w:pPr>
        <w:pStyle w:val="FirstParagraph"/>
      </w:pPr>
      <w:r>
        <w:rPr>
          <w:b/>
          <w:bCs/>
        </w:rPr>
        <w:t xml:space="preserve">Where it appears.</w:t>
      </w:r>
      <w:r>
        <w:t xml:space="preserve"> </w:t>
      </w:r>
      <w:r>
        <w:t xml:space="preserve">Support Letter § 3 (minimum degree in</w:t>
      </w:r>
      <w:r>
        <w:t xml:space="preserve"> </w:t>
      </w:r>
      <w:r>
        <w:t xml:space="preserve">“</w:t>
      </w:r>
      <w:r>
        <w:t xml:space="preserve">Computer Science, Machine Learning, Artificial Intelligence, or a closely related field</w:t>
      </w:r>
      <w:r>
        <w:t xml:space="preserve">”</w:t>
      </w:r>
      <w:r>
        <w:t xml:space="preserve">); Support Letter § 4 (Beneficiary holds B.Tech in ECE; asserts curriculum</w:t>
      </w:r>
      <w:r>
        <w:t xml:space="preserve"> </w:t>
      </w:r>
      <w:r>
        <w:t xml:space="preserve">“</w:t>
      </w:r>
      <w:r>
        <w:t xml:space="preserve">included coursework in programming, data structures, and artificial intelligence</w:t>
      </w:r>
      <w:r>
        <w:t xml:space="preserve">”</w:t>
      </w:r>
      <w:r>
        <w:t xml:space="preserve">); Credential Evaluation § 4 (computer-related coursework ≈ 12 of ~160 credit hours,</w:t>
      </w:r>
      <w:r>
        <w:t xml:space="preserve"> </w:t>
      </w:r>
      <w:r>
        <w:t xml:space="preserve">“</w:t>
      </w:r>
      <w:r>
        <w:t xml:space="preserve">approximately 7.5% of the overall curriculum</w:t>
      </w:r>
      <w:r>
        <w:t xml:space="preserve">”</w:t>
      </w:r>
      <w:r>
        <w:t xml:space="preserve">) and § 5 (equivalency to</w:t>
      </w:r>
      <w:r>
        <w:t xml:space="preserve"> </w:t>
      </w:r>
      <w:r>
        <w:t xml:space="preserve">“</w:t>
      </w:r>
      <w:r>
        <w:t xml:space="preserve">a four-year Bachelor of Science (B.S.) in</w:t>
      </w:r>
      <w:r>
        <w:t xml:space="preserve"> </w:t>
      </w:r>
      <w:r>
        <w:rPr>
          <w:b/>
          <w:bCs/>
        </w:rPr>
        <w:t xml:space="preserve">Electronics and Communication Engineering</w:t>
      </w:r>
      <w:r>
        <w:t xml:space="preserve">”</w:t>
      </w:r>
      <w:r>
        <w:t xml:space="preserve">); Credential Evaluation § 7 (</w:t>
      </w:r>
      <w:r>
        <w:t xml:space="preserve">“</w:t>
      </w:r>
      <w:r>
        <w:t xml:space="preserve">This evaluation does not opine on whether the applicant’s field of study satisfies the requirements of any particular position or petition</w:t>
      </w:r>
      <w:r>
        <w:t xml:space="preserve">”</w:t>
      </w:r>
      <w:r>
        <w:t xml:space="preserve">); Transcripts (CS/AI coursework limited to C Programming, Advanced C Programming, Data Structures, and Introduction to AI — 12 credits; senior project</w:t>
      </w:r>
      <w:r>
        <w:t xml:space="preserve"> </w:t>
      </w:r>
      <w:r>
        <w:t xml:space="preserve">“</w:t>
      </w:r>
      <w:r>
        <w:t xml:space="preserve">FPGA-Based Implementation of Adaptive Noise Cancellation for Biomedical Signal Processing</w:t>
      </w:r>
      <w:r>
        <w:t xml:space="preserve">”</w:t>
      </w:r>
      <w:r>
        <w:t xml:space="preserve">).</w:t>
      </w:r>
    </w:p>
    <w:p>
      <w:pPr>
        <w:pStyle w:val="BodyText"/>
      </w:pPr>
      <w:r>
        <w:rPr>
          <w:b/>
          <w:bCs/>
        </w:rPr>
        <w:t xml:space="preserve">The issue.</w:t>
      </w:r>
      <w:r>
        <w:t xml:space="preserve"> </w:t>
      </w:r>
      <w:r>
        <w:t xml:space="preserve">To qualify for a specialty-occupation H-1B, the Beneficiary must hold a U.S. bachelor’s degree (or foreign equivalent)</w:t>
      </w:r>
      <w:r>
        <w:t xml:space="preserve"> </w:t>
      </w:r>
      <w:r>
        <w:rPr>
          <w:b/>
          <w:bCs/>
        </w:rPr>
        <w:t xml:space="preserve">in the specific specialty</w:t>
      </w:r>
      <w:r>
        <w:t xml:space="preserve"> </w:t>
      </w:r>
      <w:r>
        <w:t xml:space="preserve">or</w:t>
      </w:r>
      <w:r>
        <w:t xml:space="preserve"> </w:t>
      </w:r>
      <w:r>
        <w:rPr>
          <w:b/>
          <w:bCs/>
        </w:rPr>
        <w:t xml:space="preserve">a closely related field</w:t>
      </w:r>
      <w:r>
        <w:t xml:space="preserve">. The Beneficiary’s degree is in</w:t>
      </w:r>
      <w:r>
        <w:t xml:space="preserve"> </w:t>
      </w:r>
      <w:r>
        <w:rPr>
          <w:b/>
          <w:bCs/>
        </w:rPr>
        <w:t xml:space="preserve">Electronics and Communication Engineering</w:t>
      </w:r>
      <w:r>
        <w:t xml:space="preserve">, a discipline centered on signals, communications, VLSI, DSP, and electromagnetics — not computer science, ML, or AI. The computer/AI coursework is</w:t>
      </w:r>
      <w:r>
        <w:t xml:space="preserve"> </w:t>
      </w:r>
      <w:r>
        <w:rPr>
          <w:b/>
          <w:bCs/>
        </w:rPr>
        <w:t xml:space="preserve">~7.5%</w:t>
      </w:r>
      <w:r>
        <w:t xml:space="preserve"> </w:t>
      </w:r>
      <w:r>
        <w:t xml:space="preserve">of the curriculum, and the senior project is a hardware/signal-processing project, not an ML/CS project. Three problems compound this:</w:t>
      </w:r>
    </w:p>
    <w:p>
      <w:pPr>
        <w:pStyle w:val="Compact"/>
        <w:numPr>
          <w:ilvl w:val="0"/>
          <w:numId w:val="1004"/>
        </w:numPr>
      </w:pPr>
      <w:r>
        <w:rPr>
          <w:b/>
          <w:bCs/>
        </w:rPr>
        <w:t xml:space="preserve">No expert nexus opinion.</w:t>
      </w:r>
      <w:r>
        <w:t xml:space="preserve"> </w:t>
      </w:r>
      <w:r>
        <w:t xml:space="preserve">The Credential Evaluation</w:t>
      </w:r>
      <w:r>
        <w:t xml:space="preserve"> </w:t>
      </w:r>
      <w:r>
        <w:rPr>
          <w:b/>
          <w:bCs/>
        </w:rPr>
        <w:t xml:space="preserve">expressly disclaims</w:t>
      </w:r>
      <w:r>
        <w:t xml:space="preserve"> </w:t>
      </w:r>
      <w:r>
        <w:t xml:space="preserve">opining on whether the field of study satisfies the position’s requirements. The package therefore contains</w:t>
      </w:r>
      <w:r>
        <w:t xml:space="preserve"> </w:t>
      </w:r>
      <w:r>
        <w:rPr>
          <w:b/>
          <w:bCs/>
        </w:rPr>
        <w:t xml:space="preserve">no qualified opinion</w:t>
      </w:r>
      <w:r>
        <w:t xml:space="preserve"> </w:t>
      </w:r>
      <w:r>
        <w:t xml:space="preserve">that ECE is</w:t>
      </w:r>
      <w:r>
        <w:t xml:space="preserve"> </w:t>
      </w:r>
      <w:r>
        <w:t xml:space="preserve">“</w:t>
      </w:r>
      <w:r>
        <w:t xml:space="preserve">closely related</w:t>
      </w:r>
      <w:r>
        <w:t xml:space="preserve">”</w:t>
      </w:r>
      <w:r>
        <w:t xml:space="preserve"> </w:t>
      </w:r>
      <w:r>
        <w:t xml:space="preserve">to CS/ML/AI. The Support Letter’s lay assertion that four courses</w:t>
      </w:r>
      <w:r>
        <w:t xml:space="preserve"> </w:t>
      </w:r>
      <w:r>
        <w:t xml:space="preserve">“</w:t>
      </w:r>
      <w:r>
        <w:t xml:space="preserve">provid[e] a strong technical foundation for machine learning engineering</w:t>
      </w:r>
      <w:r>
        <w:t xml:space="preserve">”</w:t>
      </w:r>
      <w:r>
        <w:t xml:space="preserve"> </w:t>
      </w:r>
      <w:r>
        <w:t xml:space="preserve">is not a substitute and overstates the relevance.</w:t>
      </w:r>
    </w:p>
    <w:p>
      <w:pPr>
        <w:pStyle w:val="Compact"/>
        <w:numPr>
          <w:ilvl w:val="0"/>
          <w:numId w:val="1004"/>
        </w:numPr>
      </w:pPr>
      <w:r>
        <w:rPr>
          <w:b/>
          <w:bCs/>
        </w:rPr>
        <w:t xml:space="preserve">Mischaracterization of the evaluation.</w:t>
      </w:r>
      <w:r>
        <w:t xml:space="preserve"> </w:t>
      </w:r>
      <w:r>
        <w:t xml:space="preserve">The Support Letter states the evaluation</w:t>
      </w:r>
      <w:r>
        <w:t xml:space="preserve"> </w:t>
      </w:r>
      <w:r>
        <w:t xml:space="preserve">“</w:t>
      </w:r>
      <w:r>
        <w:t xml:space="preserve">confirms that Mr. Venkataraman’s degree is equivalent to a Bachelor of Science degree from a regionally accredited institution,</w:t>
      </w:r>
      <w:r>
        <w:t xml:space="preserve">”</w:t>
      </w:r>
      <w:r>
        <w:t xml:space="preserve"> </w:t>
      </w:r>
      <w:r>
        <w:rPr>
          <w:b/>
          <w:bCs/>
        </w:rPr>
        <w:t xml:space="preserve">omitting</w:t>
      </w:r>
      <w:r>
        <w:t xml:space="preserve"> </w:t>
      </w:r>
      <w:r>
        <w:t xml:space="preserve">the evaluation’s actual conclusion that the equivalency is to a B.S.</w:t>
      </w:r>
      <w:r>
        <w:t xml:space="preserve"> </w:t>
      </w:r>
      <w:r>
        <w:rPr>
          <w:b/>
          <w:bCs/>
        </w:rPr>
        <w:t xml:space="preserve">in Electronics and Communication Engineering</w:t>
      </w:r>
      <w:r>
        <w:t xml:space="preserve">. This generalization obscures the field-of-study problem and could be viewed as misleading.</w:t>
      </w:r>
    </w:p>
    <w:p>
      <w:pPr>
        <w:pStyle w:val="Compact"/>
        <w:numPr>
          <w:ilvl w:val="0"/>
          <w:numId w:val="1004"/>
        </w:numPr>
      </w:pPr>
      <w:r>
        <w:rPr>
          <w:b/>
          <w:bCs/>
        </w:rPr>
        <w:t xml:space="preserve">Reliance on the alternative is not clearly articulated</w:t>
      </w:r>
      <w:r>
        <w:t xml:space="preserve"> </w:t>
      </w:r>
      <w:r>
        <w:t xml:space="preserve">(see Issue B-3).</w:t>
      </w:r>
    </w:p>
    <w:p>
      <w:pPr>
        <w:pStyle w:val="FirstParagraph"/>
      </w:pPr>
      <w:r>
        <w:rPr>
          <w:b/>
          <w:bCs/>
        </w:rPr>
        <w:t xml:space="preserve">Why it matters.</w:t>
      </w:r>
      <w:r>
        <w:t xml:space="preserve"> </w:t>
      </w:r>
      <w:r>
        <w:t xml:space="preserve">USCIS routinely RFEs/NOIDs H-1B petitions where the Beneficiary’s degree field is not an obvious match to the proffered specialty. Without an expert opinion establishing the ECE→ML nexus (or clear reliance on the alternative qualification with documented experience), the Beneficiary-qualifications prong is exposed.</w:t>
      </w:r>
    </w:p>
    <w:p>
      <w:pPr>
        <w:pStyle w:val="BodyText"/>
      </w:pPr>
      <w:r>
        <w:rPr>
          <w:b/>
          <w:bCs/>
        </w:rPr>
        <w:t xml:space="preserve">Recommended action.</w:t>
      </w:r>
      <w:r>
        <w:t xml:space="preserve"> </w:t>
      </w:r>
      <w:r>
        <w:t xml:space="preserve">Obtain a</w:t>
      </w:r>
      <w:r>
        <w:t xml:space="preserve"> </w:t>
      </w:r>
      <w:r>
        <w:rPr>
          <w:b/>
          <w:bCs/>
        </w:rPr>
        <w:t xml:space="preserve">supplemental expert opinion letter</w:t>
      </w:r>
      <w:r>
        <w:t xml:space="preserve"> </w:t>
      </w:r>
      <w:r>
        <w:t xml:space="preserve">(from a qualified university professor or a NACES evaluator credentialed in a relevant discipline) opining specifically that the Beneficiary’s ECE coursework, combined with the documented ML experience, constitutes the specialized knowledge required for the position — i.e., a</w:t>
      </w:r>
      <w:r>
        <w:t xml:space="preserve"> </w:t>
      </w:r>
      <w:r>
        <w:t xml:space="preserve">“</w:t>
      </w:r>
      <w:r>
        <w:t xml:space="preserve">combination</w:t>
      </w:r>
      <w:r>
        <w:t xml:space="preserve">”</w:t>
      </w:r>
      <w:r>
        <w:t xml:space="preserve"> </w:t>
      </w:r>
      <w:r>
        <w:t xml:space="preserve">or</w:t>
      </w:r>
      <w:r>
        <w:t xml:space="preserve"> </w:t>
      </w:r>
      <w:r>
        <w:t xml:space="preserve">“</w:t>
      </w:r>
      <w:r>
        <w:t xml:space="preserve">closely related field</w:t>
      </w:r>
      <w:r>
        <w:t xml:space="preserve">”</w:t>
      </w:r>
      <w:r>
        <w:t xml:space="preserve"> </w:t>
      </w:r>
      <w:r>
        <w:t xml:space="preserve">analysis. Correct the Support Letter to quote the evaluation’s conclusion accurately (B.S. in ECE). Consider whether the alternative qualification (Issue B-3) should be framed as the primary basis.</w:t>
      </w:r>
    </w:p>
    <w:bookmarkEnd w:id="27"/>
    <w:bookmarkStart w:id="28" w:name="X4c6351b3639fd52949a79c4e13f00db039d750d"/>
    <w:p>
      <w:pPr>
        <w:pStyle w:val="Heading4"/>
      </w:pPr>
      <w:r>
        <w:t xml:space="preserve">A-3. LCA Posting-Period Deficiency (8 Business Days vs. 10 Required)</w:t>
      </w:r>
    </w:p>
    <w:p>
      <w:pPr>
        <w:pStyle w:val="FirstParagraph"/>
      </w:pPr>
      <w:r>
        <w:rPr>
          <w:b/>
          <w:bCs/>
        </w:rPr>
        <w:t xml:space="preserve">Where it appears.</w:t>
      </w:r>
      <w:r>
        <w:t xml:space="preserve"> </w:t>
      </w:r>
      <w:r>
        <w:t xml:space="preserve">LCA § J.2 (posted March 10, 2025; removed March 19, 2025); LCA § K.4 (same); Posting Notice (</w:t>
      </w:r>
      <w:r>
        <w:t xml:space="preserve">“</w:t>
      </w:r>
      <w:r>
        <w:t xml:space="preserve">posted from March 10, 2025 through March 19, 2025</w:t>
      </w:r>
      <w:r>
        <w:t xml:space="preserve">”</w:t>
      </w:r>
      <w:r>
        <w:t xml:space="preserve">).</w:t>
      </w:r>
    </w:p>
    <w:p>
      <w:pPr>
        <w:pStyle w:val="BodyText"/>
      </w:pPr>
      <w:r>
        <w:rPr>
          <w:b/>
          <w:bCs/>
        </w:rPr>
        <w:t xml:space="preserve">The issue.</w:t>
      </w:r>
      <w:r>
        <w:t xml:space="preserve"> </w:t>
      </w:r>
      <w:r>
        <w:t xml:space="preserve">20 C.F.R. § 655.734 requires that the Notice of Filing be posted in at least two conspicuous locations for</w:t>
      </w:r>
      <w:r>
        <w:t xml:space="preserve"> </w:t>
      </w:r>
      <w:r>
        <w:rPr>
          <w:b/>
          <w:bCs/>
        </w:rPr>
        <w:t xml:space="preserve">at least 10 consecutive business days</w:t>
      </w:r>
      <w:r>
        <w:t xml:space="preserve">. Counting business days from Monday, March 10, 2025 through Wednesday, March 19, 2025 yields only</w:t>
      </w:r>
      <w:r>
        <w:t xml:space="preserve"> </w:t>
      </w:r>
      <w:r>
        <w:rPr>
          <w:b/>
          <w:bCs/>
        </w:rPr>
        <w:t xml:space="preserve">8 business days</w:t>
      </w:r>
      <w:r>
        <w:t xml:space="preserve"> </w:t>
      </w:r>
      <w:r>
        <w:t xml:space="preserve">(Mar. 10, 11, 12, 13, 14, 17, 18, 19). The 10th business day would have been</w:t>
      </w:r>
      <w:r>
        <w:t xml:space="preserve"> </w:t>
      </w:r>
      <w:r>
        <w:rPr>
          <w:b/>
          <w:bCs/>
        </w:rPr>
        <w:t xml:space="preserve">Friday, March 21, 2025</w:t>
      </w:r>
      <w:r>
        <w:t xml:space="preserve">. The notice was removed two business days early.</w:t>
      </w:r>
    </w:p>
    <w:p>
      <w:pPr>
        <w:pStyle w:val="BodyText"/>
      </w:pPr>
      <w:r>
        <w:rPr>
          <w:b/>
          <w:bCs/>
        </w:rPr>
        <w:t xml:space="preserve">Why it matters.</w:t>
      </w:r>
      <w:r>
        <w:t xml:space="preserve"> </w:t>
      </w:r>
      <w:r>
        <w:t xml:space="preserve">A deficient posting undermines the LCA’s notice attestation (LCA § K.4) and is a DOL compliance violation that can be raised in a Wage and Hour Division audit or by a complainant. Although USCIS does not typically re-adjudicate posting compliance at the petition stage, the deficiency should be cured to protect the Petitioner and to avoid an inconsistency between the package and the regulatory requirement.</w:t>
      </w:r>
    </w:p>
    <w:p>
      <w:pPr>
        <w:pStyle w:val="BodyText"/>
      </w:pPr>
      <w:r>
        <w:rPr>
          <w:b/>
          <w:bCs/>
        </w:rPr>
        <w:t xml:space="preserve">Recommended action.</w:t>
      </w:r>
      <w:r>
        <w:t xml:space="preserve"> </w:t>
      </w:r>
      <w:r>
        <w:t xml:space="preserve">Because the LCA is already certified and the posting window has closed, the practical fix is to</w:t>
      </w:r>
      <w:r>
        <w:t xml:space="preserve"> </w:t>
      </w:r>
      <w:r>
        <w:rPr>
          <w:b/>
          <w:bCs/>
        </w:rPr>
        <w:t xml:space="preserve">re-post the Notice of Filing for a full 10 consecutive business days</w:t>
      </w:r>
      <w:r>
        <w:t xml:space="preserve"> </w:t>
      </w:r>
      <w:r>
        <w:t xml:space="preserve">in two conspicuous locations, document the posting (dates, locations, photographs/signatures), and retain the documentation in the Public Access File. Confirm with counsel whether any further corrective step is advisable.</w:t>
      </w:r>
    </w:p>
    <w:bookmarkEnd w:id="28"/>
    <w:bookmarkStart w:id="29" w:name="X32320f918bb745d80dbf6acf65224211d6be2a6"/>
    <w:p>
      <w:pPr>
        <w:pStyle w:val="Heading4"/>
      </w:pPr>
      <w:r>
        <w:t xml:space="preserve">A-4. Employment-Date Discrepancies Between the Résumé and the Experience Letters / Support Letter</w:t>
      </w:r>
    </w:p>
    <w:p>
      <w:pPr>
        <w:pStyle w:val="FirstParagraph"/>
      </w:pPr>
      <w:r>
        <w:rPr>
          <w:b/>
          <w:bCs/>
        </w:rPr>
        <w:t xml:space="preserve">Where it appears.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Employer</w:t>
            </w:r>
          </w:p>
        </w:tc>
        <w:tc>
          <w:tcPr/>
          <w:p>
            <w:pPr>
              <w:pStyle w:val="Compact"/>
              <w:jc w:val="left"/>
            </w:pPr>
            <w:r>
              <w:t xml:space="preserve">Résumé</w:t>
            </w:r>
          </w:p>
        </w:tc>
        <w:tc>
          <w:tcPr/>
          <w:p>
            <w:pPr>
              <w:pStyle w:val="Compact"/>
              <w:jc w:val="left"/>
            </w:pPr>
            <w:r>
              <w:t xml:space="preserve">Experience Letter</w:t>
            </w:r>
          </w:p>
        </w:tc>
        <w:tc>
          <w:tcPr/>
          <w:p>
            <w:pPr>
              <w:pStyle w:val="Compact"/>
              <w:jc w:val="left"/>
            </w:pPr>
            <w:r>
              <w:t xml:space="preserve">Support Letter</w:t>
            </w:r>
          </w:p>
        </w:tc>
      </w:tr>
      <w:tr>
        <w:tc>
          <w:tcPr/>
          <w:p>
            <w:pPr>
              <w:pStyle w:val="Compact"/>
              <w:jc w:val="left"/>
            </w:pPr>
            <w:r>
              <w:t xml:space="preserve">Kiran Software Solutions</w:t>
            </w:r>
          </w:p>
        </w:tc>
        <w:tc>
          <w:tcPr/>
          <w:p>
            <w:pPr>
              <w:pStyle w:val="Compact"/>
              <w:jc w:val="left"/>
            </w:pPr>
            <w:r>
              <w:t xml:space="preserve">June 2014 –</w:t>
            </w:r>
            <w:r>
              <w:t xml:space="preserve"> </w:t>
            </w:r>
            <w:r>
              <w:rPr>
                <w:b/>
                <w:bCs/>
              </w:rPr>
              <w:t xml:space="preserve">March 2017</w:t>
            </w:r>
          </w:p>
        </w:tc>
        <w:tc>
          <w:tcPr/>
          <w:p>
            <w:pPr>
              <w:pStyle w:val="Compact"/>
              <w:jc w:val="left"/>
            </w:pPr>
            <w:r>
              <w:t xml:space="preserve">June 16, 2014 –</w:t>
            </w:r>
            <w:r>
              <w:t xml:space="preserve"> </w:t>
            </w:r>
            <w:r>
              <w:rPr>
                <w:b/>
                <w:bCs/>
              </w:rPr>
              <w:t xml:space="preserve">December 9, 2016</w:t>
            </w:r>
          </w:p>
        </w:tc>
        <w:tc>
          <w:tcPr/>
          <w:p>
            <w:pPr>
              <w:pStyle w:val="Compact"/>
              <w:jc w:val="left"/>
            </w:pPr>
            <w:r>
              <w:t xml:space="preserve">June 2014 –</w:t>
            </w:r>
            <w:r>
              <w:t xml:space="preserve"> </w:t>
            </w:r>
            <w:r>
              <w:rPr>
                <w:b/>
                <w:bCs/>
              </w:rPr>
              <w:t xml:space="preserve">December 2016</w:t>
            </w:r>
          </w:p>
        </w:tc>
      </w:tr>
      <w:tr>
        <w:tc>
          <w:tcPr/>
          <w:p>
            <w:pPr>
              <w:pStyle w:val="Compact"/>
              <w:jc w:val="left"/>
            </w:pPr>
            <w:r>
              <w:t xml:space="preserve">NovaStar Data Systems</w:t>
            </w:r>
          </w:p>
        </w:tc>
        <w:tc>
          <w:tcPr/>
          <w:p>
            <w:pPr>
              <w:pStyle w:val="Compact"/>
              <w:jc w:val="left"/>
            </w:pPr>
            <w:r>
              <w:t xml:space="preserve">April 2017 –</w:t>
            </w:r>
            <w:r>
              <w:t xml:space="preserve"> </w:t>
            </w:r>
            <w:r>
              <w:rPr>
                <w:b/>
                <w:bCs/>
              </w:rPr>
              <w:t xml:space="preserve">August 2020</w:t>
            </w:r>
          </w:p>
        </w:tc>
        <w:tc>
          <w:tcPr/>
          <w:p>
            <w:pPr>
              <w:pStyle w:val="Compact"/>
              <w:jc w:val="left"/>
            </w:pPr>
            <w:r>
              <w:t xml:space="preserve">April 2017 –</w:t>
            </w:r>
            <w:r>
              <w:t xml:space="preserve"> </w:t>
            </w:r>
            <w:r>
              <w:rPr>
                <w:b/>
                <w:bCs/>
              </w:rPr>
              <w:t xml:space="preserve">July 2020</w:t>
            </w:r>
          </w:p>
        </w:tc>
        <w:tc>
          <w:tcPr/>
          <w:p>
            <w:pPr>
              <w:pStyle w:val="Compact"/>
              <w:jc w:val="left"/>
            </w:pPr>
            <w:r>
              <w:t xml:space="preserve">April 2017 –</w:t>
            </w:r>
            <w:r>
              <w:t xml:space="preserve"> </w:t>
            </w:r>
            <w:r>
              <w:rPr>
                <w:b/>
                <w:bCs/>
              </w:rPr>
              <w:t xml:space="preserve">July 2020</w:t>
            </w:r>
          </w:p>
        </w:tc>
      </w:tr>
    </w:tbl>
    <w:p>
      <w:pPr>
        <w:pStyle w:val="BodyText"/>
      </w:pPr>
      <w:r>
        <w:rPr>
          <w:b/>
          <w:bCs/>
        </w:rPr>
        <w:t xml:space="preserve">The issue.</w:t>
      </w:r>
      <w:r>
        <w:t xml:space="preserve"> </w:t>
      </w:r>
      <w:r>
        <w:t xml:space="preserve">The Résumé’s end dates for both prior employers are</w:t>
      </w:r>
      <w:r>
        <w:t xml:space="preserve"> </w:t>
      </w:r>
      <w:r>
        <w:rPr>
          <w:b/>
          <w:bCs/>
        </w:rPr>
        <w:t xml:space="preserve">later</w:t>
      </w:r>
      <w:r>
        <w:t xml:space="preserve"> </w:t>
      </w:r>
      <w:r>
        <w:t xml:space="preserve">than the dates attested by the employers themselves and repeated in the Support Letter — by ~3 months at Kiran and ~1 month at NovaStar. The Résumé therefore</w:t>
      </w:r>
      <w:r>
        <w:t xml:space="preserve"> </w:t>
      </w:r>
      <w:r>
        <w:rPr>
          <w:b/>
          <w:bCs/>
        </w:rPr>
        <w:t xml:space="preserve">overstates</w:t>
      </w:r>
      <w:r>
        <w:t xml:space="preserve"> </w:t>
      </w:r>
      <w:r>
        <w:t xml:space="preserve">the duration of both engagements. (The Résumé’s Kiran end date of March 2017 also has the effect of</w:t>
      </w:r>
      <w:r>
        <w:t xml:space="preserve"> </w:t>
      </w:r>
      <w:r>
        <w:rPr>
          <w:b/>
          <w:bCs/>
        </w:rPr>
        <w:t xml:space="preserve">masking a ~3.7-month gap</w:t>
      </w:r>
      <w:r>
        <w:t xml:space="preserve"> </w:t>
      </w:r>
      <w:r>
        <w:t xml:space="preserve">between Kiran’s actual end (Dec. 9, 2016) and NovaStar’s start (April 2017) — see Issue C-3.)</w:t>
      </w:r>
    </w:p>
    <w:p>
      <w:pPr>
        <w:pStyle w:val="BodyText"/>
      </w:pPr>
      <w:r>
        <w:rPr>
          <w:b/>
          <w:bCs/>
        </w:rPr>
        <w:t xml:space="preserve">Why it matters.</w:t>
      </w:r>
      <w:r>
        <w:t xml:space="preserve"> </w:t>
      </w:r>
      <w:r>
        <w:t xml:space="preserve">USCIS compares the Résumé against the experience letters and the Support Letter; unexplained date conflicts are a classic RFE trigger and can affect credibility and the calculation of</w:t>
      </w:r>
      <w:r>
        <w:t xml:space="preserve"> </w:t>
      </w:r>
      <w:r>
        <w:t xml:space="preserve">“</w:t>
      </w:r>
      <w:r>
        <w:t xml:space="preserve">progressive experience.</w:t>
      </w:r>
      <w:r>
        <w:t xml:space="preserve">”</w:t>
      </w:r>
      <w:r>
        <w:t xml:space="preserve"> </w:t>
      </w:r>
      <w:r>
        <w:t xml:space="preserve">The discrepancies also feed into the years-of-experience inconsistency (Issue C-1).</w:t>
      </w:r>
    </w:p>
    <w:p>
      <w:pPr>
        <w:pStyle w:val="BodyText"/>
      </w:pPr>
      <w:r>
        <w:rPr>
          <w:b/>
          <w:bCs/>
        </w:rPr>
        <w:t xml:space="preserve">Recommended action.</w:t>
      </w:r>
      <w:r>
        <w:t xml:space="preserve"> </w:t>
      </w:r>
      <w:r>
        <w:t xml:space="preserve">Correct the Résumé to match the experience letters (Kiran: June 2014 – December 2016; NovaStar: April 2017 – July 2020). Ensure the Support Letter’s experience narrative uses the same corrected dates. Be prepared to explain the Dec. 2016–April 2017 gap if asked.</w:t>
      </w:r>
    </w:p>
    <w:bookmarkEnd w:id="29"/>
    <w:bookmarkEnd w:id="30"/>
    <w:bookmarkStart w:id="38" w:name="b.-moderate-issues"/>
    <w:p>
      <w:pPr>
        <w:pStyle w:val="Heading3"/>
      </w:pPr>
      <w:r>
        <w:t xml:space="preserve">B. Moderate Issues</w:t>
      </w:r>
    </w:p>
    <w:bookmarkStart w:id="31" w:name="X49c7510a1fc62bd9bdbceecb7102c7538c84df9"/>
    <w:p>
      <w:pPr>
        <w:pStyle w:val="Heading4"/>
      </w:pPr>
      <w:r>
        <w:t xml:space="preserve">B-1. Direct-Reports Inconsistency (3 vs. 2)</w:t>
      </w:r>
    </w:p>
    <w:p>
      <w:pPr>
        <w:pStyle w:val="FirstParagraph"/>
      </w:pPr>
      <w:r>
        <w:rPr>
          <w:b/>
          <w:bCs/>
        </w:rPr>
        <w:t xml:space="preserve">Where it appears.</w:t>
      </w:r>
      <w:r>
        <w:t xml:space="preserve"> </w:t>
      </w:r>
      <w:r>
        <w:t xml:space="preserve">Support Letter § 2, duty 4 (</w:t>
      </w:r>
      <w:r>
        <w:t xml:space="preserve">“</w:t>
      </w:r>
      <w:r>
        <w:t xml:space="preserve">Leading and mentoring a team of</w:t>
      </w:r>
      <w:r>
        <w:t xml:space="preserve"> </w:t>
      </w:r>
      <w:r>
        <w:rPr>
          <w:b/>
          <w:bCs/>
        </w:rPr>
        <w:t xml:space="preserve">3</w:t>
      </w:r>
      <w:r>
        <w:t xml:space="preserve"> </w:t>
      </w:r>
      <w:r>
        <w:t xml:space="preserve">junior data scientists</w:t>
      </w:r>
      <w:r>
        <w:t xml:space="preserve">”</w:t>
      </w:r>
      <w:r>
        <w:t xml:space="preserve">); Org Chart, Level 4 (</w:t>
      </w:r>
      <w:r>
        <w:t xml:space="preserve">“</w:t>
      </w:r>
      <w:r>
        <w:rPr>
          <w:b/>
          <w:bCs/>
        </w:rPr>
        <w:t xml:space="preserve">2</w:t>
      </w:r>
      <w:r>
        <w:t xml:space="preserve"> </w:t>
      </w:r>
      <w:r>
        <w:t xml:space="preserve">direct reports</w:t>
      </w:r>
      <w:r>
        <w:t xml:space="preserve">”</w:t>
      </w:r>
      <w:r>
        <w:t xml:space="preserve"> </w:t>
      </w:r>
      <w:r>
        <w:t xml:space="preserve">— two Data Scientist positions).</w:t>
      </w:r>
    </w:p>
    <w:p>
      <w:pPr>
        <w:pStyle w:val="BodyText"/>
      </w:pPr>
      <w:r>
        <w:rPr>
          <w:b/>
          <w:bCs/>
        </w:rPr>
        <w:t xml:space="preserve">The issue.</w:t>
      </w:r>
      <w:r>
        <w:t xml:space="preserve"> </w:t>
      </w:r>
      <w:r>
        <w:t xml:space="preserve">The Support Letter states the Beneficiary will lead/mentor</w:t>
      </w:r>
      <w:r>
        <w:t xml:space="preserve"> </w:t>
      </w:r>
      <w:r>
        <w:rPr>
          <w:b/>
          <w:bCs/>
        </w:rPr>
        <w:t xml:space="preserve">three</w:t>
      </w:r>
      <w:r>
        <w:t xml:space="preserve"> </w:t>
      </w:r>
      <w:r>
        <w:t xml:space="preserve">junior data scientists, while the Org Chart depicts only</w:t>
      </w:r>
      <w:r>
        <w:t xml:space="preserve"> </w:t>
      </w:r>
      <w:r>
        <w:rPr>
          <w:b/>
          <w:bCs/>
        </w:rPr>
        <w:t xml:space="preserve">two</w:t>
      </w:r>
      <w:r>
        <w:t xml:space="preserve"> </w:t>
      </w:r>
      <w:r>
        <w:t xml:space="preserve">direct reports. This is an internal inconsistency in the supervisory scope of the position.</w:t>
      </w:r>
    </w:p>
    <w:p>
      <w:pPr>
        <w:pStyle w:val="BodyText"/>
      </w:pPr>
      <w:r>
        <w:rPr>
          <w:b/>
          <w:bCs/>
        </w:rPr>
        <w:t xml:space="preserve">Why it matters.</w:t>
      </w:r>
      <w:r>
        <w:t xml:space="preserve"> </w:t>
      </w:r>
      <w:r>
        <w:t xml:space="preserve">The discrepancy (a) undermines the consistency of the specialty-occupation and supervisory narrative, and (b) directly affects the wage-level analysis in Issue A-1 (the number of supervisees is a Level 3/4 factor). An adjudicator comparing the two documents will notice the conflict.</w:t>
      </w:r>
    </w:p>
    <w:p>
      <w:pPr>
        <w:pStyle w:val="BodyText"/>
      </w:pPr>
      <w:r>
        <w:rPr>
          <w:b/>
          <w:bCs/>
        </w:rPr>
        <w:t xml:space="preserve">Recommended action.</w:t>
      </w:r>
      <w:r>
        <w:t xml:space="preserve"> </w:t>
      </w:r>
      <w:r>
        <w:t xml:space="preserve">Reconcile the number — confirm the actual headcount and make the Support Letter and Org Chart match. If the team is three but only two are direct reports, state that explicitly.</w:t>
      </w:r>
    </w:p>
    <w:bookmarkEnd w:id="31"/>
    <w:bookmarkStart w:id="32" w:name="X8d76770c2a72cb014876839c0200c519d351b23"/>
    <w:p>
      <w:pPr>
        <w:pStyle w:val="Heading4"/>
      </w:pPr>
      <w:r>
        <w:t xml:space="preserve">B-2. Undocumented Independent-Consultant Period (Aug. 2020 – Aug. 2023)</w:t>
      </w:r>
    </w:p>
    <w:p>
      <w:pPr>
        <w:pStyle w:val="FirstParagraph"/>
      </w:pPr>
      <w:r>
        <w:rPr>
          <w:b/>
          <w:bCs/>
        </w:rPr>
        <w:t xml:space="preserve">Where it appears.</w:t>
      </w:r>
      <w:r>
        <w:t xml:space="preserve"> </w:t>
      </w:r>
      <w:r>
        <w:t xml:space="preserve">Résumé (</w:t>
      </w:r>
      <w:r>
        <w:t xml:space="preserve">“</w:t>
      </w:r>
      <w:r>
        <w:t xml:space="preserve">Independent Machine Learning Consultant, August 2020 – August 2023</w:t>
      </w:r>
      <w:r>
        <w:t xml:space="preserve">”</w:t>
      </w:r>
      <w:r>
        <w:t xml:space="preserve">); Support Letter § 4 (same period, no supporting documentation referenced). No experience letter, client letter, 1099/contract, or business-registration document for this ~3-year period is included in the package.</w:t>
      </w:r>
    </w:p>
    <w:p>
      <w:pPr>
        <w:pStyle w:val="BodyText"/>
      </w:pPr>
      <w:r>
        <w:rPr>
          <w:b/>
          <w:bCs/>
        </w:rPr>
        <w:t xml:space="preserve">The issue.</w:t>
      </w:r>
      <w:r>
        <w:t xml:space="preserve"> </w:t>
      </w:r>
      <w:r>
        <w:t xml:space="preserve">The independent-consulting period constitutes a substantial portion (~3 years) of the Beneficiary’s claimed machine-learning experience and is relied upon to satisfy both the 3-year minimum and the 5-year alternative-qualification experience requirement.</w:t>
      </w:r>
      <w:r>
        <w:t xml:space="preserve"> </w:t>
      </w:r>
      <w:r>
        <w:rPr>
          <w:b/>
          <w:bCs/>
        </w:rPr>
        <w:t xml:space="preserve">Self-employment/independent-consulting experience is notoriously difficult to credit</w:t>
      </w:r>
      <w:r>
        <w:t xml:space="preserve"> </w:t>
      </w:r>
      <w:r>
        <w:t xml:space="preserve">because there is no disinterested third-party employer to verify it, and USCIS frequently discounts undocumented self-employment.</w:t>
      </w:r>
    </w:p>
    <w:p>
      <w:pPr>
        <w:pStyle w:val="BodyText"/>
      </w:pPr>
      <w:r>
        <w:rPr>
          <w:b/>
          <w:bCs/>
        </w:rPr>
        <w:t xml:space="preserve">Why it matters.</w:t>
      </w:r>
      <w:r>
        <w:t xml:space="preserve"> </w:t>
      </w:r>
      <w:r>
        <w:t xml:space="preserve">If this period is not credited, the Beneficiary’s</w:t>
      </w:r>
      <w:r>
        <w:t xml:space="preserve"> </w:t>
      </w:r>
      <w:r>
        <w:rPr>
          <w:i/>
          <w:iCs/>
        </w:rPr>
        <w:t xml:space="preserve">documented</w:t>
      </w:r>
      <w:r>
        <w:t xml:space="preserve"> </w:t>
      </w:r>
      <w:r>
        <w:t xml:space="preserve">progressive ML experience is reduced to NovaStar (April 2017 – July 2020, ~3.25 years) plus Brightfield (Sept. 2023 – present) — which still exceeds the 3-year minimum but may be thinner than the package implies, and the 5-year alternative becomes harder to establish on documented experience alone.</w:t>
      </w:r>
    </w:p>
    <w:p>
      <w:pPr>
        <w:pStyle w:val="BodyText"/>
      </w:pPr>
      <w:r>
        <w:rPr>
          <w:b/>
          <w:bCs/>
        </w:rPr>
        <w:t xml:space="preserve">Recommended action.</w:t>
      </w:r>
      <w:r>
        <w:t xml:space="preserve"> </w:t>
      </w:r>
      <w:r>
        <w:t xml:space="preserve">Supplement with objective evidence of the consulting practice: 1099 tax forms / Schedule C, client engagement letters or client-issued letters describing the ML work performed, business registration/DBA filings, and invoices. Have at least one or two clients issue letters on company letterhead describing the projects, dates, and the Beneficiary’s ML duties.</w:t>
      </w:r>
    </w:p>
    <w:bookmarkEnd w:id="32"/>
    <w:bookmarkStart w:id="33" w:name="Xd3b1d4a099d98157be5024feb5ab65a60089c9e"/>
    <w:p>
      <w:pPr>
        <w:pStyle w:val="Heading4"/>
      </w:pPr>
      <w:r>
        <w:t xml:space="preserve">B-3. Alternative Qualification Not Clearly Invoked; Breadth May Undercut the Specialty-Occupation Argument</w:t>
      </w:r>
    </w:p>
    <w:p>
      <w:pPr>
        <w:pStyle w:val="FirstParagraph"/>
      </w:pPr>
      <w:r>
        <w:rPr>
          <w:b/>
          <w:bCs/>
        </w:rPr>
        <w:t xml:space="preserve">Where it appears.</w:t>
      </w:r>
      <w:r>
        <w:t xml:space="preserve"> </w:t>
      </w:r>
      <w:r>
        <w:t xml:space="preserve">Support Letter § 3 (</w:t>
      </w:r>
      <w:r>
        <w:t xml:space="preserve">“</w:t>
      </w:r>
      <w:r>
        <w:t xml:space="preserve">Alternatively, a Bachelor’s degree in</w:t>
      </w:r>
      <w:r>
        <w:t xml:space="preserve"> </w:t>
      </w:r>
      <w:r>
        <w:rPr>
          <w:b/>
          <w:bCs/>
        </w:rPr>
        <w:t xml:space="preserve">any engineering discipline</w:t>
      </w:r>
      <w:r>
        <w:t xml:space="preserve"> </w:t>
      </w:r>
      <w:r>
        <w:t xml:space="preserve">combined with</w:t>
      </w:r>
      <w:r>
        <w:t xml:space="preserve"> </w:t>
      </w:r>
      <w:r>
        <w:rPr>
          <w:b/>
          <w:bCs/>
        </w:rPr>
        <w:t xml:space="preserve">5 years of progressive experience in machine learning</w:t>
      </w:r>
      <w:r>
        <w:t xml:space="preserve"> </w:t>
      </w:r>
      <w:r>
        <w:t xml:space="preserve">may be accepted as an equivalent qualification</w:t>
      </w:r>
      <w:r>
        <w:t xml:space="preserve">”</w:t>
      </w:r>
      <w:r>
        <w:t xml:space="preserve">).</w:t>
      </w:r>
    </w:p>
    <w:p>
      <w:pPr>
        <w:pStyle w:val="BodyText"/>
      </w:pPr>
      <w:r>
        <w:rPr>
          <w:b/>
          <w:bCs/>
        </w:rPr>
        <w:t xml:space="preserve">The issue.</w:t>
      </w:r>
      <w:r>
        <w:t xml:space="preserve"> </w:t>
      </w:r>
      <w:r>
        <w:t xml:space="preserve">The Support Letter offers an alternative qualification that is</w:t>
      </w:r>
      <w:r>
        <w:t xml:space="preserve"> </w:t>
      </w:r>
      <w:r>
        <w:rPr>
          <w:b/>
          <w:bCs/>
        </w:rPr>
        <w:t xml:space="preserve">broader</w:t>
      </w:r>
      <w:r>
        <w:t xml:space="preserve"> </w:t>
      </w:r>
      <w:r>
        <w:t xml:space="preserve">than the primary requirement (</w:t>
      </w:r>
      <w:r>
        <w:t xml:space="preserve">“</w:t>
      </w:r>
      <w:r>
        <w:t xml:space="preserve">any engineering discipline</w:t>
      </w:r>
      <w:r>
        <w:t xml:space="preserve">”</w:t>
      </w:r>
      <w:r>
        <w:t xml:space="preserve"> </w:t>
      </w:r>
      <w:r>
        <w:t xml:space="preserve">rather than CS/ML/AI/closely related). Two concerns:</w:t>
      </w:r>
    </w:p>
    <w:p>
      <w:pPr>
        <w:pStyle w:val="Compact"/>
        <w:numPr>
          <w:ilvl w:val="0"/>
          <w:numId w:val="1005"/>
        </w:numPr>
      </w:pPr>
      <w:r>
        <w:rPr>
          <w:b/>
          <w:bCs/>
        </w:rPr>
        <w:t xml:space="preserve">Not clearly invoked as the basis for qualification.</w:t>
      </w:r>
      <w:r>
        <w:t xml:space="preserve"> </w:t>
      </w:r>
      <w:r>
        <w:t xml:space="preserve">The Support Letter’s § 4 qualification analysis leans on the primary path (degree + coursework), which is the weaker path for this Beneficiary (see Issue A-2). The alternative — which the Beneficiary can satisfy (engineering degree + 5+ years ML experience) — is not developed as the operative theory.</w:t>
      </w:r>
    </w:p>
    <w:p>
      <w:pPr>
        <w:pStyle w:val="Compact"/>
        <w:numPr>
          <w:ilvl w:val="0"/>
          <w:numId w:val="1005"/>
        </w:numPr>
      </w:pPr>
      <w:r>
        <w:rPr>
          <w:b/>
          <w:bCs/>
        </w:rPr>
        <w:t xml:space="preserve">Potential tension with the specialty-occupation showing.</w:t>
      </w:r>
      <w:r>
        <w:t xml:space="preserve"> </w:t>
      </w:r>
      <w:r>
        <w:t xml:space="preserve">Accepting</w:t>
      </w:r>
      <w:r>
        <w:t xml:space="preserve"> </w:t>
      </w:r>
      <w:r>
        <w:t xml:space="preserve">“</w:t>
      </w:r>
      <w:r>
        <w:t xml:space="preserve">any engineering discipline</w:t>
      </w:r>
      <w:r>
        <w:t xml:space="preserve">”</w:t>
      </w:r>
      <w:r>
        <w:t xml:space="preserve"> </w:t>
      </w:r>
      <w:r>
        <w:t xml:space="preserve">can be read to mean the position does not require knowledge tied to a</w:t>
      </w:r>
      <w:r>
        <w:t xml:space="preserve"> </w:t>
      </w:r>
      <w:r>
        <w:rPr>
          <w:i/>
          <w:iCs/>
        </w:rPr>
        <w:t xml:space="preserve">specific</w:t>
      </w:r>
      <w:r>
        <w:t xml:space="preserve"> </w:t>
      </w:r>
      <w:r>
        <w:t xml:space="preserve">academic specialty, which USCIS has cited to question whether a true specialty occupation exists. The</w:t>
      </w:r>
      <w:r>
        <w:t xml:space="preserve"> </w:t>
      </w:r>
      <w:r>
        <w:t xml:space="preserve">“</w:t>
      </w:r>
      <w:r>
        <w:t xml:space="preserve">industry standard</w:t>
      </w:r>
      <w:r>
        <w:t xml:space="preserve">”</w:t>
      </w:r>
      <w:r>
        <w:t xml:space="preserve"> </w:t>
      </w:r>
      <w:r>
        <w:t xml:space="preserve">argument in § 3 (see Issue B-7) is also conclusory.</w:t>
      </w:r>
    </w:p>
    <w:p>
      <w:pPr>
        <w:pStyle w:val="FirstParagraph"/>
      </w:pPr>
      <w:r>
        <w:rPr>
          <w:b/>
          <w:bCs/>
        </w:rPr>
        <w:t xml:space="preserve">Why it matters.</w:t>
      </w:r>
      <w:r>
        <w:t xml:space="preserve"> </w:t>
      </w:r>
      <w:r>
        <w:t xml:space="preserve">A poorly framed alternative can simultaneously weaken the specialty-occupation prong and fail to clearly establish the Beneficiary-qualifications prong.</w:t>
      </w:r>
    </w:p>
    <w:p>
      <w:pPr>
        <w:pStyle w:val="BodyText"/>
      </w:pPr>
      <w:r>
        <w:rPr>
          <w:b/>
          <w:bCs/>
        </w:rPr>
        <w:t xml:space="preserve">Recommended action.</w:t>
      </w:r>
      <w:r>
        <w:t xml:space="preserve"> </w:t>
      </w:r>
      <w:r>
        <w:t xml:space="preserve">Decide which qualification theory is primary and argue it cleanly. If relying on the alternative, document the 5 years of progressive ML experience (including Issue B-2 supplementation) and explain why the experience supplies the specialized knowledge the degree field does not. Consider narrowing</w:t>
      </w:r>
      <w:r>
        <w:t xml:space="preserve"> </w:t>
      </w:r>
      <w:r>
        <w:t xml:space="preserve">“</w:t>
      </w:r>
      <w:r>
        <w:t xml:space="preserve">any engineering discipline</w:t>
      </w:r>
      <w:r>
        <w:t xml:space="preserve">”</w:t>
      </w:r>
      <w:r>
        <w:t xml:space="preserve"> </w:t>
      </w:r>
      <w:r>
        <w:t xml:space="preserve">to engineering disciplines with a meaningful quantitative/computational component, and support the specialty-occupation prong with objective evidence (see Issue B-7).</w:t>
      </w:r>
    </w:p>
    <w:bookmarkEnd w:id="33"/>
    <w:bookmarkStart w:id="34" w:name="X40fba822841f78d1b74ce66026f26caf11b304f"/>
    <w:p>
      <w:pPr>
        <w:pStyle w:val="Heading4"/>
      </w:pPr>
      <w:r>
        <w:t xml:space="preserve">B-4. Employer Telephone Number Inconsistencies Across Documents (Posting Notice Lists the Beneficiary’s Personal Number)</w:t>
      </w:r>
    </w:p>
    <w:p>
      <w:pPr>
        <w:pStyle w:val="FirstParagraph"/>
      </w:pPr>
      <w:r>
        <w:rPr>
          <w:b/>
          <w:bCs/>
        </w:rPr>
        <w:t xml:space="preserve">Where it appears.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Employer telephone listed</w:t>
            </w:r>
          </w:p>
        </w:tc>
      </w:tr>
      <w:tr>
        <w:tc>
          <w:tcPr/>
          <w:p>
            <w:pPr>
              <w:pStyle w:val="Compact"/>
              <w:jc w:val="left"/>
            </w:pPr>
            <w:r>
              <w:t xml:space="preserve">LCA §§ C.4 / D.4</w:t>
            </w:r>
          </w:p>
        </w:tc>
        <w:tc>
          <w:tcPr/>
          <w:p>
            <w:pPr>
              <w:pStyle w:val="Compact"/>
              <w:jc w:val="left"/>
            </w:pPr>
            <w:r>
              <w:t xml:space="preserve">(512) 555-0142</w:t>
            </w:r>
          </w:p>
        </w:tc>
      </w:tr>
      <w:tr>
        <w:tc>
          <w:tcPr/>
          <w:p>
            <w:pPr>
              <w:pStyle w:val="Compact"/>
              <w:jc w:val="left"/>
            </w:pPr>
            <w:r>
              <w:t xml:space="preserve">PWD § 2</w:t>
            </w:r>
          </w:p>
        </w:tc>
        <w:tc>
          <w:tcPr/>
          <w:p>
            <w:pPr>
              <w:pStyle w:val="Compact"/>
              <w:jc w:val="left"/>
            </w:pPr>
            <w:r>
              <w:t xml:space="preserve">(512) 555-0187</w:t>
            </w:r>
          </w:p>
        </w:tc>
      </w:tr>
      <w:tr>
        <w:tc>
          <w:tcPr/>
          <w:p>
            <w:pPr>
              <w:pStyle w:val="Compact"/>
              <w:jc w:val="left"/>
            </w:pPr>
            <w:r>
              <w:t xml:space="preserve">Support Letter (header / contact)</w:t>
            </w:r>
          </w:p>
        </w:tc>
        <w:tc>
          <w:tcPr/>
          <w:p>
            <w:pPr>
              <w:pStyle w:val="Compact"/>
              <w:jc w:val="left"/>
            </w:pPr>
            <w:r>
              <w:t xml:space="preserve">(512) 555-0194</w:t>
            </w:r>
          </w:p>
        </w:tc>
      </w:tr>
      <w:tr>
        <w:tc>
          <w:tcPr/>
          <w:p>
            <w:pPr>
              <w:pStyle w:val="Compact"/>
              <w:jc w:val="left"/>
            </w:pPr>
            <w:r>
              <w:t xml:space="preserve">Posting Notice (Employer Contact)</w:t>
            </w:r>
          </w:p>
        </w:tc>
        <w:tc>
          <w:tcPr/>
          <w:p>
            <w:pPr>
              <w:pStyle w:val="Compact"/>
              <w:jc w:val="left"/>
            </w:pPr>
            <w:r>
              <w:t xml:space="preserve">(512) 555-0174</w:t>
            </w:r>
          </w:p>
        </w:tc>
      </w:tr>
      <w:tr>
        <w:tc>
          <w:tcPr/>
          <w:p>
            <w:pPr>
              <w:pStyle w:val="Compact"/>
              <w:jc w:val="left"/>
            </w:pPr>
            <w:r>
              <w:t xml:space="preserve">Résumé (Beneficiary’s personal line)</w:t>
            </w:r>
          </w:p>
        </w:tc>
        <w:tc>
          <w:tcPr/>
          <w:p>
            <w:pPr>
              <w:pStyle w:val="Compact"/>
              <w:jc w:val="left"/>
            </w:pPr>
            <w:r>
              <w:t xml:space="preserve">(512) 555-0174</w:t>
            </w:r>
          </w:p>
        </w:tc>
      </w:tr>
    </w:tbl>
    <w:p>
      <w:pPr>
        <w:pStyle w:val="BodyText"/>
      </w:pPr>
      <w:r>
        <w:rPr>
          <w:b/>
          <w:bCs/>
        </w:rPr>
        <w:t xml:space="preserve">The issue.</w:t>
      </w:r>
      <w:r>
        <w:t xml:space="preserve"> </w:t>
      </w:r>
      <w:r>
        <w:t xml:space="preserve">Four different telephone numbers are used for the Petitioner across the package. Most seriously, the</w:t>
      </w:r>
      <w:r>
        <w:t xml:space="preserve"> </w:t>
      </w:r>
      <w:r>
        <w:rPr>
          <w:b/>
          <w:bCs/>
        </w:rPr>
        <w:t xml:space="preserve">Posting Notice lists (512) 555-0174 as the employer contact telephone — which is the Beneficiary’s personal telephone number</w:t>
      </w:r>
      <w:r>
        <w:t xml:space="preserve"> </w:t>
      </w:r>
      <w:r>
        <w:t xml:space="preserve">as shown on the Résumé. Employees and DOL inspectors reading the posted notice would be directed to the Beneficiary’s personal line rather than the employer’s.</w:t>
      </w:r>
    </w:p>
    <w:p>
      <w:pPr>
        <w:pStyle w:val="BodyText"/>
      </w:pPr>
      <w:r>
        <w:rPr>
          <w:b/>
          <w:bCs/>
        </w:rPr>
        <w:t xml:space="preserve">Why it matters.</w:t>
      </w:r>
      <w:r>
        <w:t xml:space="preserve"> </w:t>
      </w:r>
      <w:r>
        <w:t xml:space="preserve">The Posting Notice error is a substantive defect in a public-facing compliance document. The broader telephone inconsistency, while less serious, signals careless data entry and undermines the overall reliability of the package.</w:t>
      </w:r>
    </w:p>
    <w:p>
      <w:pPr>
        <w:pStyle w:val="BodyText"/>
      </w:pPr>
      <w:r>
        <w:rPr>
          <w:b/>
          <w:bCs/>
        </w:rPr>
        <w:t xml:space="preserve">Recommended action.</w:t>
      </w:r>
      <w:r>
        <w:t xml:space="preserve"> </w:t>
      </w:r>
      <w:r>
        <w:t xml:space="preserve">Standardize the Petitioner’s main telephone number across all documents. Correct the Posting Notice to show the employer’s actual contact number (and re-post per Issue A-3). Verify the LCA and PWD numbers and amend if a wrong number was submitted to DOL.</w:t>
      </w:r>
    </w:p>
    <w:bookmarkEnd w:id="34"/>
    <w:bookmarkStart w:id="35" w:name="X902014b71acefe1327fc9f2cf24aa8101e2d25b"/>
    <w:p>
      <w:pPr>
        <w:pStyle w:val="Heading4"/>
      </w:pPr>
      <w:r>
        <w:t xml:space="preserve">B-5. Credential Evaluator’s Own Qualification Is Questionable</w:t>
      </w:r>
    </w:p>
    <w:p>
      <w:pPr>
        <w:pStyle w:val="FirstParagraph"/>
      </w:pPr>
      <w:r>
        <w:rPr>
          <w:b/>
          <w:bCs/>
        </w:rPr>
        <w:t xml:space="preserve">Where it appears.</w:t>
      </w:r>
      <w:r>
        <w:t xml:space="preserve"> </w:t>
      </w:r>
      <w:r>
        <w:t xml:space="preserve">Credential Evaluation signature block:</w:t>
      </w:r>
      <w:r>
        <w:t xml:space="preserve"> </w:t>
      </w:r>
      <w:r>
        <w:t xml:space="preserve">“</w:t>
      </w:r>
      <w:r>
        <w:t xml:space="preserve">Dr. Linda Farnsworth, Ph.D. …</w:t>
      </w:r>
      <w:r>
        <w:t xml:space="preserve"> </w:t>
      </w:r>
      <w:r>
        <w:rPr>
          <w:b/>
          <w:bCs/>
        </w:rPr>
        <w:t xml:space="preserve">Ph.D., Education — Halford University</w:t>
      </w:r>
      <w:r>
        <w:t xml:space="preserve">.</w:t>
      </w:r>
      <w:r>
        <w:t xml:space="preserve">”</w:t>
      </w:r>
    </w:p>
    <w:p>
      <w:pPr>
        <w:pStyle w:val="BodyText"/>
      </w:pPr>
      <w:r>
        <w:rPr>
          <w:b/>
          <w:bCs/>
        </w:rPr>
        <w:t xml:space="preserve">The issue.</w:t>
      </w:r>
      <w:r>
        <w:t xml:space="preserve"> </w:t>
      </w:r>
      <w:r>
        <w:t xml:space="preserve">“</w:t>
      </w:r>
      <w:r>
        <w:t xml:space="preserve">Halford University</w:t>
      </w:r>
      <w:r>
        <w:t xml:space="preserve">”</w:t>
      </w:r>
      <w:r>
        <w:t xml:space="preserve"> </w:t>
      </w:r>
      <w:r>
        <w:t xml:space="preserve">is not a recognized, regionally accredited U.S. institution (and is not identifiable as an established, accredited university). The evaluator’s own doctoral credential therefore appears to derive from an unrecognized/unaccredited institution. While Westbridge Credential Services claims NACES and AICE membership (which generally lends weight to the agency), USCIS may scrutinize the individual evaluator’s qualifications, and an evaluator whose own credential is questionable is a weak foundation for the central education-equivalency opinion.</w:t>
      </w:r>
    </w:p>
    <w:p>
      <w:pPr>
        <w:pStyle w:val="BodyText"/>
      </w:pPr>
      <w:r>
        <w:rPr>
          <w:b/>
          <w:bCs/>
        </w:rPr>
        <w:t xml:space="preserve">Why it matters.</w:t>
      </w:r>
      <w:r>
        <w:t xml:space="preserve"> </w:t>
      </w:r>
      <w:r>
        <w:t xml:space="preserve">The Credential Evaluation is the linchpin of the Beneficiary’s education qualification. If the evaluator’s credibility is challenged, the equivalency opinion is weakened — compounding the field-of-study problem in Issue A-2.</w:t>
      </w:r>
    </w:p>
    <w:p>
      <w:pPr>
        <w:pStyle w:val="BodyText"/>
      </w:pPr>
      <w:r>
        <w:rPr>
          <w:b/>
          <w:bCs/>
        </w:rPr>
        <w:t xml:space="preserve">Recommended action.</w:t>
      </w:r>
      <w:r>
        <w:t xml:space="preserve"> </w:t>
      </w:r>
      <w:r>
        <w:t xml:space="preserve">Verify</w:t>
      </w:r>
      <w:r>
        <w:t xml:space="preserve"> </w:t>
      </w:r>
      <w:r>
        <w:t xml:space="preserve">“</w:t>
      </w:r>
      <w:r>
        <w:t xml:space="preserve">Halford University</w:t>
      </w:r>
      <w:r>
        <w:t xml:space="preserve">”</w:t>
      </w:r>
      <w:r>
        <w:t xml:space="preserve"> </w:t>
      </w:r>
      <w:r>
        <w:t xml:space="preserve">and the evaluator’s credentials. If they cannot be substantiated, obtain a fresh evaluation from a NACES-member agency using an evaluator with verifiable, accredited credentials — ideally one who will also address field-of-study relevance (see Issue A-2).</w:t>
      </w:r>
    </w:p>
    <w:bookmarkEnd w:id="35"/>
    <w:bookmarkStart w:id="36" w:name="X084dbb985d5a0c8683b49757a6e499929be1a93"/>
    <w:p>
      <w:pPr>
        <w:pStyle w:val="Heading4"/>
      </w:pPr>
      <w:r>
        <w:t xml:space="preserve">B-6. Current OPT Role Differs from the Petitioned Role; F-1/OPT Status Documentation Is Absent</w:t>
      </w:r>
    </w:p>
    <w:p>
      <w:pPr>
        <w:pStyle w:val="FirstParagraph"/>
      </w:pPr>
      <w:r>
        <w:rPr>
          <w:b/>
          <w:bCs/>
        </w:rPr>
        <w:t xml:space="preserve">Where it appears.</w:t>
      </w:r>
      <w:r>
        <w:t xml:space="preserve"> </w:t>
      </w:r>
      <w:r>
        <w:t xml:space="preserve">Résumé (current role at Brightfield:</w:t>
      </w:r>
      <w:r>
        <w:t xml:space="preserve"> </w:t>
      </w:r>
      <w:r>
        <w:t xml:space="preserve">“</w:t>
      </w:r>
      <w:r>
        <w:rPr>
          <w:b/>
          <w:bCs/>
        </w:rPr>
        <w:t xml:space="preserve">Data Scientist</w:t>
      </w:r>
      <w:r>
        <w:t xml:space="preserve">,</w:t>
      </w:r>
      <w:r>
        <w:t xml:space="preserve">”</w:t>
      </w:r>
      <w:r>
        <w:t xml:space="preserve"> </w:t>
      </w:r>
      <w:r>
        <w:t xml:space="preserve">Sept. 2023 – present); Support Letter § 4 (Beneficiary</w:t>
      </w:r>
      <w:r>
        <w:t xml:space="preserve"> </w:t>
      </w:r>
      <w:r>
        <w:t xml:space="preserve">“</w:t>
      </w:r>
      <w:r>
        <w:t xml:space="preserve">currently maintaining valid F-1 Optional Practical Training (OPT) status and will transition to H-1B … effective October 1, 2025</w:t>
      </w:r>
      <w:r>
        <w:t xml:space="preserve">”</w:t>
      </w:r>
      <w:r>
        <w:t xml:space="preserve">) and § 2 (petitioned position:</w:t>
      </w:r>
      <w:r>
        <w:t xml:space="preserve"> </w:t>
      </w:r>
      <w:r>
        <w:t xml:space="preserve">“</w:t>
      </w:r>
      <w:r>
        <w:t xml:space="preserve">Senior Machine Learning Engineer</w:t>
      </w:r>
      <w:r>
        <w:t xml:space="preserve">”</w:t>
      </w:r>
      <w:r>
        <w:t xml:space="preserve">). No Form I-20, Employment Authorization Document (EAD), I-94, passport, or pay records are included.</w:t>
      </w:r>
    </w:p>
    <w:p>
      <w:pPr>
        <w:pStyle w:val="BodyText"/>
      </w:pPr>
      <w:r>
        <w:rPr>
          <w:b/>
          <w:bCs/>
        </w:rPr>
        <w:t xml:space="preserve">The issue.</w:t>
      </w:r>
      <w:r>
        <w:t xml:space="preserve"> </w:t>
      </w:r>
      <w:r>
        <w:t xml:space="preserve">The Beneficiary is presently employed by the Petitioner on F-1 OPT as a</w:t>
      </w:r>
      <w:r>
        <w:t xml:space="preserve"> </w:t>
      </w:r>
      <w:r>
        <w:rPr>
          <w:b/>
          <w:bCs/>
        </w:rPr>
        <w:t xml:space="preserve">Data Scientist</w:t>
      </w:r>
      <w:r>
        <w:t xml:space="preserve">, while the petition is for a different, more senior position (</w:t>
      </w:r>
      <w:r>
        <w:rPr>
          <w:b/>
          <w:bCs/>
        </w:rPr>
        <w:t xml:space="preserve">Senior Machine Learning Engineer</w:t>
      </w:r>
      <w:r>
        <w:t xml:space="preserve">). The package does not (a) state the Beneficiary’s current title or explain the relationship between the OPT role and the petitioned role (e.g., a promotion), (b) state when the Beneficiary’s OPT/STEM-OPT employment authorization expires, or (c) address any</w:t>
      </w:r>
      <w:r>
        <w:t xml:space="preserve"> </w:t>
      </w:r>
      <w:r>
        <w:rPr>
          <w:b/>
          <w:bCs/>
        </w:rPr>
        <w:t xml:space="preserve">cap-gap</w:t>
      </w:r>
      <w:r>
        <w:t xml:space="preserve"> </w:t>
      </w:r>
      <w:r>
        <w:t xml:space="preserve">exposure if OPT expires before the Oct. 1, 2025 H-1B start date. None of the standard F-1/OPT evidence is included.</w:t>
      </w:r>
    </w:p>
    <w:p>
      <w:pPr>
        <w:pStyle w:val="BodyText"/>
      </w:pPr>
      <w:r>
        <w:rPr>
          <w:b/>
          <w:bCs/>
        </w:rPr>
        <w:t xml:space="preserve">Why it matters.</w:t>
      </w:r>
      <w:r>
        <w:t xml:space="preserve"> </w:t>
      </w:r>
      <w:r>
        <w:t xml:space="preserve">For a change-of-status petition, USCIS must be satisfied that the Beneficiary is maintaining valid nonimmigrant status through the requested start date. An unexplained role change and missing status evidence are common RFE triggers, and a cap-gap that is not addressed can create a period of unauthorized presence/unemployment.</w:t>
      </w:r>
    </w:p>
    <w:p>
      <w:pPr>
        <w:pStyle w:val="BodyText"/>
      </w:pPr>
      <w:r>
        <w:rPr>
          <w:b/>
          <w:bCs/>
        </w:rPr>
        <w:t xml:space="preserve">Recommended action.</w:t>
      </w:r>
      <w:r>
        <w:t xml:space="preserve"> </w:t>
      </w:r>
      <w:r>
        <w:t xml:space="preserve">Include the Beneficiary’s current I-20(s), EAD card(s), most recent pay stubs, I-94, and passport copy. State the Beneficiary’s current title and explain the Data Scientist → Senior ML Engineer progression. Confirm OPT/STEM-OPT expiration and address cap-gap (and any STEM-OPT extension eligibility, given the ECE degree is generally STEM-designated).</w:t>
      </w:r>
    </w:p>
    <w:bookmarkEnd w:id="36"/>
    <w:bookmarkStart w:id="37" w:name="X771d5e7145db071e605520c5b60889cf577f547"/>
    <w:p>
      <w:pPr>
        <w:pStyle w:val="Heading4"/>
      </w:pPr>
      <w:r>
        <w:t xml:space="preserve">B-7. Specialty-Occupation</w:t>
      </w:r>
      <w:r>
        <w:t xml:space="preserve"> </w:t>
      </w:r>
      <w:r>
        <w:t xml:space="preserve">“</w:t>
      </w:r>
      <w:r>
        <w:t xml:space="preserve">Industry Standard</w:t>
      </w:r>
      <w:r>
        <w:t xml:space="preserve">”</w:t>
      </w:r>
      <w:r>
        <w:t xml:space="preserve"> </w:t>
      </w:r>
      <w:r>
        <w:t xml:space="preserve">Argument Is Conclusory</w:t>
      </w:r>
    </w:p>
    <w:p>
      <w:pPr>
        <w:pStyle w:val="FirstParagraph"/>
      </w:pPr>
      <w:r>
        <w:rPr>
          <w:b/>
          <w:bCs/>
        </w:rPr>
        <w:t xml:space="preserve">Where it appears.</w:t>
      </w:r>
      <w:r>
        <w:t xml:space="preserve"> </w:t>
      </w:r>
      <w:r>
        <w:t xml:space="preserve">Support Letter § 3 (</w:t>
      </w:r>
      <w:r>
        <w:t xml:space="preserve">“</w:t>
      </w:r>
      <w:r>
        <w:t xml:space="preserve">It is the industry standard … that positions of this nature require at minimum a bachelor’s degree in a specific technical specialty … Similar positions at peer companies … uniformly require equivalent educational backgrounds</w:t>
      </w:r>
      <w:r>
        <w:t xml:space="preserve">”</w:t>
      </w:r>
      <w:r>
        <w:t xml:space="preserve">).</w:t>
      </w:r>
    </w:p>
    <w:p>
      <w:pPr>
        <w:pStyle w:val="BodyText"/>
      </w:pPr>
      <w:r>
        <w:rPr>
          <w:b/>
          <w:bCs/>
        </w:rPr>
        <w:t xml:space="preserve">The issue.</w:t>
      </w:r>
      <w:r>
        <w:t xml:space="preserve"> </w:t>
      </w:r>
      <w:r>
        <w:t xml:space="preserve">The industry-standard assertion is stated conclusorily — it identifies</w:t>
      </w:r>
      <w:r>
        <w:t xml:space="preserve"> </w:t>
      </w:r>
      <w:r>
        <w:rPr>
          <w:b/>
          <w:bCs/>
        </w:rPr>
        <w:t xml:space="preserve">no specific peer companies, no sample job postings, and no independent source</w:t>
      </w:r>
      <w:r>
        <w:t xml:space="preserve"> </w:t>
      </w:r>
      <w:r>
        <w:t xml:space="preserve">(e.g., the Department of Labor’s</w:t>
      </w:r>
      <w:r>
        <w:t xml:space="preserve"> </w:t>
      </w:r>
      <w:r>
        <w:rPr>
          <w:i/>
          <w:iCs/>
        </w:rPr>
        <w:t xml:space="preserve">Occupational Outlook Handbook</w:t>
      </w:r>
      <w:r>
        <w:t xml:space="preserve"> </w:t>
      </w:r>
      <w:r>
        <w:t xml:space="preserve">/ O*NET for SOC 15-2051). USCIS frequently RFEs specialty-occupation claims that rest on bare assertions.</w:t>
      </w:r>
    </w:p>
    <w:p>
      <w:pPr>
        <w:pStyle w:val="BodyText"/>
      </w:pPr>
      <w:r>
        <w:rPr>
          <w:b/>
          <w:bCs/>
        </w:rPr>
        <w:t xml:space="preserve">Why it matters.</w:t>
      </w:r>
      <w:r>
        <w:t xml:space="preserve"> </w:t>
      </w:r>
      <w:r>
        <w:t xml:space="preserve">The specialty-occupation prong is the most frequently litigated H-1B issue. Conclusory support is a known weakness.</w:t>
      </w:r>
    </w:p>
    <w:p>
      <w:pPr>
        <w:pStyle w:val="BodyText"/>
      </w:pPr>
      <w:r>
        <w:rPr>
          <w:b/>
          <w:bCs/>
        </w:rPr>
        <w:t xml:space="preserve">Recommended action.</w:t>
      </w:r>
      <w:r>
        <w:t xml:space="preserve"> </w:t>
      </w:r>
      <w:r>
        <w:t xml:space="preserve">Strengthen § 3 with objective evidence: 2–4 sample job postings from comparable employers requiring a bachelor’s in CS/ML/AI or a related field for similar senior ML roles; O*NET/OOH excerpts for 15-2051 documenting the typical entry-level education requirement; and a brief explanation of why the specific duties (model design, cloud ML architecture, NLP/LLM fine-tuning, team leadership) require theoretical and practical knowledge attainable only through a specialized degree program.</w:t>
      </w:r>
    </w:p>
    <w:bookmarkEnd w:id="37"/>
    <w:bookmarkEnd w:id="38"/>
    <w:bookmarkStart w:id="48" w:name="c.-minor-issues-and-documentation-gaps"/>
    <w:p>
      <w:pPr>
        <w:pStyle w:val="Heading3"/>
      </w:pPr>
      <w:r>
        <w:t xml:space="preserve">C. Minor Issues and Documentation Gaps</w:t>
      </w:r>
    </w:p>
    <w:bookmarkStart w:id="39" w:name="X14a808de5c1176512d511a9a3fdefd813cad5d7"/>
    <w:p>
      <w:pPr>
        <w:pStyle w:val="Heading4"/>
      </w:pPr>
      <w:r>
        <w:t xml:space="preserve">C-1. Years-of-Experience Inconsistency (Résumé</w:t>
      </w:r>
      <w:r>
        <w:t xml:space="preserve"> </w:t>
      </w:r>
      <w:r>
        <w:t xml:space="preserve">“</w:t>
      </w:r>
      <w:r>
        <w:t xml:space="preserve">7+</w:t>
      </w:r>
      <w:r>
        <w:t xml:space="preserve">”</w:t>
      </w:r>
      <w:r>
        <w:t xml:space="preserve"> </w:t>
      </w:r>
      <w:r>
        <w:t xml:space="preserve">vs. Support Letter</w:t>
      </w:r>
      <w:r>
        <w:t xml:space="preserve"> </w:t>
      </w:r>
      <w:r>
        <w:t xml:space="preserve">“</w:t>
      </w:r>
      <w:r>
        <w:t xml:space="preserve">over 8</w:t>
      </w:r>
      <w:r>
        <w:t xml:space="preserve">”</w:t>
      </w:r>
      <w:r>
        <w:t xml:space="preserve">)</w:t>
      </w:r>
    </w:p>
    <w:p>
      <w:pPr>
        <w:pStyle w:val="FirstParagraph"/>
      </w:pPr>
      <w:r>
        <w:t xml:space="preserve">The Résumé’s professional summary states</w:t>
      </w:r>
      <w:r>
        <w:t xml:space="preserve"> </w:t>
      </w:r>
      <w:r>
        <w:t xml:space="preserve">“</w:t>
      </w:r>
      <w:r>
        <w:t xml:space="preserve">7+ years of experience,</w:t>
      </w:r>
      <w:r>
        <w:t xml:space="preserve">”</w:t>
      </w:r>
      <w:r>
        <w:t xml:space="preserve"> </w:t>
      </w:r>
      <w:r>
        <w:t xml:space="preserve">while the Support Letter § 4 states</w:t>
      </w:r>
      <w:r>
        <w:t xml:space="preserve"> </w:t>
      </w:r>
      <w:r>
        <w:t xml:space="preserve">“</w:t>
      </w:r>
      <w:r>
        <w:t xml:space="preserve">over 8 years of progressive experience.</w:t>
      </w:r>
      <w:r>
        <w:t xml:space="preserve">”</w:t>
      </w:r>
      <w:r>
        <w:t xml:space="preserve"> </w:t>
      </w:r>
      <w:r>
        <w:t xml:space="preserve">The figures are not necessarily irreconcilable (one may count only ML experience from April 2017; the other may count all software + ML experience), but the inconsistency, combined with the date errors in Issue A-4, invites confusion. Reconcile to a single, clearly defined figure with the corrected dates.</w:t>
      </w:r>
    </w:p>
    <w:bookmarkEnd w:id="39"/>
    <w:bookmarkStart w:id="40" w:name="X176e2fef3df39c4ec0478e1a006f9aab9448853"/>
    <w:p>
      <w:pPr>
        <w:pStyle w:val="Heading4"/>
      </w:pPr>
      <w:r>
        <w:t xml:space="preserve">C-2. Posting-Location Inconsistency (One Location vs. </w:t>
      </w:r>
      <w:r>
        <w:t xml:space="preserve">“</w:t>
      </w:r>
      <w:r>
        <w:t xml:space="preserve">Two Conspicuous Locations</w:t>
      </w:r>
      <w:r>
        <w:t xml:space="preserve">”</w:t>
      </w:r>
      <w:r>
        <w:t xml:space="preserve">)</w:t>
      </w:r>
    </w:p>
    <w:p>
      <w:pPr>
        <w:pStyle w:val="FirstParagraph"/>
      </w:pPr>
      <w:r>
        <w:t xml:space="preserve">LCA § J.3 describes a single posting location (</w:t>
      </w:r>
      <w:r>
        <w:t xml:space="preserve">“</w:t>
      </w:r>
      <w:r>
        <w:t xml:space="preserve">Employee common area / break room, first floor</w:t>
      </w:r>
      <w:r>
        <w:t xml:space="preserve">”</w:t>
      </w:r>
      <w:r>
        <w:t xml:space="preserve">), while the Posting Notice states the notice</w:t>
      </w:r>
      <w:r>
        <w:t xml:space="preserve"> </w:t>
      </w:r>
      <w:r>
        <w:t xml:space="preserve">“</w:t>
      </w:r>
      <w:r>
        <w:t xml:space="preserve">is being posted in</w:t>
      </w:r>
      <w:r>
        <w:t xml:space="preserve"> </w:t>
      </w:r>
      <w:r>
        <w:rPr>
          <w:b/>
          <w:bCs/>
        </w:rPr>
        <w:t xml:space="preserve">two conspicuous locations</w:t>
      </w:r>
      <w:r>
        <w:t xml:space="preserve">.</w:t>
      </w:r>
      <w:r>
        <w:t xml:space="preserve">”</w:t>
      </w:r>
      <w:r>
        <w:t xml:space="preserve"> </w:t>
      </w:r>
      <w:r>
        <w:t xml:space="preserve">The second location is not identified anywhere in the package. The regulation requires</w:t>
      </w:r>
      <w:r>
        <w:t xml:space="preserve"> </w:t>
      </w:r>
      <w:r>
        <w:rPr>
          <w:b/>
          <w:bCs/>
        </w:rPr>
        <w:t xml:space="preserve">two</w:t>
      </w:r>
      <w:r>
        <w:t xml:space="preserve"> </w:t>
      </w:r>
      <w:r>
        <w:t xml:space="preserve">conspicuous locations. Identify and document both locations (and cure the posting-period deficiency per Issue A-3).</w:t>
      </w:r>
    </w:p>
    <w:bookmarkEnd w:id="40"/>
    <w:bookmarkStart w:id="41" w:name="Xbc344be6d3b239aa5f32899d200efd2fca1b2fb"/>
    <w:p>
      <w:pPr>
        <w:pStyle w:val="Heading4"/>
      </w:pPr>
      <w:r>
        <w:t xml:space="preserve">C-3. Employment Gap Obscured by the Résumé</w:t>
      </w:r>
    </w:p>
    <w:p>
      <w:pPr>
        <w:pStyle w:val="FirstParagraph"/>
      </w:pPr>
      <w:r>
        <w:t xml:space="preserve">Using the corrected dates, there is a gap of approximately</w:t>
      </w:r>
      <w:r>
        <w:t xml:space="preserve"> </w:t>
      </w:r>
      <w:r>
        <w:rPr>
          <w:b/>
          <w:bCs/>
        </w:rPr>
        <w:t xml:space="preserve">3.7 months</w:t>
      </w:r>
      <w:r>
        <w:t xml:space="preserve"> </w:t>
      </w:r>
      <w:r>
        <w:t xml:space="preserve">between the end of Kiran employment (Dec. 9, 2016) and the start of NovaStar employment (April 2017). The Résumé’s erroneous Kiran end date of</w:t>
      </w:r>
      <w:r>
        <w:t xml:space="preserve"> </w:t>
      </w:r>
      <w:r>
        <w:t xml:space="preserve">“</w:t>
      </w:r>
      <w:r>
        <w:t xml:space="preserve">March 2017</w:t>
      </w:r>
      <w:r>
        <w:t xml:space="preserve">”</w:t>
      </w:r>
      <w:r>
        <w:t xml:space="preserve"> </w:t>
      </w:r>
      <w:r>
        <w:t xml:space="preserve">papers over this gap. The gap itself is not disqualifying, but the Résumé should reflect actual dates and the gap should be explainable if raised.</w:t>
      </w:r>
    </w:p>
    <w:bookmarkEnd w:id="41"/>
    <w:bookmarkStart w:id="42" w:name="X1e2ebae887da3a7ef21cabd713d8d4b51e03747"/>
    <w:p>
      <w:pPr>
        <w:pStyle w:val="Heading4"/>
      </w:pPr>
      <w:r>
        <w:t xml:space="preserve">C-4. Ability-to-Pay Documentation Is Thin</w:t>
      </w:r>
    </w:p>
    <w:p>
      <w:pPr>
        <w:pStyle w:val="FirstParagraph"/>
      </w:pPr>
      <w:r>
        <w:t xml:space="preserve">The Support Letter asserts financial capacity based on</w:t>
      </w:r>
      <w:r>
        <w:t xml:space="preserve"> </w:t>
      </w:r>
      <w:r>
        <w:rPr>
          <w:b/>
          <w:bCs/>
        </w:rPr>
        <w:t xml:space="preserve">revenue</w:t>
      </w:r>
      <w:r>
        <w:t xml:space="preserve"> </w:t>
      </w:r>
      <w:r>
        <w:t xml:space="preserve">($41.2M) and headcount (187) only. USCIS evaluates ability to pay under 8 C.F.R. § 214.2(h)(4)(iii)(4) primarily by</w:t>
      </w:r>
      <w:r>
        <w:t xml:space="preserve"> </w:t>
      </w:r>
      <w:r>
        <w:rPr>
          <w:b/>
          <w:bCs/>
        </w:rPr>
        <w:t xml:space="preserve">net income</w:t>
      </w:r>
      <w:r>
        <w:t xml:space="preserve">,</w:t>
      </w:r>
      <w:r>
        <w:t xml:space="preserve"> </w:t>
      </w:r>
      <w:r>
        <w:rPr>
          <w:b/>
          <w:bCs/>
        </w:rPr>
        <w:t xml:space="preserve">net current assets</w:t>
      </w:r>
      <w:r>
        <w:t xml:space="preserve">, or</w:t>
      </w:r>
      <w:r>
        <w:t xml:space="preserve"> </w:t>
      </w:r>
      <w:r>
        <w:rPr>
          <w:b/>
          <w:bCs/>
        </w:rPr>
        <w:t xml:space="preserve">continued employment of the Beneficiary</w:t>
      </w:r>
      <w:r>
        <w:t xml:space="preserve">. Given the Petitioner’s size, ability to pay for a single $128,000 worker is a low risk, but the package should include the most recent federal tax return and/or financial statements to close the issue cleanly.</w:t>
      </w:r>
    </w:p>
    <w:bookmarkEnd w:id="42"/>
    <w:bookmarkStart w:id="43" w:name="Xa2db0a9f838415d3840253d1905e9aaa8dac0a6"/>
    <w:p>
      <w:pPr>
        <w:pStyle w:val="Heading4"/>
      </w:pPr>
      <w:r>
        <w:t xml:space="preserve">C-5. Standard Petition Components Not Present in the Package</w:t>
      </w:r>
    </w:p>
    <w:p>
      <w:pPr>
        <w:pStyle w:val="FirstParagraph"/>
      </w:pPr>
      <w:r>
        <w:t xml:space="preserve">The following items, expected in a complete H-1B filing, are not in the reviewed package and should be confirmed/added: Form I-129 (and H Classification Supplement / Data Collection Supplement); the Beneficiary’s passport, visa, and I-94; F-1/OPT evidence (Issue B-6); recent pay stubs; the actual degree certificate (referenced by the Credential Evaluation but not included as a standalone exhibit); and Public Access File contents (the certified LCA, PWD support documentation, rate-of-pay documentation, and the posting notice/affidavit).</w:t>
      </w:r>
    </w:p>
    <w:bookmarkEnd w:id="43"/>
    <w:bookmarkStart w:id="44" w:name="X6ebb2f492894f68e0a7fc7f5a84466a4f856216"/>
    <w:p>
      <w:pPr>
        <w:pStyle w:val="Heading4"/>
      </w:pPr>
      <w:r>
        <w:t xml:space="preserve">C-6. Organizational-Chart Reporting Structure Is Unusual</w:t>
      </w:r>
    </w:p>
    <w:p>
      <w:pPr>
        <w:pStyle w:val="FirstParagraph"/>
      </w:pPr>
      <w:r>
        <w:t xml:space="preserve">The Org Chart shows the</w:t>
      </w:r>
      <w:r>
        <w:t xml:space="preserve"> </w:t>
      </w:r>
      <w:r>
        <w:t xml:space="preserve">“</w:t>
      </w:r>
      <w:r>
        <w:t xml:space="preserve">Senior</w:t>
      </w:r>
      <w:r>
        <w:t xml:space="preserve">”</w:t>
      </w:r>
      <w:r>
        <w:t xml:space="preserve"> </w:t>
      </w:r>
      <w:r>
        <w:t xml:space="preserve">Machine Learning Engineer reporting</w:t>
      </w:r>
      <w:r>
        <w:t xml:space="preserve"> </w:t>
      </w:r>
      <w:r>
        <w:rPr>
          <w:b/>
          <w:bCs/>
        </w:rPr>
        <w:t xml:space="preserve">directly to the CTO</w:t>
      </w:r>
      <w:r>
        <w:t xml:space="preserve"> </w:t>
      </w:r>
      <w:r>
        <w:t xml:space="preserve">because the Vice President of Data Science is</w:t>
      </w:r>
      <w:r>
        <w:t xml:space="preserve"> </w:t>
      </w:r>
      <w:r>
        <w:t xml:space="preserve">“</w:t>
      </w:r>
      <w:r>
        <w:t xml:space="preserve">To Be Hired.</w:t>
      </w:r>
      <w:r>
        <w:t xml:space="preserve">”</w:t>
      </w:r>
      <w:r>
        <w:t xml:space="preserve"> </w:t>
      </w:r>
      <w:r>
        <w:t xml:space="preserve">A senior individual contributor reporting to the CTO is plausible but atypical; once the VP is hired the reporting line changes. This is not an error, but the interim structure should be briefly explained so it does not read as an inconsistency with the</w:t>
      </w:r>
      <w:r>
        <w:t xml:space="preserve"> </w:t>
      </w:r>
      <w:r>
        <w:t xml:space="preserve">“</w:t>
      </w:r>
      <w:r>
        <w:t xml:space="preserve">senior/supervisory</w:t>
      </w:r>
      <w:r>
        <w:t xml:space="preserve">”</w:t>
      </w:r>
      <w:r>
        <w:t xml:space="preserve"> </w:t>
      </w:r>
      <w:r>
        <w:t xml:space="preserve">narrative.</w:t>
      </w:r>
    </w:p>
    <w:bookmarkEnd w:id="44"/>
    <w:bookmarkStart w:id="45" w:name="Xdf429199aaf7676bbf439a874ddb8f7378b9e86"/>
    <w:p>
      <w:pPr>
        <w:pStyle w:val="Heading4"/>
      </w:pPr>
      <w:r>
        <w:t xml:space="preserve">C-7. Beneficiary’s Certifications Are Not Leveraged</w:t>
      </w:r>
    </w:p>
    <w:p>
      <w:pPr>
        <w:pStyle w:val="FirstParagraph"/>
      </w:pPr>
      <w:r>
        <w:t xml:space="preserve">The Résumé lists relevant certifications — Deep Learning Specialization (2019), MLOps (2021), and AWS Certified Machine Learning – Specialty (2022) — none of which are mentioned in the Support Letter’s qualification analysis. These support the Beneficiary’s ML qualifications and the field-of-study nexus (Issue A-2) and should be incorporated.</w:t>
      </w:r>
    </w:p>
    <w:bookmarkEnd w:id="45"/>
    <w:bookmarkStart w:id="46" w:name="Xe759ac6443d41848b837aef8176926bd82fb62e"/>
    <w:p>
      <w:pPr>
        <w:pStyle w:val="Heading4"/>
      </w:pPr>
      <w:r>
        <w:t xml:space="preserve">C-8. Credit-Hour Characterization in the Credential Evaluation</w:t>
      </w:r>
    </w:p>
    <w:p>
      <w:pPr>
        <w:pStyle w:val="FirstParagraph"/>
      </w:pPr>
      <w:r>
        <w:t xml:space="preserve">The Credential Evaluation describes the program as</w:t>
      </w:r>
      <w:r>
        <w:t xml:space="preserve"> </w:t>
      </w:r>
      <w:r>
        <w:t xml:space="preserve">“</w:t>
      </w:r>
      <w:r>
        <w:t xml:space="preserve">approximately 160 credit hours,</w:t>
      </w:r>
      <w:r>
        <w:t xml:space="preserve">”</w:t>
      </w:r>
      <w:r>
        <w:t xml:space="preserve"> </w:t>
      </w:r>
      <w:r>
        <w:t xml:space="preserve">while the Transcripts show</w:t>
      </w:r>
      <w:r>
        <w:t xml:space="preserve"> </w:t>
      </w:r>
      <w:r>
        <w:rPr>
          <w:b/>
          <w:bCs/>
        </w:rPr>
        <w:t xml:space="preserve">184 total credits</w:t>
      </w:r>
      <w:r>
        <w:t xml:space="preserve"> </w:t>
      </w:r>
      <w:r>
        <w:t xml:space="preserve">(including laboratory credits) and</w:t>
      </w:r>
      <w:r>
        <w:t xml:space="preserve"> </w:t>
      </w:r>
      <w:r>
        <w:t xml:space="preserve">“</w:t>
      </w:r>
      <w:r>
        <w:t xml:space="preserve">approximately 160 theory credit hours.</w:t>
      </w:r>
      <w:r>
        <w:t xml:space="preserve">”</w:t>
      </w:r>
      <w:r>
        <w:t xml:space="preserve"> </w:t>
      </w:r>
      <w:r>
        <w:t xml:space="preserve">The evaluation’s figure is consistent only if read as</w:t>
      </w:r>
      <w:r>
        <w:t xml:space="preserve"> </w:t>
      </w:r>
      <w:r>
        <w:rPr>
          <w:i/>
          <w:iCs/>
        </w:rPr>
        <w:t xml:space="preserve">theory</w:t>
      </w:r>
      <w:r>
        <w:t xml:space="preserve"> </w:t>
      </w:r>
      <w:r>
        <w:t xml:space="preserve">credits; stated as the program’s total it understates the transcript figure. Minor, but the evaluation should state the figure precisely to avoid an apparent discrepancy with the Transcripts.</w:t>
      </w:r>
    </w:p>
    <w:bookmarkEnd w:id="46"/>
    <w:bookmarkStart w:id="47" w:name="c-9.-soctitle-mapping-informational"/>
    <w:p>
      <w:pPr>
        <w:pStyle w:val="Heading4"/>
      </w:pPr>
      <w:r>
        <w:t xml:space="preserve">C-9. SOC/Title Mapping (Informational)</w:t>
      </w:r>
    </w:p>
    <w:p>
      <w:pPr>
        <w:pStyle w:val="FirstParagraph"/>
      </w:pPr>
      <w:r>
        <w:t xml:space="preserve">The position title</w:t>
      </w:r>
      <w:r>
        <w:t xml:space="preserve"> </w:t>
      </w:r>
      <w:r>
        <w:t xml:space="preserve">“</w:t>
      </w:r>
      <w:r>
        <w:t xml:space="preserve">Senior Machine Learning Engineer</w:t>
      </w:r>
      <w:r>
        <w:t xml:space="preserve">”</w:t>
      </w:r>
      <w:r>
        <w:t xml:space="preserve"> </w:t>
      </w:r>
      <w:r>
        <w:t xml:space="preserve">is mapped to SOC 15-2051 (Data Scientists). This mapping is reasonable and commonly accepted. Note only that the supervisory duties (Issues A-1, B-1) are what drive the wage-level concern, not the SOC selection itself.</w:t>
      </w:r>
    </w:p>
    <w:p>
      <w:r>
        <w:pict>
          <v:rect style="width:0;height:1.5pt" o:hralign="center" o:hrstd="t" o:hr="t"/>
        </w:pict>
      </w:r>
    </w:p>
    <w:bookmarkEnd w:id="47"/>
    <w:bookmarkEnd w:id="48"/>
    <w:bookmarkEnd w:id="49"/>
    <w:bookmarkStart w:id="50" w:name="v.-recommended-actions-prioritized"/>
    <w:p>
      <w:pPr>
        <w:pStyle w:val="Heading2"/>
      </w:pPr>
      <w:r>
        <w:t xml:space="preserve">V. Recommended Actions (Prioritized)</w:t>
      </w:r>
    </w:p>
    <w:p>
      <w:pPr>
        <w:pStyle w:val="Compact"/>
        <w:numPr>
          <w:ilvl w:val="0"/>
          <w:numId w:val="1006"/>
        </w:numPr>
      </w:pPr>
      <w:r>
        <w:rPr>
          <w:b/>
          <w:bCs/>
        </w:rPr>
        <w:t xml:space="preserve">Wage level (A-1).</w:t>
      </w:r>
      <w:r>
        <w:t xml:space="preserve"> </w:t>
      </w:r>
      <w:r>
        <w:t xml:space="preserve">Decide between upgrading to Level 3/4 (new PWD/LCA; raise offered wage to ≥ $137,946) or revising the duties to match Level 2. Do not file with the current Level 2/supervisory-duty contradiction.</w:t>
      </w:r>
    </w:p>
    <w:p>
      <w:pPr>
        <w:pStyle w:val="Compact"/>
        <w:numPr>
          <w:ilvl w:val="0"/>
          <w:numId w:val="1006"/>
        </w:numPr>
      </w:pPr>
      <w:r>
        <w:rPr>
          <w:b/>
          <w:bCs/>
        </w:rPr>
        <w:t xml:space="preserve">Field of study (A-2).</w:t>
      </w:r>
      <w:r>
        <w:t xml:space="preserve"> </w:t>
      </w:r>
      <w:r>
        <w:t xml:space="preserve">Obtain a supplemental expert opinion on the ECE→ML nexus; correct the Support Letter’s quotation of the Credential Evaluation; consider making the alternative qualification the primary theory.</w:t>
      </w:r>
    </w:p>
    <w:p>
      <w:pPr>
        <w:pStyle w:val="Compact"/>
        <w:numPr>
          <w:ilvl w:val="0"/>
          <w:numId w:val="1006"/>
        </w:numPr>
      </w:pPr>
      <w:r>
        <w:rPr>
          <w:b/>
          <w:bCs/>
        </w:rPr>
        <w:t xml:space="preserve">Posting (A-3, C-2).</w:t>
      </w:r>
      <w:r>
        <w:t xml:space="preserve"> </w:t>
      </w:r>
      <w:r>
        <w:t xml:space="preserve">Re-post for 10 consecutive business days in two documented conspicuous locations; correct the employer telephone on the notice (B-4).</w:t>
      </w:r>
    </w:p>
    <w:p>
      <w:pPr>
        <w:pStyle w:val="Compact"/>
        <w:numPr>
          <w:ilvl w:val="0"/>
          <w:numId w:val="1006"/>
        </w:numPr>
      </w:pPr>
      <w:r>
        <w:rPr>
          <w:b/>
          <w:bCs/>
        </w:rPr>
        <w:t xml:space="preserve">Dates (A-4, C-1, C-3).</w:t>
      </w:r>
      <w:r>
        <w:t xml:space="preserve"> </w:t>
      </w:r>
      <w:r>
        <w:t xml:space="preserve">Correct the Résumé end dates to match the experience letters; reconcile the years-of-experience figure; be ready to explain the Dec. 2016–April 2017 gap.</w:t>
      </w:r>
    </w:p>
    <w:p>
      <w:pPr>
        <w:pStyle w:val="Compact"/>
        <w:numPr>
          <w:ilvl w:val="0"/>
          <w:numId w:val="1006"/>
        </w:numPr>
      </w:pPr>
      <w:r>
        <w:rPr>
          <w:b/>
          <w:bCs/>
        </w:rPr>
        <w:t xml:space="preserve">Consulting experience (B-2).</w:t>
      </w:r>
      <w:r>
        <w:t xml:space="preserve"> </w:t>
      </w:r>
      <w:r>
        <w:t xml:space="preserve">Supplement with 1099s/Schedule C, client letters, and business-registration evidence.</w:t>
      </w:r>
    </w:p>
    <w:p>
      <w:pPr>
        <w:pStyle w:val="Compact"/>
        <w:numPr>
          <w:ilvl w:val="0"/>
          <w:numId w:val="1006"/>
        </w:numPr>
      </w:pPr>
      <w:r>
        <w:rPr>
          <w:b/>
          <w:bCs/>
        </w:rPr>
        <w:t xml:space="preserve">Direct reports (B-1).</w:t>
      </w:r>
      <w:r>
        <w:t xml:space="preserve"> </w:t>
      </w:r>
      <w:r>
        <w:t xml:space="preserve">Reconcile 3 vs. 2 across the Support Letter and Org Chart.</w:t>
      </w:r>
    </w:p>
    <w:p>
      <w:pPr>
        <w:pStyle w:val="Compact"/>
        <w:numPr>
          <w:ilvl w:val="0"/>
          <w:numId w:val="1006"/>
        </w:numPr>
      </w:pPr>
      <w:r>
        <w:rPr>
          <w:b/>
          <w:bCs/>
        </w:rPr>
        <w:t xml:space="preserve">Evaluator (B-5).</w:t>
      </w:r>
      <w:r>
        <w:t xml:space="preserve"> </w:t>
      </w:r>
      <w:r>
        <w:t xml:space="preserve">Verify</w:t>
      </w:r>
      <w:r>
        <w:t xml:space="preserve"> </w:t>
      </w:r>
      <w:r>
        <w:t xml:space="preserve">“</w:t>
      </w:r>
      <w:r>
        <w:t xml:space="preserve">Halford University</w:t>
      </w:r>
      <w:r>
        <w:t xml:space="preserve">”</w:t>
      </w:r>
      <w:r>
        <w:t xml:space="preserve">; if unsubstantiated, obtain a new evaluation from a credentialed evaluator.</w:t>
      </w:r>
    </w:p>
    <w:p>
      <w:pPr>
        <w:pStyle w:val="Compact"/>
        <w:numPr>
          <w:ilvl w:val="0"/>
          <w:numId w:val="1006"/>
        </w:numPr>
      </w:pPr>
      <w:r>
        <w:rPr>
          <w:b/>
          <w:bCs/>
        </w:rPr>
        <w:t xml:space="preserve">Status evidence (B-6, C-5).</w:t>
      </w:r>
      <w:r>
        <w:t xml:space="preserve"> </w:t>
      </w:r>
      <w:r>
        <w:t xml:space="preserve">Add I-20, EAD, I-94, passport, pay stubs, Form I-129, degree certificate, and Public Access File contents; explain the Data Scientist → Senior ML Engineer progression and address cap-gap/STEM-OPT.</w:t>
      </w:r>
    </w:p>
    <w:p>
      <w:pPr>
        <w:pStyle w:val="Compact"/>
        <w:numPr>
          <w:ilvl w:val="0"/>
          <w:numId w:val="1006"/>
        </w:numPr>
      </w:pPr>
      <w:r>
        <w:rPr>
          <w:b/>
          <w:bCs/>
        </w:rPr>
        <w:t xml:space="preserve">Specialty occupation (B-7).</w:t>
      </w:r>
      <w:r>
        <w:t xml:space="preserve"> </w:t>
      </w:r>
      <w:r>
        <w:t xml:space="preserve">Add peer job postings and O*NET/OOH support; tighten the alternative-qualification language (B-3).</w:t>
      </w:r>
    </w:p>
    <w:p>
      <w:pPr>
        <w:pStyle w:val="Compact"/>
        <w:numPr>
          <w:ilvl w:val="0"/>
          <w:numId w:val="1006"/>
        </w:numPr>
      </w:pPr>
      <w:r>
        <w:rPr>
          <w:b/>
          <w:bCs/>
        </w:rPr>
        <w:t xml:space="preserve">Ability to pay (C-4).</w:t>
      </w:r>
      <w:r>
        <w:t xml:space="preserve"> </w:t>
      </w:r>
      <w:r>
        <w:t xml:space="preserve">Add the most recent tax return/financial statements.</w:t>
      </w:r>
    </w:p>
    <w:p>
      <w:pPr>
        <w:pStyle w:val="Compact"/>
        <w:numPr>
          <w:ilvl w:val="0"/>
          <w:numId w:val="1006"/>
        </w:numPr>
      </w:pPr>
      <w:r>
        <w:rPr>
          <w:b/>
          <w:bCs/>
        </w:rPr>
        <w:t xml:space="preserve">Leverage certifications (C-7); clarify the org-chart interim structure (C-6); reconcile credit-hour language (C-8).</w:t>
      </w:r>
    </w:p>
    <w:p>
      <w:r>
        <w:pict>
          <v:rect style="width:0;height:1.5pt" o:hralign="center" o:hrstd="t" o:hr="t"/>
        </w:pict>
      </w:r>
    </w:p>
    <w:bookmarkEnd w:id="50"/>
    <w:bookmarkStart w:id="51" w:name="vi.-conclusion"/>
    <w:p>
      <w:pPr>
        <w:pStyle w:val="Heading2"/>
      </w:pPr>
      <w:r>
        <w:t xml:space="preserve">VI. Conclusion</w:t>
      </w:r>
    </w:p>
    <w:p>
      <w:pPr>
        <w:pStyle w:val="FirstParagraph"/>
      </w:pPr>
      <w:r>
        <w:t xml:space="preserve">The package presents a coherent H-1B petition on its face, and the core data elements reconcile across documents. However, four critical issues — the</w:t>
      </w:r>
      <w:r>
        <w:t xml:space="preserve"> </w:t>
      </w:r>
      <w:r>
        <w:rPr>
          <w:b/>
          <w:bCs/>
        </w:rPr>
        <w:t xml:space="preserve">prevailing wage level mismatch</w:t>
      </w:r>
      <w:r>
        <w:t xml:space="preserve">, the</w:t>
      </w:r>
      <w:r>
        <w:t xml:space="preserve"> </w:t>
      </w:r>
      <w:r>
        <w:rPr>
          <w:b/>
          <w:bCs/>
        </w:rPr>
        <w:t xml:space="preserve">field-of-study /</w:t>
      </w:r>
      <w:r>
        <w:rPr>
          <w:b/>
          <w:bCs/>
        </w:rPr>
        <w:t xml:space="preserve"> </w:t>
      </w:r>
      <w:r>
        <w:rPr>
          <w:b/>
          <w:bCs/>
        </w:rPr>
        <w:t xml:space="preserve">“</w:t>
      </w:r>
      <w:r>
        <w:rPr>
          <w:b/>
          <w:bCs/>
        </w:rPr>
        <w:t xml:space="preserve">closely related field</w:t>
      </w:r>
      <w:r>
        <w:rPr>
          <w:b/>
          <w:bCs/>
        </w:rPr>
        <w:t xml:space="preserve">”</w:t>
      </w:r>
      <w:r>
        <w:rPr>
          <w:b/>
          <w:bCs/>
        </w:rPr>
        <w:t xml:space="preserve"> </w:t>
      </w:r>
      <w:r>
        <w:rPr>
          <w:b/>
          <w:bCs/>
        </w:rPr>
        <w:t xml:space="preserve">qualification gap</w:t>
      </w:r>
      <w:r>
        <w:t xml:space="preserve">, the</w:t>
      </w:r>
      <w:r>
        <w:t xml:space="preserve"> </w:t>
      </w:r>
      <w:r>
        <w:rPr>
          <w:b/>
          <w:bCs/>
        </w:rPr>
        <w:t xml:space="preserve">LCA posting-period deficiency</w:t>
      </w:r>
      <w:r>
        <w:t xml:space="preserve">, and the</w:t>
      </w:r>
      <w:r>
        <w:t xml:space="preserve"> </w:t>
      </w:r>
      <w:r>
        <w:rPr>
          <w:b/>
          <w:bCs/>
        </w:rPr>
        <w:t xml:space="preserve">employment-date discrepancies</w:t>
      </w:r>
      <w:r>
        <w:t xml:space="preserve"> </w:t>
      </w:r>
      <w:r>
        <w:t xml:space="preserve">— must be resolved before filing, as each independently creates a material risk of an RFE, NOID, or DOL compliance finding. The moderate and minor issues above should be addressed in the same revision cycle. With the recommended corrections and supplementation, the petition can be substantially de-risked prior to submission to USCIS.</w:t>
      </w:r>
    </w:p>
    <w:p>
      <w:pPr>
        <w:pStyle w:val="BodyText"/>
      </w:pPr>
      <w:r>
        <w:rPr>
          <w:i/>
          <w:iCs/>
        </w:rPr>
        <w:t xml:space="preserve">This memorandum is prepared for internal review and quality-control purposes in connection with the referenced H-1B petition and is intended to facilitate correction of the package before filing. It does not constitute a guarantee of adjudicative outcome.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2026-06-26T23:11:14Z</dcterms:created>
  <dcterms:modified xsi:type="dcterms:W3CDTF">2026-06-26T23:11:14Z</dcterms:modified>
</cp:coreProperties>
</file>

<file path=docProps/custom.xml><?xml version="1.0" encoding="utf-8"?>
<Properties xmlns="http://schemas.openxmlformats.org/officeDocument/2006/custom-properties" xmlns:vt="http://schemas.openxmlformats.org/officeDocument/2006/docPropsVTypes"/>
</file>