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9" w:name="issue-identification-memorandum"/>
    <w:p>
      <w:pPr>
        <w:pStyle w:val="Heading1"/>
      </w:pPr>
      <w:r>
        <w:t xml:space="preserve">ISSUE-IDENTIFICATION MEMORANDUM</w:t>
      </w:r>
    </w:p>
    <w:p>
      <w:pPr>
        <w:pStyle w:val="FirstParagraph"/>
      </w:pPr>
      <w:r>
        <w:rPr>
          <w:b/>
          <w:bCs/>
        </w:rPr>
        <w:t xml:space="preserve">TO:</w:t>
      </w:r>
      <w:r>
        <w:t xml:space="preserve"> </w:t>
      </w:r>
      <w:r>
        <w:t xml:space="preserve">File / Supervising Attorney (H-1B Petition — Rajesh Venkataraman)</w:t>
      </w:r>
    </w:p>
    <w:p>
      <w:pPr>
        <w:pStyle w:val="BodyText"/>
      </w:pPr>
      <w:r>
        <w:rPr>
          <w:b/>
          <w:bCs/>
        </w:rPr>
        <w:t xml:space="preserve">FROM:</w:t>
      </w:r>
      <w:r>
        <w:t xml:space="preserve"> </w:t>
      </w:r>
      <w:r>
        <w:t xml:space="preserve">Immigration Paralegal / Case Review</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Comprehensive Issue Identification and Cross-Reference Review — H-1B Specialty Occupation Petition on Behalf of Rajesh Venkataraman; Petitioner: Brightfield Analytics Inc.; Position: Senior Machine Learning Engineer (SOC 15-2051)</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identifies every issue, discrepancy, gap, and nonconformance surfaced by a cross-reference of the ten (10) documents currently comprising the H-1B petition package for beneficiary</w:t>
      </w:r>
      <w:r>
        <w:t xml:space="preserve"> </w:t>
      </w:r>
      <w:r>
        <w:rPr>
          <w:b/>
          <w:bCs/>
        </w:rPr>
        <w:t xml:space="preserve">Rajesh Venkataraman</w:t>
      </w:r>
      <w:r>
        <w:t xml:space="preserve"> </w:t>
      </w:r>
      <w:r>
        <w:t xml:space="preserve">(DOB March 14, 1992; citizen of India), to be employed by</w:t>
      </w:r>
      <w:r>
        <w:t xml:space="preserve"> </w:t>
      </w:r>
      <w:r>
        <w:rPr>
          <w:b/>
          <w:bCs/>
        </w:rPr>
        <w:t xml:space="preserve">Brightfield Analytics Inc.</w:t>
      </w:r>
      <w:r>
        <w:t xml:space="preserve"> </w:t>
      </w:r>
      <w:r>
        <w:t xml:space="preserve">as</w:t>
      </w:r>
      <w:r>
        <w:t xml:space="preserve"> </w:t>
      </w:r>
      <w:r>
        <w:rPr>
          <w:b/>
          <w:bCs/>
        </w:rPr>
        <w:t xml:space="preserve">Senior Machine Learning Engineer</w:t>
      </w:r>
      <w:r>
        <w:t xml:space="preserve"> </w:t>
      </w:r>
      <w:r>
        <w:t xml:space="preserve">at 4200 Congress Avenue, Suite 1100, Austin, TX 78701, with a proffered wage of $128,000/year and an employment period of October 1, 2025 through September 30, 2028. The certified Labor Condition Application is Case No. I-200-25031-543219; the Prevailing Wage Determination is Case No. P-300-25012-183456.</w:t>
      </w:r>
    </w:p>
    <w:p>
      <w:pPr>
        <w:pStyle w:val="BodyText"/>
      </w:pPr>
      <w:r>
        <w:t xml:space="preserve">Each issue below is stated separately, with the specific source document and field cited, a brief analysis, and the risk it presents. Items are grouped by category for ease of remediation but are individually numbered (Issues 1–66). A summary of cross-document points that are internally consistent (and therefore not issues) appears in Section XVII. This memo is intended to support filing-readiness review and does not constitute a legal opinion on approvability.</w:t>
      </w:r>
    </w:p>
    <w:p>
      <w:r>
        <w:pict>
          <v:rect style="width:0;height:1.5pt" o:hralign="center" o:hrstd="t" o:hr="t"/>
        </w:pict>
      </w:r>
    </w:p>
    <w:bookmarkEnd w:id="21"/>
    <w:bookmarkStart w:id="22"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660"/>
        <w:gridCol w:w="2200"/>
        <w:gridCol w:w="506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Key Identifier</w:t>
            </w:r>
          </w:p>
        </w:tc>
      </w:tr>
      <w:tr>
        <w:tc>
          <w:tcPr/>
          <w:p>
            <w:pPr>
              <w:pStyle w:val="Compact"/>
              <w:jc w:val="left"/>
            </w:pPr>
            <w:r>
              <w:t xml:space="preserve">1</w:t>
            </w:r>
          </w:p>
        </w:tc>
        <w:tc>
          <w:tcPr/>
          <w:p>
            <w:pPr>
              <w:pStyle w:val="Compact"/>
              <w:jc w:val="left"/>
            </w:pPr>
            <w:r>
              <w:t xml:space="preserve">Beneficiary Resume (Rajesh Venkataraman)</w:t>
            </w:r>
          </w:p>
        </w:tc>
        <w:tc>
          <w:tcPr/>
          <w:p>
            <w:pPr>
              <w:pStyle w:val="Compact"/>
              <w:jc w:val="left"/>
            </w:pPr>
            <w:r>
              <w:t xml:space="preserve">Undated; current through Brightfield employment</w:t>
            </w:r>
          </w:p>
        </w:tc>
      </w:tr>
      <w:tr>
        <w:tc>
          <w:tcPr/>
          <w:p>
            <w:pPr>
              <w:pStyle w:val="Compact"/>
              <w:jc w:val="left"/>
            </w:pPr>
            <w:r>
              <w:t xml:space="preserve">2</w:t>
            </w:r>
          </w:p>
        </w:tc>
        <w:tc>
          <w:tcPr/>
          <w:p>
            <w:pPr>
              <w:pStyle w:val="Compact"/>
              <w:jc w:val="left"/>
            </w:pPr>
            <w:r>
              <w:t xml:space="preserve">Certified Labor Condition Application (ETA 9035/9035E)</w:t>
            </w:r>
          </w:p>
        </w:tc>
        <w:tc>
          <w:tcPr/>
          <w:p>
            <w:pPr>
              <w:pStyle w:val="Compact"/>
              <w:jc w:val="left"/>
            </w:pPr>
            <w:r>
              <w:t xml:space="preserve">Case I-200-25031-543219; certified March 10, 2025</w:t>
            </w:r>
          </w:p>
        </w:tc>
      </w:tr>
      <w:tr>
        <w:tc>
          <w:tcPr/>
          <w:p>
            <w:pPr>
              <w:pStyle w:val="Compact"/>
              <w:jc w:val="left"/>
            </w:pPr>
            <w:r>
              <w:t xml:space="preserve">3</w:t>
            </w:r>
          </w:p>
        </w:tc>
        <w:tc>
          <w:tcPr/>
          <w:p>
            <w:pPr>
              <w:pStyle w:val="Compact"/>
              <w:jc w:val="left"/>
            </w:pPr>
            <w:r>
              <w:t xml:space="preserve">Foreign Credential Evaluation (Westbridge Credential Services)</w:t>
            </w:r>
          </w:p>
        </w:tc>
        <w:tc>
          <w:tcPr/>
          <w:p>
            <w:pPr>
              <w:pStyle w:val="Compact"/>
              <w:jc w:val="left"/>
            </w:pPr>
            <w:r>
              <w:t xml:space="preserve">Report WCS-2025-03187; February 18, 2025</w:t>
            </w:r>
          </w:p>
        </w:tc>
      </w:tr>
      <w:tr>
        <w:tc>
          <w:tcPr/>
          <w:p>
            <w:pPr>
              <w:pStyle w:val="Compact"/>
              <w:jc w:val="left"/>
            </w:pPr>
            <w:r>
              <w:t xml:space="preserve">4</w:t>
            </w:r>
          </w:p>
        </w:tc>
        <w:tc>
          <w:tcPr/>
          <w:p>
            <w:pPr>
              <w:pStyle w:val="Compact"/>
              <w:jc w:val="left"/>
            </w:pPr>
            <w:r>
              <w:t xml:space="preserve">Employer Support Letter (Brightfield Analytics Inc.)</w:t>
            </w:r>
          </w:p>
        </w:tc>
        <w:tc>
          <w:tcPr/>
          <w:p>
            <w:pPr>
              <w:pStyle w:val="Compact"/>
              <w:jc w:val="left"/>
            </w:pPr>
            <w:r>
              <w:t xml:space="preserve">April 7, 2025; Patricia Kwon, HR Director</w:t>
            </w:r>
          </w:p>
        </w:tc>
      </w:tr>
      <w:tr>
        <w:tc>
          <w:tcPr/>
          <w:p>
            <w:pPr>
              <w:pStyle w:val="Compact"/>
              <w:jc w:val="left"/>
            </w:pPr>
            <w:r>
              <w:t xml:space="preserve">5</w:t>
            </w:r>
          </w:p>
        </w:tc>
        <w:tc>
          <w:tcPr/>
          <w:p>
            <w:pPr>
              <w:pStyle w:val="Compact"/>
              <w:jc w:val="left"/>
            </w:pPr>
            <w:r>
              <w:t xml:space="preserve">JNTU Hyderabad Official Transcript</w:t>
            </w:r>
          </w:p>
        </w:tc>
        <w:tc>
          <w:tcPr/>
          <w:p>
            <w:pPr>
              <w:pStyle w:val="Compact"/>
              <w:jc w:val="left"/>
            </w:pPr>
            <w:r>
              <w:t xml:space="preserve">Ref. JNTUH/ECE/2014/08347; issued June 12, 2014</w:t>
            </w:r>
          </w:p>
        </w:tc>
      </w:tr>
      <w:tr>
        <w:tc>
          <w:tcPr/>
          <w:p>
            <w:pPr>
              <w:pStyle w:val="Compact"/>
              <w:jc w:val="left"/>
            </w:pPr>
            <w:r>
              <w:t xml:space="preserve">6</w:t>
            </w:r>
          </w:p>
        </w:tc>
        <w:tc>
          <w:tcPr/>
          <w:p>
            <w:pPr>
              <w:pStyle w:val="Compact"/>
              <w:jc w:val="left"/>
            </w:pPr>
            <w:r>
              <w:t xml:space="preserve">Kiran Software Solutions Experience Letter</w:t>
            </w:r>
          </w:p>
        </w:tc>
        <w:tc>
          <w:tcPr/>
          <w:p>
            <w:pPr>
              <w:pStyle w:val="Compact"/>
              <w:jc w:val="left"/>
            </w:pPr>
            <w:r>
              <w:t xml:space="preserve">February 18, 2025; Suresh Raghavan, VP Engineering</w:t>
            </w:r>
          </w:p>
        </w:tc>
      </w:tr>
      <w:tr>
        <w:tc>
          <w:tcPr/>
          <w:p>
            <w:pPr>
              <w:pStyle w:val="Compact"/>
              <w:jc w:val="left"/>
            </w:pPr>
            <w:r>
              <w:t xml:space="preserve">7</w:t>
            </w:r>
          </w:p>
        </w:tc>
        <w:tc>
          <w:tcPr/>
          <w:p>
            <w:pPr>
              <w:pStyle w:val="Compact"/>
              <w:jc w:val="left"/>
            </w:pPr>
            <w:r>
              <w:t xml:space="preserve">LCA Posting Notice (Brightfield Analytics)</w:t>
            </w:r>
          </w:p>
        </w:tc>
        <w:tc>
          <w:tcPr/>
          <w:p>
            <w:pPr>
              <w:pStyle w:val="Compact"/>
              <w:jc w:val="left"/>
            </w:pPr>
            <w:r>
              <w:t xml:space="preserve">Posted March 10–19, 2025</w:t>
            </w:r>
          </w:p>
        </w:tc>
      </w:tr>
      <w:tr>
        <w:tc>
          <w:tcPr/>
          <w:p>
            <w:pPr>
              <w:pStyle w:val="Compact"/>
              <w:jc w:val="left"/>
            </w:pPr>
            <w:r>
              <w:t xml:space="preserve">8</w:t>
            </w:r>
          </w:p>
        </w:tc>
        <w:tc>
          <w:tcPr/>
          <w:p>
            <w:pPr>
              <w:pStyle w:val="Compact"/>
              <w:jc w:val="left"/>
            </w:pPr>
            <w:r>
              <w:t xml:space="preserve">NovaStar Data Systems Experience Letter</w:t>
            </w:r>
          </w:p>
        </w:tc>
        <w:tc>
          <w:tcPr/>
          <w:p>
            <w:pPr>
              <w:pStyle w:val="Compact"/>
              <w:jc w:val="left"/>
            </w:pPr>
            <w:r>
              <w:t xml:space="preserve">March 5, 2025; Carolyn Beech, Director of Engineering</w:t>
            </w:r>
          </w:p>
        </w:tc>
      </w:tr>
      <w:tr>
        <w:tc>
          <w:tcPr/>
          <w:p>
            <w:pPr>
              <w:pStyle w:val="Compact"/>
              <w:jc w:val="left"/>
            </w:pPr>
            <w:r>
              <w:t xml:space="preserve">9</w:t>
            </w:r>
          </w:p>
        </w:tc>
        <w:tc>
          <w:tcPr/>
          <w:p>
            <w:pPr>
              <w:pStyle w:val="Compact"/>
              <w:jc w:val="left"/>
            </w:pPr>
            <w:r>
              <w:t xml:space="preserve">Organizational Chart (Data Science &amp; ML Group)</w:t>
            </w:r>
          </w:p>
        </w:tc>
        <w:tc>
          <w:tcPr/>
          <w:p>
            <w:pPr>
              <w:pStyle w:val="Compact"/>
              <w:jc w:val="left"/>
            </w:pPr>
            <w:r>
              <w:t xml:space="preserve">Effective March 2025; Patricia Kwon</w:t>
            </w:r>
          </w:p>
        </w:tc>
      </w:tr>
      <w:tr>
        <w:tc>
          <w:tcPr/>
          <w:p>
            <w:pPr>
              <w:pStyle w:val="Compact"/>
              <w:jc w:val="left"/>
            </w:pPr>
            <w:r>
              <w:t xml:space="preserve">10</w:t>
            </w:r>
          </w:p>
        </w:tc>
        <w:tc>
          <w:tcPr/>
          <w:p>
            <w:pPr>
              <w:pStyle w:val="Compact"/>
              <w:jc w:val="left"/>
            </w:pPr>
            <w:r>
              <w:t xml:space="preserve">Prevailing Wage Determination (NPWC/DOL)</w:t>
            </w:r>
          </w:p>
        </w:tc>
        <w:tc>
          <w:tcPr/>
          <w:p>
            <w:pPr>
              <w:pStyle w:val="Compact"/>
              <w:jc w:val="left"/>
            </w:pPr>
            <w:r>
              <w:t xml:space="preserve">Case P-300-25012-183456; January 15, 2025</w:t>
            </w:r>
          </w:p>
        </w:tc>
      </w:tr>
    </w:tbl>
    <w:p>
      <w:r>
        <w:pict>
          <v:rect style="width:0;height:1.5pt" o:hralign="center" o:hrstd="t" o:hr="t"/>
        </w:pict>
      </w:r>
    </w:p>
    <w:bookmarkEnd w:id="22"/>
    <w:bookmarkStart w:id="23" w:name="Xc923732574afd4c00bda01d22bd7e25ba26d38f"/>
    <w:p>
      <w:pPr>
        <w:pStyle w:val="Heading2"/>
      </w:pPr>
      <w:r>
        <w:t xml:space="preserve">III. Executive Summary of Highest-Priority Issues</w:t>
      </w:r>
    </w:p>
    <w:p>
      <w:pPr>
        <w:pStyle w:val="FirstParagraph"/>
      </w:pPr>
      <w:r>
        <w:t xml:space="preserve">The following issues present the greatest risk to approval or to ongoing compliance and should be addressed before filing:</w:t>
      </w:r>
    </w:p>
    <w:p>
      <w:pPr>
        <w:pStyle w:val="Compact"/>
        <w:numPr>
          <w:ilvl w:val="0"/>
          <w:numId w:val="1001"/>
        </w:numPr>
      </w:pPr>
      <w:r>
        <w:rPr>
          <w:b/>
          <w:bCs/>
        </w:rPr>
        <w:t xml:space="preserve">Field-of-study mismatch and unsupported</w:t>
      </w:r>
      <w:r>
        <w:rPr>
          <w:b/>
          <w:bCs/>
        </w:rPr>
        <w:t xml:space="preserve"> </w:t>
      </w:r>
      <w:r>
        <w:rPr>
          <w:b/>
          <w:bCs/>
        </w:rPr>
        <w:t xml:space="preserve">“</w:t>
      </w:r>
      <w:r>
        <w:rPr>
          <w:b/>
          <w:bCs/>
        </w:rPr>
        <w:t xml:space="preserve">closely related field</w:t>
      </w:r>
      <w:r>
        <w:rPr>
          <w:b/>
          <w:bCs/>
        </w:rPr>
        <w:t xml:space="preserve">”</w:t>
      </w:r>
      <w:r>
        <w:rPr>
          <w:b/>
          <w:bCs/>
        </w:rPr>
        <w:t xml:space="preserve"> </w:t>
      </w:r>
      <w:r>
        <w:rPr>
          <w:b/>
          <w:bCs/>
        </w:rPr>
        <w:t xml:space="preserve">claim</w:t>
      </w:r>
      <w:r>
        <w:t xml:space="preserve"> </w:t>
      </w:r>
      <w:r>
        <w:t xml:space="preserve">(Issues 1–6, 8, 63). The beneficiary’s only documented degree is a B.Tech in Electronics and Communication Engineering; the position requires Computer Science, Machine Learning, Artificial Intelligence, or a closely related field, and the credential evaluator expressly declined to opine on field-of-study suitability. The beneficiary’s senior thesis (FPGA/biomedical signal processing) and self-identified</w:t>
      </w:r>
      <w:r>
        <w:t xml:space="preserve"> </w:t>
      </w:r>
      <w:r>
        <w:t xml:space="preserve">“</w:t>
      </w:r>
      <w:r>
        <w:t xml:space="preserve">relevant coursework</w:t>
      </w:r>
      <w:r>
        <w:t xml:space="preserve">”</w:t>
      </w:r>
      <w:r>
        <w:t xml:space="preserve"> </w:t>
      </w:r>
      <w:r>
        <w:t xml:space="preserve">are ECE-focused, reinforcing the mismatch.</w:t>
      </w:r>
    </w:p>
    <w:p>
      <w:pPr>
        <w:pStyle w:val="Compact"/>
        <w:numPr>
          <w:ilvl w:val="0"/>
          <w:numId w:val="1001"/>
        </w:numPr>
      </w:pPr>
      <w:r>
        <w:rPr>
          <w:b/>
          <w:bCs/>
        </w:rPr>
        <w:t xml:space="preserve">F-1 OPT status claim is inconsistent with the education record</w:t>
      </w:r>
      <w:r>
        <w:t xml:space="preserve"> </w:t>
      </w:r>
      <w:r>
        <w:t xml:space="preserve">(Issues 34–36). F-1 OPT requires a U.S. degree, yet the package documents only an Indian B.Tech — implying an undisclosed U.S. degree that, if it exists, may be the qualifying degree and could resolve Issue 1, and raising a possible unauthorized-employment concern during the self-employment period.</w:t>
      </w:r>
    </w:p>
    <w:p>
      <w:pPr>
        <w:pStyle w:val="Compact"/>
        <w:numPr>
          <w:ilvl w:val="0"/>
          <w:numId w:val="1001"/>
        </w:numPr>
      </w:pPr>
      <w:r>
        <w:rPr>
          <w:b/>
          <w:bCs/>
        </w:rPr>
        <w:t xml:space="preserve">Wage Level 2 appears understated for a</w:t>
      </w:r>
      <w:r>
        <w:rPr>
          <w:b/>
          <w:bCs/>
        </w:rPr>
        <w:t xml:space="preserve"> </w:t>
      </w:r>
      <w:r>
        <w:rPr>
          <w:b/>
          <w:bCs/>
        </w:rPr>
        <w:t xml:space="preserve">“</w:t>
      </w:r>
      <w:r>
        <w:rPr>
          <w:b/>
          <w:bCs/>
        </w:rPr>
        <w:t xml:space="preserve">Senior,</w:t>
      </w:r>
      <w:r>
        <w:rPr>
          <w:b/>
          <w:bCs/>
        </w:rPr>
        <w:t xml:space="preserve">”</w:t>
      </w:r>
      <w:r>
        <w:rPr>
          <w:b/>
          <w:bCs/>
        </w:rPr>
        <w:t xml:space="preserve"> </w:t>
      </w:r>
      <w:r>
        <w:rPr>
          <w:b/>
          <w:bCs/>
        </w:rPr>
        <w:t xml:space="preserve">supervisory, independent-judgment role</w:t>
      </w:r>
      <w:r>
        <w:t xml:space="preserve"> </w:t>
      </w:r>
      <w:r>
        <w:t xml:space="preserve">(Issues 22–24). If the correct level is Level 3 ($137,946), the offered wage ($128,000) would fall below the prevailing wage.</w:t>
      </w:r>
    </w:p>
    <w:p>
      <w:pPr>
        <w:pStyle w:val="Compact"/>
        <w:numPr>
          <w:ilvl w:val="0"/>
          <w:numId w:val="1001"/>
        </w:numPr>
      </w:pPr>
      <w:r>
        <w:rPr>
          <w:b/>
          <w:bCs/>
        </w:rPr>
        <w:t xml:space="preserve">LCA posting ran only 8 business days, short of the 10 required</w:t>
      </w:r>
      <w:r>
        <w:t xml:space="preserve"> </w:t>
      </w:r>
      <w:r>
        <w:t xml:space="preserve">(Issue 25), and only one of the two required posting locations is documented (Issue 26).</w:t>
      </w:r>
    </w:p>
    <w:p>
      <w:pPr>
        <w:pStyle w:val="Compact"/>
        <w:numPr>
          <w:ilvl w:val="0"/>
          <w:numId w:val="1001"/>
        </w:numPr>
      </w:pPr>
      <w:r>
        <w:rPr>
          <w:b/>
          <w:bCs/>
        </w:rPr>
        <w:t xml:space="preserve">The LCA appears to have been filed/certified outside the 6-month window</w:t>
      </w:r>
      <w:r>
        <w:t xml:space="preserve"> </w:t>
      </w:r>
      <w:r>
        <w:t xml:space="preserve">before the October 1, 2025 start date (Issue 27).</w:t>
      </w:r>
    </w:p>
    <w:p>
      <w:pPr>
        <w:pStyle w:val="Compact"/>
        <w:numPr>
          <w:ilvl w:val="0"/>
          <w:numId w:val="1001"/>
        </w:numPr>
      </w:pPr>
      <w:r>
        <w:rPr>
          <w:b/>
          <w:bCs/>
        </w:rPr>
        <w:t xml:space="preserve">The alternative qualification path is not met by documented experience alone</w:t>
      </w:r>
      <w:r>
        <w:t xml:space="preserve"> </w:t>
      </w:r>
      <w:r>
        <w:t xml:space="preserve">(Issue 7) and is inconsistent with the LCA’s stated major field (Issue 8).</w:t>
      </w:r>
    </w:p>
    <w:p>
      <w:pPr>
        <w:pStyle w:val="Compact"/>
        <w:numPr>
          <w:ilvl w:val="0"/>
          <w:numId w:val="1001"/>
        </w:numPr>
      </w:pPr>
      <w:r>
        <w:rPr>
          <w:b/>
          <w:bCs/>
        </w:rPr>
        <w:t xml:space="preserve">Multiple signature lines are blank</w:t>
      </w:r>
      <w:r>
        <w:t xml:space="preserve">, indicating the support letter, LCA, NovaStar letter, and credential evaluation may be unexecuted drafts (Issues 48–51, 62, 66).</w:t>
      </w:r>
    </w:p>
    <w:p>
      <w:pPr>
        <w:pStyle w:val="Compact"/>
        <w:numPr>
          <w:ilvl w:val="0"/>
          <w:numId w:val="1001"/>
        </w:numPr>
      </w:pPr>
      <w:r>
        <w:rPr>
          <w:b/>
          <w:bCs/>
        </w:rPr>
        <w:t xml:space="preserve">Core petition forms and beneficiary status documents are absent</w:t>
      </w:r>
      <w:r>
        <w:t xml:space="preserve"> </w:t>
      </w:r>
      <w:r>
        <w:t xml:space="preserve">from the package (Issues 39–43).</w:t>
      </w:r>
    </w:p>
    <w:p>
      <w:pPr>
        <w:pStyle w:val="Compact"/>
        <w:numPr>
          <w:ilvl w:val="0"/>
          <w:numId w:val="1001"/>
        </w:numPr>
      </w:pPr>
      <w:r>
        <w:rPr>
          <w:b/>
          <w:bCs/>
        </w:rPr>
        <w:t xml:space="preserve">Verifiable certification evidence is unused</w:t>
      </w:r>
      <w:r>
        <w:t xml:space="preserve"> </w:t>
      </w:r>
      <w:r>
        <w:t xml:space="preserve">(Issue 64). The resume lists an AWS Certified Machine Learning – Specialty credential that could help bridge the field-of-study gap, but it is not referenced or documented in the petition narrative.</w:t>
      </w:r>
    </w:p>
    <w:p>
      <w:r>
        <w:pict>
          <v:rect style="width:0;height:1.5pt" o:hralign="center" o:hrstd="t" o:hr="t"/>
        </w:pict>
      </w:r>
    </w:p>
    <w:bookmarkEnd w:id="23"/>
    <w:bookmarkStart w:id="24" w:name="X13c2cd5adfc426a67bbfe343d23133ec518257e"/>
    <w:p>
      <w:pPr>
        <w:pStyle w:val="Heading2"/>
      </w:pPr>
      <w:r>
        <w:t xml:space="preserve">IV. Beneficiary Qualifications — Education and Field of Study</w:t>
      </w:r>
    </w:p>
    <w:p>
      <w:pPr>
        <w:pStyle w:val="FirstParagraph"/>
      </w:pPr>
      <w:r>
        <w:rPr>
          <w:b/>
          <w:bCs/>
        </w:rPr>
        <w:t xml:space="preserve">Issue 1 — Degree field does not match the required major.</w:t>
      </w:r>
      <w:r>
        <w:t xml:space="preserve"> </w:t>
      </w:r>
      <w:r>
        <w:t xml:space="preserve">The LCA (Section G.7) and the employer support letter (Section 3) require a bachelor’s degree in</w:t>
      </w:r>
      <w:r>
        <w:t xml:space="preserve"> </w:t>
      </w:r>
      <w:r>
        <w:t xml:space="preserve">“</w:t>
      </w:r>
      <w:r>
        <w:t xml:space="preserve">Computer Science, Machine Learning, Artificial Intelligence, or closely related field.</w:t>
      </w:r>
      <w:r>
        <w:t xml:space="preserve">”</w:t>
      </w:r>
      <w:r>
        <w:t xml:space="preserve"> </w:t>
      </w:r>
      <w:r>
        <w:t xml:space="preserve">The beneficiary’s degree is a Bachelor of Technology in</w:t>
      </w:r>
      <w:r>
        <w:t xml:space="preserve"> </w:t>
      </w:r>
      <w:r>
        <w:rPr>
          <w:b/>
          <w:bCs/>
        </w:rPr>
        <w:t xml:space="preserve">Electronics and Communication Engineering</w:t>
      </w:r>
      <w:r>
        <w:t xml:space="preserve"> </w:t>
      </w:r>
      <w:r>
        <w:t xml:space="preserve">(resume; credential evaluation Section 1; transcript). No document establishes that Electronics and Communication Engineering is a</w:t>
      </w:r>
      <w:r>
        <w:t xml:space="preserve"> </w:t>
      </w:r>
      <w:r>
        <w:t xml:space="preserve">“</w:t>
      </w:r>
      <w:r>
        <w:t xml:space="preserve">closely related field</w:t>
      </w:r>
      <w:r>
        <w:t xml:space="preserve">”</w:t>
      </w:r>
      <w:r>
        <w:t xml:space="preserve"> </w:t>
      </w:r>
      <w:r>
        <w:t xml:space="preserve">to CS/ML/AI for this position.</w:t>
      </w:r>
      <w:r>
        <w:t xml:space="preserve"> </w:t>
      </w:r>
      <w:r>
        <w:rPr>
          <w:i/>
          <w:iCs/>
        </w:rPr>
        <w:t xml:space="preserve">Risk: USCIS may find the beneficiary does not meet the minimum educational requirement, a common basis for denial.</w:t>
      </w:r>
    </w:p>
    <w:p>
      <w:pPr>
        <w:pStyle w:val="BodyText"/>
      </w:pPr>
      <w:r>
        <w:rPr>
          <w:b/>
          <w:bCs/>
        </w:rPr>
        <w:t xml:space="preserve">Issue 2 — Credential evaluation expressly disclaims field-of-study suitability.</w:t>
      </w:r>
      <w:r>
        <w:t xml:space="preserve"> </w:t>
      </w:r>
      <w:r>
        <w:t xml:space="preserve">The Westbridge evaluation (Section 7, Limitations) states:</w:t>
      </w:r>
      <w:r>
        <w:t xml:space="preserve"> </w:t>
      </w:r>
      <w:r>
        <w:t xml:space="preserve">“</w:t>
      </w:r>
      <w:r>
        <w:t xml:space="preserve">This evaluation does not opine on whether the applicant’s field of study satisfies the requirements of any particular position or petition.</w:t>
      </w:r>
      <w:r>
        <w:t xml:space="preserve">”</w:t>
      </w:r>
      <w:r>
        <w:t xml:space="preserve"> </w:t>
      </w:r>
      <w:r>
        <w:t xml:space="preserve">The one document that could bridge the field-of-study gap deliberately does not.</w:t>
      </w:r>
      <w:r>
        <w:t xml:space="preserve"> </w:t>
      </w:r>
      <w:r>
        <w:rPr>
          <w:i/>
          <w:iCs/>
        </w:rPr>
        <w:t xml:space="preserve">Risk: the</w:t>
      </w:r>
      <w:r>
        <w:rPr>
          <w:i/>
          <w:iCs/>
        </w:rPr>
        <w:t xml:space="preserve"> </w:t>
      </w:r>
      <w:r>
        <w:rPr>
          <w:i/>
          <w:iCs/>
        </w:rPr>
        <w:t xml:space="preserve">“</w:t>
      </w:r>
      <w:r>
        <w:rPr>
          <w:i/>
          <w:iCs/>
        </w:rPr>
        <w:t xml:space="preserve">closely related field</w:t>
      </w:r>
      <w:r>
        <w:rPr>
          <w:i/>
          <w:iCs/>
        </w:rPr>
        <w:t xml:space="preserve">”</w:t>
      </w:r>
      <w:r>
        <w:rPr>
          <w:i/>
          <w:iCs/>
        </w:rPr>
        <w:t xml:space="preserve"> </w:t>
      </w:r>
      <w:r>
        <w:rPr>
          <w:i/>
          <w:iCs/>
        </w:rPr>
        <w:t xml:space="preserve">determination is left entirely unsupported by expert opinion.</w:t>
      </w:r>
    </w:p>
    <w:p>
      <w:pPr>
        <w:pStyle w:val="BodyText"/>
      </w:pPr>
      <w:r>
        <w:rPr>
          <w:b/>
          <w:bCs/>
        </w:rPr>
        <w:t xml:space="preserve">Issue 3 — Equivalency is to the same field (ECE), not to the required field.</w:t>
      </w:r>
      <w:r>
        <w:t xml:space="preserve"> </w:t>
      </w:r>
      <w:r>
        <w:t xml:space="preserve">The evaluation (Section 5) opines that the B.Tech is equivalent to</w:t>
      </w:r>
      <w:r>
        <w:t xml:space="preserve"> </w:t>
      </w:r>
      <w:r>
        <w:t xml:space="preserve">“</w:t>
      </w:r>
      <w:r>
        <w:t xml:space="preserve">a four-year Bachelor of Science (B.S.) in</w:t>
      </w:r>
      <w:r>
        <w:t xml:space="preserve"> </w:t>
      </w:r>
      <w:r>
        <w:rPr>
          <w:b/>
          <w:bCs/>
        </w:rPr>
        <w:t xml:space="preserve">Electronics and Communication Engineering</w:t>
      </w:r>
      <w:r>
        <w:t xml:space="preserve"> </w:t>
      </w:r>
      <w:r>
        <w:t xml:space="preserve">from a regionally accredited institution.</w:t>
      </w:r>
      <w:r>
        <w:t xml:space="preserve">”</w:t>
      </w:r>
      <w:r>
        <w:t xml:space="preserve"> </w:t>
      </w:r>
      <w:r>
        <w:t xml:space="preserve">The equivalency is field-for-field (ECE to ECE); it provides no bridge to Computer Science, Machine Learning, or AI.</w:t>
      </w:r>
      <w:r>
        <w:t xml:space="preserve"> </w:t>
      </w:r>
      <w:r>
        <w:rPr>
          <w:i/>
          <w:iCs/>
        </w:rPr>
        <w:t xml:space="preserve">Risk: reinforces that the qualifying degree is in a different discipline than required.</w:t>
      </w:r>
    </w:p>
    <w:p>
      <w:pPr>
        <w:pStyle w:val="BodyText"/>
      </w:pPr>
      <w:r>
        <w:rPr>
          <w:b/>
          <w:bCs/>
        </w:rPr>
        <w:t xml:space="preserve">Issue 4 — Computer-related coursework is minimal (~7.5% of the curriculum).</w:t>
      </w:r>
      <w:r>
        <w:t xml:space="preserve"> </w:t>
      </w:r>
      <w:r>
        <w:t xml:space="preserve">The evaluation (Section 4) states that computer science/IT-related coursework constitutes</w:t>
      </w:r>
      <w:r>
        <w:t xml:space="preserve"> </w:t>
      </w:r>
      <w:r>
        <w:t xml:space="preserve">“</w:t>
      </w:r>
      <w:r>
        <w:t xml:space="preserve">approximately 12 credit hours out of the total approximately 160 credit hours … approximately 7.5% of the overall curriculum.</w:t>
      </w:r>
      <w:r>
        <w:t xml:space="preserve">”</w:t>
      </w:r>
      <w:r>
        <w:t xml:space="preserve"> </w:t>
      </w:r>
      <w:r>
        <w:t xml:space="preserve">The transcript confirms only four such courses: Computer Programming in C (CS101), Advanced C Programming and Problem Solving (CS201), Data Structures (CS401), and Introduction to Artificial Intelligence (EC704, an elective).</w:t>
      </w:r>
      <w:r>
        <w:t xml:space="preserve"> </w:t>
      </w:r>
      <w:r>
        <w:rPr>
          <w:i/>
          <w:iCs/>
        </w:rPr>
        <w:t xml:space="preserve">Risk: thin CS foundation undermines any argument that the ECE degree is</w:t>
      </w:r>
      <w:r>
        <w:rPr>
          <w:i/>
          <w:iCs/>
        </w:rPr>
        <w:t xml:space="preserve"> </w:t>
      </w:r>
      <w:r>
        <w:rPr>
          <w:i/>
          <w:iCs/>
        </w:rPr>
        <w:t xml:space="preserve">“</w:t>
      </w:r>
      <w:r>
        <w:rPr>
          <w:i/>
          <w:iCs/>
        </w:rPr>
        <w:t xml:space="preserve">closely related</w:t>
      </w:r>
      <w:r>
        <w:rPr>
          <w:i/>
          <w:iCs/>
        </w:rPr>
        <w:t xml:space="preserve">”</w:t>
      </w:r>
      <w:r>
        <w:rPr>
          <w:i/>
          <w:iCs/>
        </w:rPr>
        <w:t xml:space="preserve"> </w:t>
      </w:r>
      <w:r>
        <w:rPr>
          <w:i/>
          <w:iCs/>
        </w:rPr>
        <w:t xml:space="preserve">to CS/ML/AI.</w:t>
      </w:r>
    </w:p>
    <w:p>
      <w:pPr>
        <w:pStyle w:val="BodyText"/>
      </w:pPr>
      <w:r>
        <w:rPr>
          <w:b/>
          <w:bCs/>
        </w:rPr>
        <w:t xml:space="preserve">Issue 5 — No coursework in the foundational subjects the position itself says are required.</w:t>
      </w:r>
      <w:r>
        <w:t xml:space="preserve"> </w:t>
      </w:r>
      <w:r>
        <w:t xml:space="preserve">The support letter (Section 3) states the role</w:t>
      </w:r>
      <w:r>
        <w:t xml:space="preserve"> </w:t>
      </w:r>
      <w:r>
        <w:t xml:space="preserve">“</w:t>
      </w:r>
      <w:r>
        <w:t xml:space="preserve">demands rigorous academic preparation in algorithmic theory, statistical modeling, linear algebra, and computational methods.</w:t>
      </w:r>
      <w:r>
        <w:t xml:space="preserve">”</w:t>
      </w:r>
      <w:r>
        <w:t xml:space="preserve"> </w:t>
      </w:r>
      <w:r>
        <w:t xml:space="preserve">The transcript contains no dedicated courses in machine learning, deep learning, natural language processing, statistics, linear algebra, or algorithmic theory; the only AI-related course is the single</w:t>
      </w:r>
      <w:r>
        <w:t xml:space="preserve"> </w:t>
      </w:r>
      <w:r>
        <w:t xml:space="preserve">“</w:t>
      </w:r>
      <w:r>
        <w:t xml:space="preserve">Introduction to Artificial Intelligence</w:t>
      </w:r>
      <w:r>
        <w:t xml:space="preserve">”</w:t>
      </w:r>
      <w:r>
        <w:t xml:space="preserve"> </w:t>
      </w:r>
      <w:r>
        <w:t xml:space="preserve">elective. Probability Theory and Stochastic Processes (MT401) is the closest analogue but is a mathematics course, not ML-specific.</w:t>
      </w:r>
      <w:r>
        <w:t xml:space="preserve"> </w:t>
      </w:r>
      <w:r>
        <w:rPr>
          <w:i/>
          <w:iCs/>
        </w:rPr>
        <w:t xml:space="preserve">Risk: the beneficiary’s coursework does not map to the very foundations the employer says the specialty requires.</w:t>
      </w:r>
    </w:p>
    <w:p>
      <w:pPr>
        <w:pStyle w:val="BodyText"/>
      </w:pPr>
      <w:r>
        <w:rPr>
          <w:b/>
          <w:bCs/>
        </w:rPr>
        <w:t xml:space="preserve">Issue 6 — The support letter’s</w:t>
      </w:r>
      <w:r>
        <w:rPr>
          <w:b/>
          <w:bCs/>
        </w:rPr>
        <w:t xml:space="preserve"> </w:t>
      </w:r>
      <w:r>
        <w:rPr>
          <w:b/>
          <w:bCs/>
        </w:rPr>
        <w:t xml:space="preserve">“</w:t>
      </w:r>
      <w:r>
        <w:rPr>
          <w:b/>
          <w:bCs/>
        </w:rPr>
        <w:t xml:space="preserve">strong technical foundation</w:t>
      </w:r>
      <w:r>
        <w:rPr>
          <w:b/>
          <w:bCs/>
        </w:rPr>
        <w:t xml:space="preserve">”</w:t>
      </w:r>
      <w:r>
        <w:rPr>
          <w:b/>
          <w:bCs/>
        </w:rPr>
        <w:t xml:space="preserve"> </w:t>
      </w:r>
      <w:r>
        <w:rPr>
          <w:b/>
          <w:bCs/>
        </w:rPr>
        <w:t xml:space="preserve">assertion is conclusory and selective.</w:t>
      </w:r>
      <w:r>
        <w:t xml:space="preserve"> </w:t>
      </w:r>
      <w:r>
        <w:t xml:space="preserve">The support letter (Section 4) states the beneficiary’s</w:t>
      </w:r>
      <w:r>
        <w:t xml:space="preserve"> </w:t>
      </w:r>
      <w:r>
        <w:t xml:space="preserve">“</w:t>
      </w:r>
      <w:r>
        <w:t xml:space="preserve">academic curriculum included coursework in programming, data structures, and artificial intelligence, providing a strong technical foundation for machine learning engineering.</w:t>
      </w:r>
      <w:r>
        <w:t xml:space="preserve">”</w:t>
      </w:r>
      <w:r>
        <w:t xml:space="preserve"> </w:t>
      </w:r>
      <w:r>
        <w:t xml:space="preserve">This is an assertion by an HR Director, not an academic expert, and it omits that those four courses represent 7.5% of the curriculum and that no ML/statistics/linear-algebra coursework exists.</w:t>
      </w:r>
      <w:r>
        <w:t xml:space="preserve"> </w:t>
      </w:r>
      <w:r>
        <w:rPr>
          <w:i/>
          <w:iCs/>
        </w:rPr>
        <w:t xml:space="preserve">Risk: USCIS may give the assertion little weight absent an expert letter.</w:t>
      </w:r>
    </w:p>
    <w:p>
      <w:pPr>
        <w:pStyle w:val="BodyText"/>
      </w:pPr>
      <w:r>
        <w:rPr>
          <w:b/>
          <w:bCs/>
        </w:rPr>
        <w:t xml:space="preserve">Issue 7 — The alternative qualification path is not satisfied by documented experience alone.</w:t>
      </w:r>
      <w:r>
        <w:t xml:space="preserve"> </w:t>
      </w:r>
      <w:r>
        <w:t xml:space="preserve">The support letter (Section 3) offers an alternative:</w:t>
      </w:r>
      <w:r>
        <w:t xml:space="preserve"> </w:t>
      </w:r>
      <w:r>
        <w:t xml:space="preserve">“</w:t>
      </w:r>
      <w:r>
        <w:t xml:space="preserve">a Bachelor’s degree in any engineering discipline combined with 5 years of progressive experience in machine learning.</w:t>
      </w:r>
      <w:r>
        <w:t xml:space="preserve">”</w:t>
      </w:r>
      <w:r>
        <w:t xml:space="preserve"> </w:t>
      </w:r>
      <w:r>
        <w:t xml:space="preserve">Documented ML-specific experience is NovaStar Data Systems (April 2017–July 2020 ≈ 3 years 3 months, per the NovaStar letter) plus Brightfield Analytics (September 5, 2023–present ≈ 1 year 7 months as of the April 7, 2025 letter) = approximately</w:t>
      </w:r>
      <w:r>
        <w:t xml:space="preserve"> </w:t>
      </w:r>
      <w:r>
        <w:rPr>
          <w:b/>
          <w:bCs/>
        </w:rPr>
        <w:t xml:space="preserve">4 years 10 months</w:t>
      </w:r>
      <w:r>
        <w:t xml:space="preserve">, which is short of the 5-year threshold. Reaching 5 years requires crediting the undocumented independent-consulting period (Issue 12).</w:t>
      </w:r>
      <w:r>
        <w:t xml:space="preserve"> </w:t>
      </w:r>
      <w:r>
        <w:rPr>
          <w:i/>
          <w:iCs/>
        </w:rPr>
        <w:t xml:space="preserve">Risk: the alternative path fails unless the self-employment period is both documented and accepted as</w:t>
      </w:r>
      <w:r>
        <w:rPr>
          <w:i/>
          <w:iCs/>
        </w:rPr>
        <w:t xml:space="preserve"> </w:t>
      </w:r>
      <w:r>
        <w:rPr>
          <w:i/>
          <w:iCs/>
        </w:rPr>
        <w:t xml:space="preserve">“</w:t>
      </w:r>
      <w:r>
        <w:rPr>
          <w:i/>
          <w:iCs/>
        </w:rPr>
        <w:t xml:space="preserve">progressive.</w:t>
      </w:r>
      <w:r>
        <w:rPr>
          <w:i/>
          <w:iCs/>
        </w:rPr>
        <w:t xml:space="preserve">”</w:t>
      </w:r>
    </w:p>
    <w:p>
      <w:pPr>
        <w:pStyle w:val="BodyText"/>
      </w:pPr>
      <w:r>
        <w:rPr>
          <w:b/>
          <w:bCs/>
        </w:rPr>
        <w:t xml:space="preserve">Issue 8 — The alternative qualification is not reflected in the LCA and may undercut the specialty-occupation showing.</w:t>
      </w:r>
      <w:r>
        <w:t xml:space="preserve"> </w:t>
      </w:r>
      <w:r>
        <w:t xml:space="preserve">The LCA (G.7) states the major field as</w:t>
      </w:r>
      <w:r>
        <w:t xml:space="preserve"> </w:t>
      </w:r>
      <w:r>
        <w:t xml:space="preserve">“</w:t>
      </w:r>
      <w:r>
        <w:t xml:space="preserve">Computer Science, Machine Learning, Artificial Intelligence, or closely related field</w:t>
      </w:r>
      <w:r>
        <w:t xml:space="preserve">”</w:t>
      </w:r>
      <w:r>
        <w:t xml:space="preserve"> </w:t>
      </w:r>
      <w:r>
        <w:t xml:space="preserve">and does not mention the</w:t>
      </w:r>
      <w:r>
        <w:t xml:space="preserve"> </w:t>
      </w:r>
      <w:r>
        <w:t xml:space="preserve">“</w:t>
      </w:r>
      <w:r>
        <w:t xml:space="preserve">any engineering degree + 5 years</w:t>
      </w:r>
      <w:r>
        <w:t xml:space="preserve">”</w:t>
      </w:r>
      <w:r>
        <w:t xml:space="preserve"> </w:t>
      </w:r>
      <w:r>
        <w:t xml:space="preserve">alternative set out in the support letter. This creates an inconsistency between the petition’s stated minimum requirements and the LCA. Moreover, an employer’s willingness to accept</w:t>
      </w:r>
      <w:r>
        <w:t xml:space="preserve"> </w:t>
      </w:r>
      <w:r>
        <w:t xml:space="preserve">“</w:t>
      </w:r>
      <w:r>
        <w:t xml:space="preserve">any engineering discipline</w:t>
      </w:r>
      <w:r>
        <w:t xml:space="preserve">”</w:t>
      </w:r>
      <w:r>
        <w:t xml:space="preserve"> </w:t>
      </w:r>
      <w:r>
        <w:t xml:space="preserve">suggests the field is flexible, which weakens the argument that the position requires a bachelor’s degree in a</w:t>
      </w:r>
      <w:r>
        <w:t xml:space="preserve"> </w:t>
      </w:r>
      <w:r>
        <w:rPr>
          <w:b/>
          <w:bCs/>
        </w:rPr>
        <w:t xml:space="preserve">specific</w:t>
      </w:r>
      <w:r>
        <w:t xml:space="preserve"> </w:t>
      </w:r>
      <w:r>
        <w:t xml:space="preserve">academic specialty — a core prong of the specialty-occupation test under INA § 214(i)(1).</w:t>
      </w:r>
      <w:r>
        <w:t xml:space="preserve"> </w:t>
      </w:r>
      <w:r>
        <w:rPr>
          <w:i/>
          <w:iCs/>
        </w:rPr>
        <w:t xml:space="preserve">Risk: USCIS may use the alternative to challenge whether a specific specialty is truly required.</w:t>
      </w:r>
    </w:p>
    <w:p>
      <w:r>
        <w:pict>
          <v:rect style="width:0;height:1.5pt" o:hralign="center" o:hrstd="t" o:hr="t"/>
        </w:pict>
      </w:r>
    </w:p>
    <w:bookmarkEnd w:id="24"/>
    <w:bookmarkStart w:id="25" w:name="X3a9b3831be810fa56fbd9b2dd0b988ad0d4b986"/>
    <w:p>
      <w:pPr>
        <w:pStyle w:val="Heading2"/>
      </w:pPr>
      <w:r>
        <w:t xml:space="preserve">V. Beneficiary Qualifications — Experience and Employment History</w:t>
      </w:r>
    </w:p>
    <w:p>
      <w:pPr>
        <w:pStyle w:val="FirstParagraph"/>
      </w:pPr>
      <w:r>
        <w:rPr>
          <w:b/>
          <w:bCs/>
        </w:rPr>
        <w:t xml:space="preserve">Issue 9 — Kiran Software Solutions end-date discrepancy.</w:t>
      </w:r>
      <w:r>
        <w:t xml:space="preserve"> </w:t>
      </w:r>
      <w:r>
        <w:t xml:space="preserve">The resume lists Kiran employment as</w:t>
      </w:r>
      <w:r>
        <w:t xml:space="preserve"> </w:t>
      </w:r>
      <w:r>
        <w:t xml:space="preserve">“</w:t>
      </w:r>
      <w:r>
        <w:t xml:space="preserve">June 2014 – March 2017,</w:t>
      </w:r>
      <w:r>
        <w:t xml:space="preserve">”</w:t>
      </w:r>
      <w:r>
        <w:t xml:space="preserve"> </w:t>
      </w:r>
      <w:r>
        <w:t xml:space="preserve">while the Kiran experience letter and the support letter both state the employment concluded on</w:t>
      </w:r>
      <w:r>
        <w:t xml:space="preserve"> </w:t>
      </w:r>
      <w:r>
        <w:rPr>
          <w:b/>
          <w:bCs/>
        </w:rPr>
        <w:t xml:space="preserve">December 9, 2016</w:t>
      </w:r>
      <w:r>
        <w:t xml:space="preserve">. The resume overstates the end date by approximately three months.</w:t>
      </w:r>
      <w:r>
        <w:t xml:space="preserve"> </w:t>
      </w:r>
      <w:r>
        <w:rPr>
          <w:i/>
          <w:iCs/>
        </w:rPr>
        <w:t xml:space="preserve">Risk: inconsistency between the resume and the controlling experience letter; reconcile and correct the resume.</w:t>
      </w:r>
    </w:p>
    <w:p>
      <w:pPr>
        <w:pStyle w:val="BodyText"/>
      </w:pPr>
      <w:r>
        <w:rPr>
          <w:b/>
          <w:bCs/>
        </w:rPr>
        <w:t xml:space="preserve">Issue 10 — NovaStar Data Systems end-date discrepancy.</w:t>
      </w:r>
      <w:r>
        <w:t xml:space="preserve"> </w:t>
      </w:r>
      <w:r>
        <w:t xml:space="preserve">The resume lists NovaStar as</w:t>
      </w:r>
      <w:r>
        <w:t xml:space="preserve"> </w:t>
      </w:r>
      <w:r>
        <w:t xml:space="preserve">“</w:t>
      </w:r>
      <w:r>
        <w:t xml:space="preserve">April 2017 – August 2020,</w:t>
      </w:r>
      <w:r>
        <w:t xml:space="preserve">”</w:t>
      </w:r>
      <w:r>
        <w:t xml:space="preserve"> </w:t>
      </w:r>
      <w:r>
        <w:t xml:space="preserve">while the NovaStar experience letter and the support letter both state employment ended in</w:t>
      </w:r>
      <w:r>
        <w:t xml:space="preserve"> </w:t>
      </w:r>
      <w:r>
        <w:rPr>
          <w:b/>
          <w:bCs/>
        </w:rPr>
        <w:t xml:space="preserve">July 2020</w:t>
      </w:r>
      <w:r>
        <w:t xml:space="preserve">.</w:t>
      </w:r>
      <w:r>
        <w:t xml:space="preserve"> </w:t>
      </w:r>
      <w:r>
        <w:rPr>
          <w:i/>
          <w:iCs/>
        </w:rPr>
        <w:t xml:space="preserve">Risk: one-month discrepancy between the resume and the experience letter; reconcile.</w:t>
      </w:r>
    </w:p>
    <w:p>
      <w:pPr>
        <w:pStyle w:val="BodyText"/>
      </w:pPr>
      <w:r>
        <w:rPr>
          <w:b/>
          <w:bCs/>
        </w:rPr>
        <w:t xml:space="preserve">Issue 11 — Unexplained employment gap between Kiran and NovaStar.</w:t>
      </w:r>
      <w:r>
        <w:t xml:space="preserve"> </w:t>
      </w:r>
      <w:r>
        <w:t xml:space="preserve">Using the experience-letter date, Kiran ended December 9, 2016 and NovaStar began April 2017, leaving an unexplained gap of approximately four months (or roughly one month if the resume’s March 2017 date is used). The package does not address this interval.</w:t>
      </w:r>
      <w:r>
        <w:t xml:space="preserve"> </w:t>
      </w:r>
      <w:r>
        <w:rPr>
          <w:i/>
          <w:iCs/>
        </w:rPr>
        <w:t xml:space="preserve">Risk: USCIS may question the continuity of the employment history; document or explain the gap.</w:t>
      </w:r>
    </w:p>
    <w:p>
      <w:pPr>
        <w:pStyle w:val="BodyText"/>
      </w:pPr>
      <w:r>
        <w:rPr>
          <w:b/>
          <w:bCs/>
        </w:rPr>
        <w:t xml:space="preserve">Issue 12 — The independent-consulting period (August 2020 – August 2023) is entirely undocumented.</w:t>
      </w:r>
      <w:r>
        <w:t xml:space="preserve"> </w:t>
      </w:r>
      <w:r>
        <w:t xml:space="preserve">Both the resume and the support letter list</w:t>
      </w:r>
      <w:r>
        <w:t xml:space="preserve"> </w:t>
      </w:r>
      <w:r>
        <w:t xml:space="preserve">“</w:t>
      </w:r>
      <w:r>
        <w:t xml:space="preserve">Independent Machine Learning Consultant</w:t>
      </w:r>
      <w:r>
        <w:t xml:space="preserve">”</w:t>
      </w:r>
      <w:r>
        <w:t xml:space="preserve"> </w:t>
      </w:r>
      <w:r>
        <w:t xml:space="preserve">for three years, but the package contains no experience letter, no client letters, no 1099s, no business-registration evidence, and no statement of earnings. This three-year period is relied upon to reach the 5-year alternative-qualification threshold (Issue 7) and to support the</w:t>
      </w:r>
      <w:r>
        <w:t xml:space="preserve"> </w:t>
      </w:r>
      <w:r>
        <w:t xml:space="preserve">“</w:t>
      </w:r>
      <w:r>
        <w:t xml:space="preserve">8+ years</w:t>
      </w:r>
      <w:r>
        <w:t xml:space="preserve">”</w:t>
      </w:r>
      <w:r>
        <w:t xml:space="preserve"> </w:t>
      </w:r>
      <w:r>
        <w:t xml:space="preserve">experience claim (Issue 14).</w:t>
      </w:r>
      <w:r>
        <w:t xml:space="preserve"> </w:t>
      </w:r>
      <w:r>
        <w:rPr>
          <w:i/>
          <w:iCs/>
        </w:rPr>
        <w:t xml:space="preserve">Risk: undocumented experience is generally given little or no weight; a denial risk if the case depends on it.</w:t>
      </w:r>
    </w:p>
    <w:p>
      <w:pPr>
        <w:pStyle w:val="BodyText"/>
      </w:pPr>
      <w:r>
        <w:rPr>
          <w:b/>
          <w:bCs/>
        </w:rPr>
        <w:t xml:space="preserve">Issue 13 — Self-employment may not qualify as</w:t>
      </w:r>
      <w:r>
        <w:rPr>
          <w:b/>
          <w:bCs/>
        </w:rPr>
        <w:t xml:space="preserve"> </w:t>
      </w:r>
      <w:r>
        <w:rPr>
          <w:b/>
          <w:bCs/>
        </w:rPr>
        <w:t xml:space="preserve">“</w:t>
      </w:r>
      <w:r>
        <w:rPr>
          <w:b/>
          <w:bCs/>
        </w:rPr>
        <w:t xml:space="preserve">progressive experience.</w:t>
      </w:r>
      <w:r>
        <w:rPr>
          <w:b/>
          <w:bCs/>
        </w:rPr>
        <w:t xml:space="preserve">”</w:t>
      </w:r>
      <w:r>
        <w:t xml:space="preserve"> </w:t>
      </w:r>
      <w:r>
        <w:t xml:space="preserve">Even if documented, independent consulting is self-employment with no employer-employee relationship and no progressive responsibility within an organization; USCIS frequently discounts self-employment for the</w:t>
      </w:r>
      <w:r>
        <w:t xml:space="preserve"> </w:t>
      </w:r>
      <w:r>
        <w:t xml:space="preserve">“</w:t>
      </w:r>
      <w:r>
        <w:t xml:space="preserve">progressive experience</w:t>
      </w:r>
      <w:r>
        <w:t xml:space="preserve">”</w:t>
      </w:r>
      <w:r>
        <w:t xml:space="preserve"> </w:t>
      </w:r>
      <w:r>
        <w:t xml:space="preserve">alternative.</w:t>
      </w:r>
      <w:r>
        <w:t xml:space="preserve"> </w:t>
      </w:r>
      <w:r>
        <w:rPr>
          <w:i/>
          <w:iCs/>
        </w:rPr>
        <w:t xml:space="preserve">Risk: the alternative path may fail on this ground independently of documentation.</w:t>
      </w:r>
    </w:p>
    <w:p>
      <w:pPr>
        <w:pStyle w:val="BodyText"/>
      </w:pPr>
      <w:r>
        <w:rPr>
          <w:b/>
          <w:bCs/>
        </w:rPr>
        <w:t xml:space="preserve">Issue 14 — Inconsistent and imprecise experience tallies.</w:t>
      </w:r>
      <w:r>
        <w:t xml:space="preserve"> </w:t>
      </w:r>
      <w:r>
        <w:t xml:space="preserve">The resume’s professional summary claims</w:t>
      </w:r>
      <w:r>
        <w:t xml:space="preserve"> </w:t>
      </w:r>
      <w:r>
        <w:t xml:space="preserve">“</w:t>
      </w:r>
      <w:r>
        <w:t xml:space="preserve">7+ years of experience,</w:t>
      </w:r>
      <w:r>
        <w:t xml:space="preserve">”</w:t>
      </w:r>
      <w:r>
        <w:t xml:space="preserve"> </w:t>
      </w:r>
      <w:r>
        <w:t xml:space="preserve">while the support letter claims</w:t>
      </w:r>
      <w:r>
        <w:t xml:space="preserve"> </w:t>
      </w:r>
      <w:r>
        <w:t xml:space="preserve">“</w:t>
      </w:r>
      <w:r>
        <w:t xml:space="preserve">over 8 years of progressive experience.</w:t>
      </w:r>
      <w:r>
        <w:t xml:space="preserve">”</w:t>
      </w:r>
      <w:r>
        <w:t xml:space="preserve"> </w:t>
      </w:r>
      <w:r>
        <w:t xml:space="preserve">The figures are inconsistent with each other, and the support letter’s</w:t>
      </w:r>
      <w:r>
        <w:t xml:space="preserve"> </w:t>
      </w:r>
      <w:r>
        <w:t xml:space="preserve">“</w:t>
      </w:r>
      <w:r>
        <w:t xml:space="preserve">8 years</w:t>
      </w:r>
      <w:r>
        <w:t xml:space="preserve">”</w:t>
      </w:r>
      <w:r>
        <w:t xml:space="preserve"> </w:t>
      </w:r>
      <w:r>
        <w:t xml:space="preserve">conflates software development (Kiran) with machine learning engineering.</w:t>
      </w:r>
      <w:r>
        <w:t xml:space="preserve"> </w:t>
      </w:r>
      <w:r>
        <w:rPr>
          <w:i/>
          <w:iCs/>
        </w:rPr>
        <w:t xml:space="preserve">Risk: imprecision and inconsistency undermine credibility; state a precise, supportable figure.</w:t>
      </w:r>
    </w:p>
    <w:p>
      <w:pPr>
        <w:pStyle w:val="BodyText"/>
      </w:pPr>
      <w:r>
        <w:rPr>
          <w:b/>
          <w:bCs/>
        </w:rPr>
        <w:t xml:space="preserve">Issue 15 — Current Brightfield title (</w:t>
      </w:r>
      <w:r>
        <w:rPr>
          <w:b/>
          <w:bCs/>
        </w:rPr>
        <w:t xml:space="preserve">“</w:t>
      </w:r>
      <w:r>
        <w:rPr>
          <w:b/>
          <w:bCs/>
        </w:rPr>
        <w:t xml:space="preserve">Data Scientist</w:t>
      </w:r>
      <w:r>
        <w:rPr>
          <w:b/>
          <w:bCs/>
        </w:rPr>
        <w:t xml:space="preserve">”</w:t>
      </w:r>
      <w:r>
        <w:rPr>
          <w:b/>
          <w:bCs/>
        </w:rPr>
        <w:t xml:space="preserve">) differs from the petitioned title (</w:t>
      </w:r>
      <w:r>
        <w:rPr>
          <w:b/>
          <w:bCs/>
        </w:rPr>
        <w:t xml:space="preserve">“</w:t>
      </w:r>
      <w:r>
        <w:rPr>
          <w:b/>
          <w:bCs/>
        </w:rPr>
        <w:t xml:space="preserve">Senior Machine Learning Engineer</w:t>
      </w:r>
      <w:r>
        <w:rPr>
          <w:b/>
          <w:bCs/>
        </w:rPr>
        <w:t xml:space="preserve">”</w:t>
      </w:r>
      <w:r>
        <w:rPr>
          <w:b/>
          <w:bCs/>
        </w:rPr>
        <w:t xml:space="preserve">); the relationship is unexplained.</w:t>
      </w:r>
      <w:r>
        <w:t xml:space="preserve"> </w:t>
      </w:r>
      <w:r>
        <w:t xml:space="preserve">The resume lists the beneficiary’s current Brightfield position as</w:t>
      </w:r>
      <w:r>
        <w:t xml:space="preserve"> </w:t>
      </w:r>
      <w:r>
        <w:t xml:space="preserve">“</w:t>
      </w:r>
      <w:r>
        <w:t xml:space="preserve">Data Scientist</w:t>
      </w:r>
      <w:r>
        <w:t xml:space="preserve">”</w:t>
      </w:r>
      <w:r>
        <w:t xml:space="preserve"> </w:t>
      </w:r>
      <w:r>
        <w:t xml:space="preserve">(September 2023–present), but the petition is for</w:t>
      </w:r>
      <w:r>
        <w:t xml:space="preserve"> </w:t>
      </w:r>
      <w:r>
        <w:t xml:space="preserve">“</w:t>
      </w:r>
      <w:r>
        <w:t xml:space="preserve">Senior Machine Learning Engineer.</w:t>
      </w:r>
      <w:r>
        <w:t xml:space="preserve">”</w:t>
      </w:r>
      <w:r>
        <w:t xml:space="preserve"> </w:t>
      </w:r>
      <w:r>
        <w:t xml:space="preserve">The support letter (Section 4) describes current contributions but does not state whether the petitioned position is a promotion, a new role, or a reclassification, or whether the beneficiary currently performs the Senior ML Engineer duties (including leading/mentoring junior data scientists).</w:t>
      </w:r>
      <w:r>
        <w:t xml:space="preserve"> </w:t>
      </w:r>
      <w:r>
        <w:rPr>
          <w:i/>
          <w:iCs/>
        </w:rPr>
        <w:t xml:space="preserve">Risk: ambiguity about whether the</w:t>
      </w:r>
      <w:r>
        <w:rPr>
          <w:i/>
          <w:iCs/>
        </w:rPr>
        <w:t xml:space="preserve"> </w:t>
      </w:r>
      <w:r>
        <w:rPr>
          <w:i/>
          <w:iCs/>
        </w:rPr>
        <w:t xml:space="preserve">“</w:t>
      </w:r>
      <w:r>
        <w:rPr>
          <w:i/>
          <w:iCs/>
        </w:rPr>
        <w:t xml:space="preserve">Senior</w:t>
      </w:r>
      <w:r>
        <w:rPr>
          <w:i/>
          <w:iCs/>
        </w:rPr>
        <w:t xml:space="preserve">”</w:t>
      </w:r>
      <w:r>
        <w:rPr>
          <w:i/>
          <w:iCs/>
        </w:rPr>
        <w:t xml:space="preserve"> </w:t>
      </w:r>
      <w:r>
        <w:rPr>
          <w:i/>
          <w:iCs/>
        </w:rPr>
        <w:t xml:space="preserve">duties are prospective or already performed affects both the specialty-occupation analysis and the bona-fide-position inquiry.</w:t>
      </w:r>
    </w:p>
    <w:p>
      <w:pPr>
        <w:pStyle w:val="BodyText"/>
      </w:pPr>
      <w:r>
        <w:rPr>
          <w:b/>
          <w:bCs/>
        </w:rPr>
        <w:t xml:space="preserve">Issue 16 — No current employment verification letter from Brightfield.</w:t>
      </w:r>
      <w:r>
        <w:t xml:space="preserve"> </w:t>
      </w:r>
      <w:r>
        <w:t xml:space="preserve">The support letter serves simultaneously as position advocacy and as the only evidence of current employment; there is no separate employment-verification letter confirming the beneficiary’s current title, duties, salary, and exact start date.</w:t>
      </w:r>
      <w:r>
        <w:t xml:space="preserve"> </w:t>
      </w:r>
      <w:r>
        <w:rPr>
          <w:i/>
          <w:iCs/>
        </w:rPr>
        <w:t xml:space="preserve">Risk: USCIS may request independent confirmation of current employment and terms.</w:t>
      </w:r>
    </w:p>
    <w:p>
      <w:pPr>
        <w:pStyle w:val="BodyText"/>
      </w:pPr>
      <w:r>
        <w:rPr>
          <w:b/>
          <w:bCs/>
        </w:rPr>
        <w:t xml:space="preserve">Issue 17 — Experience letters are dated years after the employment ended.</w:t>
      </w:r>
      <w:r>
        <w:t xml:space="preserve"> </w:t>
      </w:r>
      <w:r>
        <w:t xml:space="preserve">The Kiran letter is dated February 18, 2025 for employment that ended December 9, 2016; the NovaStar letter is dated March 5, 2025 for employment that ended July 2020. While common for immigration letters, the multi-year delay may invite authentication scrutiny.</w:t>
      </w:r>
      <w:r>
        <w:t xml:space="preserve"> </w:t>
      </w:r>
      <w:r>
        <w:rPr>
          <w:i/>
          <w:iCs/>
        </w:rPr>
        <w:t xml:space="preserve">Risk: be prepared to authenticate; consider supplemental verification.</w:t>
      </w:r>
    </w:p>
    <w:p>
      <w:r>
        <w:pict>
          <v:rect style="width:0;height:1.5pt" o:hralign="center" o:hrstd="t" o:hr="t"/>
        </w:pict>
      </w:r>
    </w:p>
    <w:bookmarkEnd w:id="25"/>
    <w:bookmarkStart w:id="26" w:name="vi.-specialty-occupation-analysis"/>
    <w:p>
      <w:pPr>
        <w:pStyle w:val="Heading2"/>
      </w:pPr>
      <w:r>
        <w:t xml:space="preserve">VI. Specialty Occupation Analysis</w:t>
      </w:r>
    </w:p>
    <w:p>
      <w:pPr>
        <w:pStyle w:val="FirstParagraph"/>
      </w:pPr>
      <w:r>
        <w:rPr>
          <w:b/>
          <w:bCs/>
        </w:rPr>
        <w:t xml:space="preserve">Issue 18 — The</w:t>
      </w:r>
      <w:r>
        <w:rPr>
          <w:b/>
          <w:bCs/>
        </w:rPr>
        <w:t xml:space="preserve"> </w:t>
      </w:r>
      <w:r>
        <w:rPr>
          <w:b/>
          <w:bCs/>
        </w:rPr>
        <w:t xml:space="preserve">“</w:t>
      </w:r>
      <w:r>
        <w:rPr>
          <w:b/>
          <w:bCs/>
        </w:rPr>
        <w:t xml:space="preserve">industry standard</w:t>
      </w:r>
      <w:r>
        <w:rPr>
          <w:b/>
          <w:bCs/>
        </w:rPr>
        <w:t xml:space="preserve">”</w:t>
      </w:r>
      <w:r>
        <w:rPr>
          <w:b/>
          <w:bCs/>
        </w:rPr>
        <w:t xml:space="preserve"> </w:t>
      </w:r>
      <w:r>
        <w:rPr>
          <w:b/>
          <w:bCs/>
        </w:rPr>
        <w:t xml:space="preserve">assertion is conclusory and unsupported.</w:t>
      </w:r>
      <w:r>
        <w:t xml:space="preserve"> </w:t>
      </w:r>
      <w:r>
        <w:t xml:space="preserve">The support letter (Section 3) asserts that</w:t>
      </w:r>
      <w:r>
        <w:t xml:space="preserve"> </w:t>
      </w:r>
      <w:r>
        <w:t xml:space="preserve">“</w:t>
      </w:r>
      <w:r>
        <w:t xml:space="preserve">similar positions at peer companies … uniformly require equivalent educational backgrounds</w:t>
      </w:r>
      <w:r>
        <w:t xml:space="preserve">”</w:t>
      </w:r>
      <w:r>
        <w:t xml:space="preserve"> </w:t>
      </w:r>
      <w:r>
        <w:t xml:space="preserve">but provides no peer-company job postings, industry survey, or expert opinion.</w:t>
      </w:r>
      <w:r>
        <w:t xml:space="preserve"> </w:t>
      </w:r>
      <w:r>
        <w:rPr>
          <w:i/>
          <w:iCs/>
        </w:rPr>
        <w:t xml:space="preserve">Risk: USCIS routinely requests such evidence; the bare assertion is unlikely to suffice.</w:t>
      </w:r>
    </w:p>
    <w:p>
      <w:pPr>
        <w:pStyle w:val="BodyText"/>
      </w:pPr>
      <w:r>
        <w:t xml:space="preserve">**Issue 19 — No expert opinion letter or O*NET task analysis.** The package contains no expert letter tying the specific duties of</w:t>
      </w:r>
      <w:r>
        <w:t xml:space="preserve"> </w:t>
      </w:r>
      <w:r>
        <w:t xml:space="preserve">“</w:t>
      </w:r>
      <w:r>
        <w:t xml:space="preserve">Senior Machine Learning Engineer</w:t>
      </w:r>
      <w:r>
        <w:t xml:space="preserve">”</w:t>
      </w:r>
      <w:r>
        <w:t xml:space="preserve"> </w:t>
      </w:r>
      <w:r>
        <w:t xml:space="preserve">to a specialty occupation, and no O</w:t>
      </w:r>
      <w:r>
        <w:rPr>
          <w:i/>
          <w:iCs/>
        </w:rPr>
        <w:t xml:space="preserve">NET task analysis. Although SOC 15-2051 (Data Scientists) is generally treated as a specialty occupation, the custom title and duty mix would benefit from expert support.</w:t>
      </w:r>
      <w:r>
        <w:rPr>
          <w:i/>
          <w:iCs/>
        </w:rPr>
        <w:t xml:space="preserve"> </w:t>
      </w:r>
      <w:r>
        <w:t xml:space="preserve">Risk: weaker specialty-occupation record than advisable.*</w:t>
      </w:r>
    </w:p>
    <w:p>
      <w:pPr>
        <w:pStyle w:val="BodyText"/>
      </w:pPr>
      <w:r>
        <w:rPr>
          <w:b/>
          <w:bCs/>
        </w:rPr>
        <w:t xml:space="preserve">Issue 20 — Title-to-SOC pairing is defensible but notable.</w:t>
      </w:r>
      <w:r>
        <w:t xml:space="preserve"> </w:t>
      </w:r>
      <w:r>
        <w:t xml:space="preserve">The position is titled</w:t>
      </w:r>
      <w:r>
        <w:t xml:space="preserve"> </w:t>
      </w:r>
      <w:r>
        <w:t xml:space="preserve">“</w:t>
      </w:r>
      <w:r>
        <w:t xml:space="preserve">Senior Machine Learning Engineer</w:t>
      </w:r>
      <w:r>
        <w:t xml:space="preserve">”</w:t>
      </w:r>
      <w:r>
        <w:t xml:space="preserve"> </w:t>
      </w:r>
      <w:r>
        <w:t xml:space="preserve">but is mapped to SOC 15-2051 (Data Scientists). This is generally acceptable, but</w:t>
      </w:r>
      <w:r>
        <w:t xml:space="preserve"> </w:t>
      </w:r>
      <w:r>
        <w:t xml:space="preserve">“</w:t>
      </w:r>
      <w:r>
        <w:t xml:space="preserve">Machine Learning Engineer</w:t>
      </w:r>
      <w:r>
        <w:t xml:space="preserve">”</w:t>
      </w:r>
      <w:r>
        <w:t xml:space="preserve"> </w:t>
      </w:r>
      <w:r>
        <w:t xml:space="preserve">is sometimes mapped to 15-1221 (Software Developers).</w:t>
      </w:r>
      <w:r>
        <w:t xml:space="preserve"> </w:t>
      </w:r>
      <w:r>
        <w:rPr>
          <w:i/>
          <w:iCs/>
        </w:rPr>
        <w:t xml:space="preserve">Risk: minor; confirm the SOC selection is deliberate and consistent with the duty emphasis.</w:t>
      </w:r>
    </w:p>
    <w:p>
      <w:pPr>
        <w:pStyle w:val="BodyText"/>
      </w:pPr>
      <w:r>
        <w:rPr>
          <w:b/>
          <w:bCs/>
        </w:rPr>
        <w:t xml:space="preserve">Issue 21 — The</w:t>
      </w:r>
      <w:r>
        <w:rPr>
          <w:b/>
          <w:bCs/>
        </w:rPr>
        <w:t xml:space="preserve"> </w:t>
      </w:r>
      <w:r>
        <w:rPr>
          <w:b/>
          <w:bCs/>
        </w:rPr>
        <w:t xml:space="preserve">“</w:t>
      </w:r>
      <w:r>
        <w:rPr>
          <w:b/>
          <w:bCs/>
        </w:rPr>
        <w:t xml:space="preserve">any engineering + 5 years</w:t>
      </w:r>
      <w:r>
        <w:rPr>
          <w:b/>
          <w:bCs/>
        </w:rPr>
        <w:t xml:space="preserve">”</w:t>
      </w:r>
      <w:r>
        <w:rPr>
          <w:b/>
          <w:bCs/>
        </w:rPr>
        <w:t xml:space="preserve"> </w:t>
      </w:r>
      <w:r>
        <w:rPr>
          <w:b/>
          <w:bCs/>
        </w:rPr>
        <w:t xml:space="preserve">alternative undercuts the specific-specialty requirement.</w:t>
      </w:r>
      <w:r>
        <w:t xml:space="preserve"> </w:t>
      </w:r>
      <w:r>
        <w:t xml:space="preserve">As noted in Issue 8, an employer’s willingness to accept any engineering degree suggests the position does not require a degree in a specific academic specialty, which is one of the ways a specialty occupation is established.</w:t>
      </w:r>
      <w:r>
        <w:t xml:space="preserve"> </w:t>
      </w:r>
      <w:r>
        <w:rPr>
          <w:i/>
          <w:iCs/>
        </w:rPr>
        <w:t xml:space="preserve">Risk: the alternative, while helping the beneficiary qualify, weakens the specialty-occupation showing.</w:t>
      </w:r>
    </w:p>
    <w:p>
      <w:r>
        <w:pict>
          <v:rect style="width:0;height:1.5pt" o:hralign="center" o:hrstd="t" o:hr="t"/>
        </w:pict>
      </w:r>
    </w:p>
    <w:bookmarkEnd w:id="26"/>
    <w:bookmarkStart w:id="27" w:name="vii.-wage-prevailing-wage-and-wage-level"/>
    <w:p>
      <w:pPr>
        <w:pStyle w:val="Heading2"/>
      </w:pPr>
      <w:r>
        <w:t xml:space="preserve">VII. Wage, Prevailing Wage, and Wage Level</w:t>
      </w:r>
    </w:p>
    <w:p>
      <w:pPr>
        <w:pStyle w:val="FirstParagraph"/>
      </w:pPr>
      <w:r>
        <w:rPr>
          <w:b/>
          <w:bCs/>
        </w:rPr>
        <w:t xml:space="preserve">Issue 22 — Wage Level 2 appears understated for the position.</w:t>
      </w:r>
      <w:r>
        <w:t xml:space="preserve"> </w:t>
      </w:r>
      <w:r>
        <w:t xml:space="preserve">The PWD (Section 4) was requested and determined at Level 2, defined as workers who</w:t>
      </w:r>
      <w:r>
        <w:t xml:space="preserve"> </w:t>
      </w:r>
      <w:r>
        <w:t xml:space="preserve">“</w:t>
      </w:r>
      <w:r>
        <w:t xml:space="preserve">have attained a good understanding of the occupation and perform moderately complex tasks requiring limited judgment.</w:t>
      </w:r>
      <w:r>
        <w:t xml:space="preserve">”</w:t>
      </w:r>
      <w:r>
        <w:t xml:space="preserve"> </w:t>
      </w:r>
      <w:r>
        <w:t xml:space="preserve">The position, however, is titled</w:t>
      </w:r>
      <w:r>
        <w:t xml:space="preserve"> </w:t>
      </w:r>
      <w:r>
        <w:t xml:space="preserve">“</w:t>
      </w:r>
      <w:r>
        <w:t xml:space="preserve">Senior,</w:t>
      </w:r>
      <w:r>
        <w:t xml:space="preserve">”</w:t>
      </w:r>
      <w:r>
        <w:t xml:space="preserve"> </w:t>
      </w:r>
      <w:r>
        <w:t xml:space="preserve">requires a minimum of 3 years’ experience, includes a duty to</w:t>
      </w:r>
      <w:r>
        <w:t xml:space="preserve"> </w:t>
      </w:r>
      <w:r>
        <w:t xml:space="preserve">“</w:t>
      </w:r>
      <w:r>
        <w:t xml:space="preserve">lead and mentor a team of … data scientists</w:t>
      </w:r>
      <w:r>
        <w:t xml:space="preserve">”</w:t>
      </w:r>
      <w:r>
        <w:t xml:space="preserve"> </w:t>
      </w:r>
      <w:r>
        <w:t xml:space="preserve">(support letter Section 2), and per the support letter</w:t>
      </w:r>
      <w:r>
        <w:t xml:space="preserve"> </w:t>
      </w:r>
      <w:r>
        <w:t xml:space="preserve">“</w:t>
      </w:r>
      <w:r>
        <w:t xml:space="preserve">exercises independent judgment in the design and implementation of machine learning solutions</w:t>
      </w:r>
      <w:r>
        <w:t xml:space="preserve">”</w:t>
      </w:r>
      <w:r>
        <w:t xml:space="preserve"> </w:t>
      </w:r>
      <w:r>
        <w:t xml:space="preserve">and reports directly to the CTO. The DOL’s own definitions place roles involving independent judgment and supervisory responsibilities at</w:t>
      </w:r>
      <w:r>
        <w:t xml:space="preserve"> </w:t>
      </w:r>
      <w:r>
        <w:rPr>
          <w:b/>
          <w:bCs/>
        </w:rPr>
        <w:t xml:space="preserve">Level 3</w:t>
      </w:r>
      <w:r>
        <w:t xml:space="preserve"> </w:t>
      </w:r>
      <w:r>
        <w:t xml:space="preserve">(</w:t>
      </w:r>
      <w:r>
        <w:t xml:space="preserve">“</w:t>
      </w:r>
      <w:r>
        <w:t xml:space="preserve">may exercise independent judgment, and may have supervisory responsibilities</w:t>
      </w:r>
      <w:r>
        <w:t xml:space="preserve">”</w:t>
      </w:r>
      <w:r>
        <w:t xml:space="preserve">) or</w:t>
      </w:r>
      <w:r>
        <w:t xml:space="preserve"> </w:t>
      </w:r>
      <w:r>
        <w:rPr>
          <w:b/>
          <w:bCs/>
        </w:rPr>
        <w:t xml:space="preserve">Level 4</w:t>
      </w:r>
      <w:r>
        <w:t xml:space="preserve"> </w:t>
      </w:r>
      <w:r>
        <w:t xml:space="preserve">(</w:t>
      </w:r>
      <w:r>
        <w:t xml:space="preserve">“</w:t>
      </w:r>
      <w:r>
        <w:t xml:space="preserve">supervise and train other workers</w:t>
      </w:r>
      <w:r>
        <w:t xml:space="preserve">”</w:t>
      </w:r>
      <w:r>
        <w:t xml:space="preserve">).</w:t>
      </w:r>
      <w:r>
        <w:t xml:space="preserve"> </w:t>
      </w:r>
      <w:r>
        <w:rPr>
          <w:i/>
          <w:iCs/>
        </w:rPr>
        <w:t xml:space="preserve">Risk: the wage level appears inconsistent with the duties; DOL or USCIS may question it.</w:t>
      </w:r>
    </w:p>
    <w:p>
      <w:pPr>
        <w:pStyle w:val="BodyText"/>
      </w:pPr>
      <w:r>
        <w:rPr>
          <w:b/>
          <w:bCs/>
        </w:rPr>
        <w:t xml:space="preserve">Issue 23 — If Level 3 applies, the offered wage fails to meet the prevailing wage.</w:t>
      </w:r>
      <w:r>
        <w:t xml:space="preserve"> </w:t>
      </w:r>
      <w:r>
        <w:t xml:space="preserve">The PWD (Section 4) lists Level 3 at $137,946 and Level 4 at $162,157 for SOC 15-2051 in the Austin-Round Rock-Georgetown, TX MSA. The offered wage is $128,000, which exceeds Level 2 ($113,734) but is</w:t>
      </w:r>
      <w:r>
        <w:t xml:space="preserve"> </w:t>
      </w:r>
      <w:r>
        <w:rPr>
          <w:b/>
          <w:bCs/>
        </w:rPr>
        <w:t xml:space="preserve">below</w:t>
      </w:r>
      <w:r>
        <w:t xml:space="preserve"> </w:t>
      </w:r>
      <w:r>
        <w:t xml:space="preserve">Level 3 ($137,946). If the correct level is Level 3 or 4, the employer would not be meeting its prevailing-wage obligation under the LCA — a serious compliance failure.</w:t>
      </w:r>
      <w:r>
        <w:t xml:space="preserve"> </w:t>
      </w:r>
      <w:r>
        <w:rPr>
          <w:i/>
          <w:iCs/>
        </w:rPr>
        <w:t xml:space="preserve">Risk: wage noncompliance and potential back-wage liability.</w:t>
      </w:r>
    </w:p>
    <w:p>
      <w:pPr>
        <w:pStyle w:val="BodyText"/>
      </w:pPr>
      <w:r>
        <w:rPr>
          <w:b/>
          <w:bCs/>
        </w:rPr>
        <w:t xml:space="preserve">Issue 24 — The 3-year minimum experience requirement is modest for a</w:t>
      </w:r>
      <w:r>
        <w:rPr>
          <w:b/>
          <w:bCs/>
        </w:rPr>
        <w:t xml:space="preserve"> </w:t>
      </w:r>
      <w:r>
        <w:rPr>
          <w:b/>
          <w:bCs/>
        </w:rPr>
        <w:t xml:space="preserve">“</w:t>
      </w:r>
      <w:r>
        <w:rPr>
          <w:b/>
          <w:bCs/>
        </w:rPr>
        <w:t xml:space="preserve">Senior</w:t>
      </w:r>
      <w:r>
        <w:rPr>
          <w:b/>
          <w:bCs/>
        </w:rPr>
        <w:t xml:space="preserve">”</w:t>
      </w:r>
      <w:r>
        <w:rPr>
          <w:b/>
          <w:bCs/>
        </w:rPr>
        <w:t xml:space="preserve"> </w:t>
      </w:r>
      <w:r>
        <w:rPr>
          <w:b/>
          <w:bCs/>
        </w:rPr>
        <w:t xml:space="preserve">supervisory role.</w:t>
      </w:r>
      <w:r>
        <w:t xml:space="preserve"> </w:t>
      </w:r>
      <w:r>
        <w:t xml:space="preserve">Both the PWD (Section 3:</w:t>
      </w:r>
      <w:r>
        <w:t xml:space="preserve"> </w:t>
      </w:r>
      <w:r>
        <w:t xml:space="preserve">“</w:t>
      </w:r>
      <w:r>
        <w:t xml:space="preserve">36 months (3 years)</w:t>
      </w:r>
      <w:r>
        <w:t xml:space="preserve">”</w:t>
      </w:r>
      <w:r>
        <w:t xml:space="preserve">) and the support letter (Section 3) set the minimum at 3 years. A</w:t>
      </w:r>
      <w:r>
        <w:t xml:space="preserve"> </w:t>
      </w:r>
      <w:r>
        <w:t xml:space="preserve">“</w:t>
      </w:r>
      <w:r>
        <w:t xml:space="preserve">Senior</w:t>
      </w:r>
      <w:r>
        <w:t xml:space="preserve">”</w:t>
      </w:r>
      <w:r>
        <w:t xml:space="preserve"> </w:t>
      </w:r>
      <w:r>
        <w:t xml:space="preserve">position with team-leadership duties would typically command more experience, and the modest requirement is consistent with the (lower) Level 2 selection rather than Level 3/4.</w:t>
      </w:r>
      <w:r>
        <w:t xml:space="preserve"> </w:t>
      </w:r>
      <w:r>
        <w:rPr>
          <w:i/>
          <w:iCs/>
        </w:rPr>
        <w:t xml:space="preserve">Risk: reinforces the wage-level concern; consider whether the experience requirement and wage level are internally consistent with the</w:t>
      </w:r>
      <w:r>
        <w:rPr>
          <w:i/>
          <w:iCs/>
        </w:rPr>
        <w:t xml:space="preserve"> </w:t>
      </w:r>
      <w:r>
        <w:rPr>
          <w:i/>
          <w:iCs/>
        </w:rPr>
        <w:t xml:space="preserve">“</w:t>
      </w:r>
      <w:r>
        <w:rPr>
          <w:i/>
          <w:iCs/>
        </w:rPr>
        <w:t xml:space="preserve">Senior</w:t>
      </w:r>
      <w:r>
        <w:rPr>
          <w:i/>
          <w:iCs/>
        </w:rPr>
        <w:t xml:space="preserve">”</w:t>
      </w:r>
      <w:r>
        <w:rPr>
          <w:i/>
          <w:iCs/>
        </w:rPr>
        <w:t xml:space="preserve"> </w:t>
      </w:r>
      <w:r>
        <w:rPr>
          <w:i/>
          <w:iCs/>
        </w:rPr>
        <w:t xml:space="preserve">supervisory duties.</w:t>
      </w:r>
    </w:p>
    <w:p>
      <w:r>
        <w:pict>
          <v:rect style="width:0;height:1.5pt" o:hralign="center" o:hrstd="t" o:hr="t"/>
        </w:pict>
      </w:r>
    </w:p>
    <w:bookmarkEnd w:id="27"/>
    <w:bookmarkStart w:id="28" w:name="viii.-lca-compliance"/>
    <w:p>
      <w:pPr>
        <w:pStyle w:val="Heading2"/>
      </w:pPr>
      <w:r>
        <w:t xml:space="preserve">VIII. LCA Compliance</w:t>
      </w:r>
    </w:p>
    <w:p>
      <w:pPr>
        <w:pStyle w:val="FirstParagraph"/>
      </w:pPr>
      <w:r>
        <w:rPr>
          <w:b/>
          <w:bCs/>
        </w:rPr>
        <w:t xml:space="preserve">Issue 25 — The posting period was only 8 business days, short of the 10 required.</w:t>
      </w:r>
      <w:r>
        <w:t xml:space="preserve"> </w:t>
      </w:r>
      <w:r>
        <w:t xml:space="preserve">The LCA (Section J.2) and the posting notice state the notice was posted</w:t>
      </w:r>
      <w:r>
        <w:t xml:space="preserve"> </w:t>
      </w:r>
      <w:r>
        <w:t xml:space="preserve">“</w:t>
      </w:r>
      <w:r>
        <w:t xml:space="preserve">from March 10, 2025 through March 19, 2025.</w:t>
      </w:r>
      <w:r>
        <w:t xml:space="preserve">”</w:t>
      </w:r>
      <w:r>
        <w:t xml:space="preserve"> </w:t>
      </w:r>
      <w:r>
        <w:t xml:space="preserve">March 10, 2025 is a Monday and March 19, 2025 is a Wednesday; excluding the weekend of March 15–16, this span comprises</w:t>
      </w:r>
      <w:r>
        <w:t xml:space="preserve"> </w:t>
      </w:r>
      <w:r>
        <w:rPr>
          <w:b/>
          <w:bCs/>
        </w:rPr>
        <w:t xml:space="preserve">8 consecutive business days</w:t>
      </w:r>
      <w:r>
        <w:t xml:space="preserve">. 20 CFR § 655.734(b)(1)(ii) requires posting for at least</w:t>
      </w:r>
      <w:r>
        <w:t xml:space="preserve"> </w:t>
      </w:r>
      <w:r>
        <w:rPr>
          <w:b/>
          <w:bCs/>
        </w:rPr>
        <w:t xml:space="preserve">10 consecutive business days</w:t>
      </w:r>
      <w:r>
        <w:t xml:space="preserve">.</w:t>
      </w:r>
      <w:r>
        <w:t xml:space="preserve"> </w:t>
      </w:r>
      <w:r>
        <w:rPr>
          <w:i/>
          <w:iCs/>
        </w:rPr>
        <w:t xml:space="preserve">Risk: posting deficiency; the notice attestation in the LCA (K.4) may be inaccurate. Re-post for the full 10 business days or document compliance.</w:t>
      </w:r>
    </w:p>
    <w:p>
      <w:pPr>
        <w:pStyle w:val="BodyText"/>
      </w:pPr>
      <w:r>
        <w:rPr>
          <w:b/>
          <w:bCs/>
        </w:rPr>
        <w:t xml:space="preserve">Issue 26 — Only one of the two required posting locations is documented.</w:t>
      </w:r>
      <w:r>
        <w:t xml:space="preserve"> </w:t>
      </w:r>
      <w:r>
        <w:t xml:space="preserve">The posting notice states the notice</w:t>
      </w:r>
      <w:r>
        <w:t xml:space="preserve"> </w:t>
      </w:r>
      <w:r>
        <w:t xml:space="preserve">“</w:t>
      </w:r>
      <w:r>
        <w:t xml:space="preserve">is being posted in two conspicuous locations at the place of employment,</w:t>
      </w:r>
      <w:r>
        <w:t xml:space="preserve">”</w:t>
      </w:r>
      <w:r>
        <w:t xml:space="preserve"> </w:t>
      </w:r>
      <w:r>
        <w:t xml:space="preserve">but the LCA (Section J.3) identifies only a single location:</w:t>
      </w:r>
      <w:r>
        <w:t xml:space="preserve"> </w:t>
      </w:r>
      <w:r>
        <w:t xml:space="preserve">“</w:t>
      </w:r>
      <w:r>
        <w:t xml:space="preserve">4200 Congress Avenue, Suite 1100, Austin, TX 78701 — Employee common area / break room, first floor.</w:t>
      </w:r>
      <w:r>
        <w:t xml:space="preserve">”</w:t>
      </w:r>
      <w:r>
        <w:t xml:space="preserve"> </w:t>
      </w:r>
      <w:r>
        <w:t xml:space="preserve">The second location is not identified anywhere in the package. 20 CFR § 655.734(b)(1)(i) requires notice at</w:t>
      </w:r>
      <w:r>
        <w:t xml:space="preserve"> </w:t>
      </w:r>
      <w:r>
        <w:t xml:space="preserve">“</w:t>
      </w:r>
      <w:r>
        <w:t xml:space="preserve">at least two conspicuous locations.</w:t>
      </w:r>
      <w:r>
        <w:t xml:space="preserve">”</w:t>
      </w:r>
      <w:r>
        <w:t xml:space="preserve"> </w:t>
      </w:r>
      <w:r>
        <w:rPr>
          <w:i/>
          <w:iCs/>
        </w:rPr>
        <w:t xml:space="preserve">Risk: the second location is undocumented; identify and evidence both posting locations.</w:t>
      </w:r>
    </w:p>
    <w:p>
      <w:pPr>
        <w:pStyle w:val="BodyText"/>
      </w:pPr>
      <w:r>
        <w:rPr>
          <w:b/>
          <w:bCs/>
        </w:rPr>
        <w:t xml:space="preserve">Issue 27 — The LCA appears to have been filed/certified outside the 6-month window.</w:t>
      </w:r>
      <w:r>
        <w:t xml:space="preserve"> </w:t>
      </w:r>
      <w:r>
        <w:t xml:space="preserve">The LCA was certified March 10, 2025 (Section M.1) and the posting notice lists the</w:t>
      </w:r>
      <w:r>
        <w:t xml:space="preserve"> </w:t>
      </w:r>
      <w:r>
        <w:t xml:space="preserve">“</w:t>
      </w:r>
      <w:r>
        <w:t xml:space="preserve">Date of LCA Filing</w:t>
      </w:r>
      <w:r>
        <w:t xml:space="preserve">”</w:t>
      </w:r>
      <w:r>
        <w:t xml:space="preserve"> </w:t>
      </w:r>
      <w:r>
        <w:t xml:space="preserve">as March 10, 2025, for a period of employment beginning</w:t>
      </w:r>
      <w:r>
        <w:t xml:space="preserve"> </w:t>
      </w:r>
      <w:r>
        <w:rPr>
          <w:b/>
          <w:bCs/>
        </w:rPr>
        <w:t xml:space="preserve">October 1, 2025</w:t>
      </w:r>
      <w:r>
        <w:t xml:space="preserve">. March 10, 2025 is approximately 6 months and 3 weeks (205 days) before the start date; six months before October 1, 2025 is April 1, 2025. 20 CFR § 655.730(b) provides that an employer may not file an LCA more than 6 months before the beginning of the period of intended employment.</w:t>
      </w:r>
      <w:r>
        <w:t xml:space="preserve"> </w:t>
      </w:r>
      <w:r>
        <w:rPr>
          <w:i/>
          <w:iCs/>
        </w:rPr>
        <w:t xml:space="preserve">Risk: the dates appear to exceed the 6-month limit; verify the actual FLAG-system filing date and confirm compliance, or correct the period-of-employment dates.</w:t>
      </w:r>
    </w:p>
    <w:p>
      <w:pPr>
        <w:pStyle w:val="BodyText"/>
      </w:pPr>
      <w:r>
        <w:rPr>
          <w:b/>
          <w:bCs/>
        </w:rPr>
        <w:t xml:space="preserve">Issue 28 — PWD validity expires well before the employment period ends.</w:t>
      </w:r>
      <w:r>
        <w:t xml:space="preserve"> </w:t>
      </w:r>
      <w:r>
        <w:t xml:space="preserve">The PWD is valid January 15, 2025 – January 14, 2026 (PWD Section 1), while the employment period runs through September 30, 2028. The PWD was valid at LCA filing (March 10, 2025), so filing is unaffected; however, for the duration of employment the employer must continue to pay at least the prevailing wage and must monitor any subsequently issued prevailing wage, paying the higher of the actual or prevailing wage.</w:t>
      </w:r>
      <w:r>
        <w:t xml:space="preserve"> </w:t>
      </w:r>
      <w:r>
        <w:rPr>
          <w:i/>
          <w:iCs/>
        </w:rPr>
        <w:t xml:space="preserve">Risk: ongoing compliance note; calendar the PWD expiration and any redetermination.</w:t>
      </w:r>
    </w:p>
    <w:p>
      <w:r>
        <w:pict>
          <v:rect style="width:0;height:1.5pt" o:hralign="center" o:hrstd="t" o:hr="t"/>
        </w:pict>
      </w:r>
    </w:p>
    <w:bookmarkEnd w:id="28"/>
    <w:bookmarkStart w:id="29" w:name="Xe0d8d65c9d5fa00da9277f70ef9d60d838c4fc1"/>
    <w:p>
      <w:pPr>
        <w:pStyle w:val="Heading2"/>
      </w:pPr>
      <w:r>
        <w:t xml:space="preserve">IX. Internal Inconsistencies and Cross-Document Discrepancies</w:t>
      </w:r>
    </w:p>
    <w:p>
      <w:pPr>
        <w:pStyle w:val="FirstParagraph"/>
      </w:pPr>
      <w:r>
        <w:rPr>
          <w:b/>
          <w:bCs/>
        </w:rPr>
        <w:t xml:space="preserve">Issue 29 — Number of direct reports is inconsistent.</w:t>
      </w:r>
      <w:r>
        <w:t xml:space="preserve"> </w:t>
      </w:r>
      <w:r>
        <w:t xml:space="preserve">The support letter (Section 2, duty 4) states the Senior ML Engineer will</w:t>
      </w:r>
      <w:r>
        <w:t xml:space="preserve"> </w:t>
      </w:r>
      <w:r>
        <w:t xml:space="preserve">“</w:t>
      </w:r>
      <w:r>
        <w:t xml:space="preserve">lead and mentor a team of 3 junior data scientists,</w:t>
      </w:r>
      <w:r>
        <w:t xml:space="preserve">”</w:t>
      </w:r>
      <w:r>
        <w:t xml:space="preserve"> </w:t>
      </w:r>
      <w:r>
        <w:t xml:space="preserve">but the organizational chart shows only</w:t>
      </w:r>
      <w:r>
        <w:t xml:space="preserve"> </w:t>
      </w:r>
      <w:r>
        <w:rPr>
          <w:b/>
          <w:bCs/>
        </w:rPr>
        <w:t xml:space="preserve">2</w:t>
      </w:r>
      <w:r>
        <w:t xml:space="preserve"> </w:t>
      </w:r>
      <w:r>
        <w:t xml:space="preserve">Data Scientist direct reports (Level 4).</w:t>
      </w:r>
      <w:r>
        <w:t xml:space="preserve"> </w:t>
      </w:r>
      <w:r>
        <w:rPr>
          <w:i/>
          <w:iCs/>
        </w:rPr>
        <w:t xml:space="preserve">Risk: internal inconsistency affecting the credibility of the supervisory duty description, the specialty-occupation showing, and the wage-level analysis (Issues 22–24).</w:t>
      </w:r>
    </w:p>
    <w:p>
      <w:pPr>
        <w:pStyle w:val="BodyText"/>
      </w:pPr>
      <w:r>
        <w:rPr>
          <w:b/>
          <w:bCs/>
        </w:rPr>
        <w:t xml:space="preserve">Issue 30 — Employer/contact telephone number is inconsistent across documents.</w:t>
      </w:r>
      <w:r>
        <w:t xml:space="preserve"> </w:t>
      </w:r>
      <w:r>
        <w:t xml:space="preserve">The number appears as (512) 555-0142 (LCA Sections C.4 and D.4), (512) 555-0187 (PWD Section 2), (512) 555-0174 (posting notice), and (512) 555-0194 (support letter contact line). Four different numbers are used for the employer/point of contact.</w:t>
      </w:r>
      <w:r>
        <w:t xml:space="preserve"> </w:t>
      </w:r>
      <w:r>
        <w:rPr>
          <w:i/>
          <w:iCs/>
        </w:rPr>
        <w:t xml:space="preserve">Risk: reconcile to a single, correct number; inconsistencies in basic employer data invite scrutiny.</w:t>
      </w:r>
    </w:p>
    <w:p>
      <w:pPr>
        <w:pStyle w:val="BodyText"/>
      </w:pPr>
      <w:r>
        <w:rPr>
          <w:b/>
          <w:bCs/>
        </w:rPr>
        <w:t xml:space="preserve">Issue 31 — The posting-notice telephone number matches the beneficiary’s personal number.</w:t>
      </w:r>
      <w:r>
        <w:t xml:space="preserve"> </w:t>
      </w:r>
      <w:r>
        <w:t xml:space="preserve">The posting notice lists the employer telephone as (512) 555-0174, which is the same number listed as the beneficiary’s personal telephone on the resume.</w:t>
      </w:r>
      <w:r>
        <w:t xml:space="preserve"> </w:t>
      </w:r>
      <w:r>
        <w:rPr>
          <w:i/>
          <w:iCs/>
        </w:rPr>
        <w:t xml:space="preserve">Risk: suggests the posting notice may have been prepared with the beneficiary’s contact information rather than the employer’s; correct and verify authenticity.</w:t>
      </w:r>
    </w:p>
    <w:p>
      <w:pPr>
        <w:pStyle w:val="BodyText"/>
      </w:pPr>
      <w:r>
        <w:rPr>
          <w:b/>
          <w:bCs/>
        </w:rPr>
        <w:t xml:space="preserve">Issue 32 — Revenue-figure year is ambiguous.</w:t>
      </w:r>
      <w:r>
        <w:t xml:space="preserve"> </w:t>
      </w:r>
      <w:r>
        <w:t xml:space="preserve">The LCA (Section C.9) reports</w:t>
      </w:r>
      <w:r>
        <w:t xml:space="preserve"> </w:t>
      </w:r>
      <w:r>
        <w:t xml:space="preserve">“</w:t>
      </w:r>
      <w:r>
        <w:t xml:space="preserve">Gross Annual Revenue: $41,200,000</w:t>
      </w:r>
      <w:r>
        <w:t xml:space="preserve">”</w:t>
      </w:r>
      <w:r>
        <w:t xml:space="preserve"> </w:t>
      </w:r>
      <w:r>
        <w:t xml:space="preserve">without a year, while the support letter (Section 1) attributes $41.2 million to</w:t>
      </w:r>
      <w:r>
        <w:t xml:space="preserve"> </w:t>
      </w:r>
      <w:r>
        <w:t xml:space="preserve">“</w:t>
      </w:r>
      <w:r>
        <w:t xml:space="preserve">fiscal year 2023.</w:t>
      </w:r>
      <w:r>
        <w:t xml:space="preserve">”</w:t>
      </w:r>
      <w:r>
        <w:t xml:space="preserve"> </w:t>
      </w:r>
      <w:r>
        <w:t xml:space="preserve">If the LCA was prepared in early 2025, the most recent completed fiscal year would ordinarily be FY2024.</w:t>
      </w:r>
      <w:r>
        <w:t xml:space="preserve"> </w:t>
      </w:r>
      <w:r>
        <w:rPr>
          <w:i/>
          <w:iCs/>
        </w:rPr>
        <w:t xml:space="preserve">Risk: clarify which fiscal year the figure represents and ensure consistency with any ability-to-pay evidence.</w:t>
      </w:r>
    </w:p>
    <w:p>
      <w:pPr>
        <w:pStyle w:val="BodyText"/>
      </w:pPr>
      <w:r>
        <w:rPr>
          <w:b/>
          <w:bCs/>
        </w:rPr>
        <w:t xml:space="preserve">Issue 33 — Job-duty descriptions differ in detail and in team-size reference across documents.</w:t>
      </w:r>
      <w:r>
        <w:t xml:space="preserve"> </w:t>
      </w:r>
      <w:r>
        <w:t xml:space="preserve">The LCA (G.5), the PWD (Section 3, job-duties summary), and the support letter (Section 2) describe the duties at different levels of detail (the PWD summary is abbreviated), and the</w:t>
      </w:r>
      <w:r>
        <w:t xml:space="preserve"> </w:t>
      </w:r>
      <w:r>
        <w:t xml:space="preserve">“</w:t>
      </w:r>
      <w:r>
        <w:t xml:space="preserve">lead a team of data scientists</w:t>
      </w:r>
      <w:r>
        <w:t xml:space="preserve">”</w:t>
      </w:r>
      <w:r>
        <w:t xml:space="preserve"> </w:t>
      </w:r>
      <w:r>
        <w:t xml:space="preserve">reference does not specify a number in the LCA/PWD, states</w:t>
      </w:r>
      <w:r>
        <w:t xml:space="preserve"> </w:t>
      </w:r>
      <w:r>
        <w:t xml:space="preserve">“</w:t>
      </w:r>
      <w:r>
        <w:t xml:space="preserve">3</w:t>
      </w:r>
      <w:r>
        <w:t xml:space="preserve">”</w:t>
      </w:r>
      <w:r>
        <w:t xml:space="preserve"> </w:t>
      </w:r>
      <w:r>
        <w:t xml:space="preserve">in the support letter, and is reflected as</w:t>
      </w:r>
      <w:r>
        <w:t xml:space="preserve"> </w:t>
      </w:r>
      <w:r>
        <w:t xml:space="preserve">“</w:t>
      </w:r>
      <w:r>
        <w:t xml:space="preserve">2</w:t>
      </w:r>
      <w:r>
        <w:t xml:space="preserve">”</w:t>
      </w:r>
      <w:r>
        <w:t xml:space="preserve"> </w:t>
      </w:r>
      <w:r>
        <w:t xml:space="preserve">in the org chart (Issue 29).</w:t>
      </w:r>
      <w:r>
        <w:t xml:space="preserve"> </w:t>
      </w:r>
      <w:r>
        <w:rPr>
          <w:i/>
          <w:iCs/>
        </w:rPr>
        <w:t xml:space="preserve">Risk: align all duty descriptions and the team size across the LCA, PWD, support letter, and org chart.</w:t>
      </w:r>
    </w:p>
    <w:p>
      <w:r>
        <w:pict>
          <v:rect style="width:0;height:1.5pt" o:hralign="center" o:hrstd="t" o:hr="t"/>
        </w:pict>
      </w:r>
    </w:p>
    <w:bookmarkEnd w:id="29"/>
    <w:bookmarkStart w:id="30" w:name="x.-immigration-status-and-f-1-opt"/>
    <w:p>
      <w:pPr>
        <w:pStyle w:val="Heading2"/>
      </w:pPr>
      <w:r>
        <w:t xml:space="preserve">X. Immigration Status and F-1 OPT</w:t>
      </w:r>
    </w:p>
    <w:p>
      <w:pPr>
        <w:pStyle w:val="FirstParagraph"/>
      </w:pPr>
      <w:r>
        <w:rPr>
          <w:b/>
          <w:bCs/>
        </w:rPr>
        <w:t xml:space="preserve">Issue 34 — The F-1 OPT status claim is inconsistent with the education record.</w:t>
      </w:r>
      <w:r>
        <w:t xml:space="preserve"> </w:t>
      </w:r>
      <w:r>
        <w:t xml:space="preserve">The support letter (Section 4) states the beneficiary</w:t>
      </w:r>
      <w:r>
        <w:t xml:space="preserve"> </w:t>
      </w:r>
      <w:r>
        <w:t xml:space="preserve">“</w:t>
      </w:r>
      <w:r>
        <w:t xml:space="preserve">is currently maintaining valid F-1 Optional Practical Training (OPT) status.</w:t>
      </w:r>
      <w:r>
        <w:t xml:space="preserve">”</w:t>
      </w:r>
      <w:r>
        <w:t xml:space="preserve"> </w:t>
      </w:r>
      <w:r>
        <w:t xml:space="preserve">F-1 post-completion OPT is available only to students who have completed a program of study at a U.S. SEVP-certified institution. The only degree in the record is the B.Tech from JNTU Hyderabad, India (conferred May 2014). The package contains no I-20, EAD, F-1 visa, or I-94. Either an undisclosed U.S. degree exists or the F-1 OPT statement is inaccurate.</w:t>
      </w:r>
      <w:r>
        <w:t xml:space="preserve"> </w:t>
      </w:r>
      <w:r>
        <w:rPr>
          <w:i/>
          <w:iCs/>
        </w:rPr>
        <w:t xml:space="preserve">Risk: material inconsistency; resolve before filing.</w:t>
      </w:r>
    </w:p>
    <w:p>
      <w:pPr>
        <w:pStyle w:val="BodyText"/>
      </w:pPr>
      <w:r>
        <w:rPr>
          <w:b/>
          <w:bCs/>
        </w:rPr>
        <w:t xml:space="preserve">Issue 35 — Any undisclosed U.S. degree may be the qualifying degree and could resolve the field-of-study issue.</w:t>
      </w:r>
      <w:r>
        <w:t xml:space="preserve"> </w:t>
      </w:r>
      <w:r>
        <w:t xml:space="preserve">If the beneficiary holds a U.S. degree (e.g., a master’s in computer science, data science, or ML) that supports the F-1 OPT claim, that degree is likely the most relevant qualification for the Senior ML Engineer position and could cure the field-of-study gap (Issues 1–6). Its omission is a critical evidentiary gap.</w:t>
      </w:r>
      <w:r>
        <w:t xml:space="preserve"> </w:t>
      </w:r>
      <w:r>
        <w:rPr>
          <w:i/>
          <w:iCs/>
        </w:rPr>
        <w:t xml:space="preserve">Risk: the strongest qualifying evidence may be missing from the package.</w:t>
      </w:r>
    </w:p>
    <w:p>
      <w:pPr>
        <w:pStyle w:val="BodyText"/>
      </w:pPr>
      <w:r>
        <w:rPr>
          <w:b/>
          <w:bCs/>
        </w:rPr>
        <w:t xml:space="preserve">Issue 36 — Possible unauthorized-employment concern during the self-employment period.</w:t>
      </w:r>
      <w:r>
        <w:t xml:space="preserve"> </w:t>
      </w:r>
      <w:r>
        <w:t xml:space="preserve">The</w:t>
      </w:r>
      <w:r>
        <w:t xml:space="preserve"> </w:t>
      </w:r>
      <w:r>
        <w:t xml:space="preserve">“</w:t>
      </w:r>
      <w:r>
        <w:t xml:space="preserve">Independent Machine Learning Consultant</w:t>
      </w:r>
      <w:r>
        <w:t xml:space="preserve">”</w:t>
      </w:r>
      <w:r>
        <w:t xml:space="preserve"> </w:t>
      </w:r>
      <w:r>
        <w:t xml:space="preserve">period (August 2020 – August 2023) is listed as</w:t>
      </w:r>
      <w:r>
        <w:t xml:space="preserve"> </w:t>
      </w:r>
      <w:r>
        <w:t xml:space="preserve">“</w:t>
      </w:r>
      <w:r>
        <w:t xml:space="preserve">Austin, TX / Remote.</w:t>
      </w:r>
      <w:r>
        <w:t xml:space="preserve">”</w:t>
      </w:r>
      <w:r>
        <w:t xml:space="preserve"> </w:t>
      </w:r>
      <w:r>
        <w:t xml:space="preserve">If the beneficiary was enrolled in a U.S. F-1 program during any part of that period, the independent consulting may constitute unauthorized off-campus employment in violation of F-1 status, which would raise serious admissibility and status issues.</w:t>
      </w:r>
      <w:r>
        <w:t xml:space="preserve"> </w:t>
      </w:r>
      <w:r>
        <w:rPr>
          <w:i/>
          <w:iCs/>
        </w:rPr>
        <w:t xml:space="preserve">Risk: clarify the complete immigration and education timeline; this is a potential status-violation flag, not a concluded fact.</w:t>
      </w:r>
    </w:p>
    <w:p>
      <w:pPr>
        <w:pStyle w:val="BodyText"/>
      </w:pPr>
      <w:r>
        <w:rPr>
          <w:b/>
          <w:bCs/>
        </w:rPr>
        <w:t xml:space="preserve">Issue 37 — No immigration-status history is documented for 2017–present.</w:t>
      </w:r>
      <w:r>
        <w:t xml:space="preserve"> </w:t>
      </w:r>
      <w:r>
        <w:t xml:space="preserve">The package does not address the beneficiary’s status during the NovaStar employment in Dallas (April 2017 – July 2020), the consulting period, or the current Brightfield employment beyond the bare F-1 OPT statement. Prior lawful status is relevant to a change of status and to admissibility.</w:t>
      </w:r>
      <w:r>
        <w:t xml:space="preserve"> </w:t>
      </w:r>
      <w:r>
        <w:rPr>
          <w:i/>
          <w:iCs/>
        </w:rPr>
        <w:t xml:space="preserve">Risk: document the full status history.</w:t>
      </w:r>
    </w:p>
    <w:p>
      <w:pPr>
        <w:pStyle w:val="BodyText"/>
      </w:pPr>
      <w:r>
        <w:rPr>
          <w:b/>
          <w:bCs/>
        </w:rPr>
        <w:t xml:space="preserve">Issue 38 — No cap-gap analysis and no cap-selection evidence.</w:t>
      </w:r>
      <w:r>
        <w:t xml:space="preserve"> </w:t>
      </w:r>
      <w:r>
        <w:t xml:space="preserve">A cap-subject petition with an October 1, 2025 start date and an F-1 OPT beneficiary implicates the cap-gap extension, which requires that F-1 status and work authorization be valid at filing and that the petition be selected in the cap. The package contains no cap registration/selection notice and does not address the beneficiary’s OPT expiration or cap-gap eligibility.</w:t>
      </w:r>
      <w:r>
        <w:t xml:space="preserve"> </w:t>
      </w:r>
      <w:r>
        <w:rPr>
          <w:i/>
          <w:iCs/>
        </w:rPr>
        <w:t xml:space="preserve">Risk: missing cap evidence and unaddressed cap-gap timing.</w:t>
      </w:r>
    </w:p>
    <w:p>
      <w:r>
        <w:pict>
          <v:rect style="width:0;height:1.5pt" o:hralign="center" o:hrstd="t" o:hr="t"/>
        </w:pict>
      </w:r>
    </w:p>
    <w:bookmarkEnd w:id="30"/>
    <w:bookmarkStart w:id="31" w:name="X93076e807cd2cee752161e61dbfdc597637a192"/>
    <w:p>
      <w:pPr>
        <w:pStyle w:val="Heading2"/>
      </w:pPr>
      <w:r>
        <w:t xml:space="preserve">XI. Missing Documentation and Evidentiary Gaps</w:t>
      </w:r>
    </w:p>
    <w:p>
      <w:pPr>
        <w:pStyle w:val="FirstParagraph"/>
      </w:pPr>
      <w:r>
        <w:rPr>
          <w:b/>
          <w:bCs/>
        </w:rPr>
        <w:t xml:space="preserve">Issue 39 — No Form I-129 or supplements.</w:t>
      </w:r>
      <w:r>
        <w:t xml:space="preserve"> </w:t>
      </w:r>
      <w:r>
        <w:t xml:space="preserve">The package does not include Form I-129, the H Classification Supplement, or the Data Collection Supplement.</w:t>
      </w:r>
      <w:r>
        <w:t xml:space="preserve"> </w:t>
      </w:r>
      <w:r>
        <w:rPr>
          <w:i/>
          <w:iCs/>
        </w:rPr>
        <w:t xml:space="preserve">Risk: confirm these are prepared and that the data entered is consistent with the LCA and support letter.</w:t>
      </w:r>
    </w:p>
    <w:p>
      <w:pPr>
        <w:pStyle w:val="BodyText"/>
      </w:pPr>
      <w:r>
        <w:rPr>
          <w:b/>
          <w:bCs/>
        </w:rPr>
        <w:t xml:space="preserve">Issue 40 — No cap registration/selection notice.</w:t>
      </w:r>
      <w:r>
        <w:t xml:space="preserve"> </w:t>
      </w:r>
      <w:r>
        <w:t xml:space="preserve">No FY2026 cap selection notice is included.</w:t>
      </w:r>
      <w:r>
        <w:t xml:space="preserve"> </w:t>
      </w:r>
      <w:r>
        <w:rPr>
          <w:i/>
          <w:iCs/>
        </w:rPr>
        <w:t xml:space="preserve">Risk: required to establish cap-subject eligibility and the October 1 start date.</w:t>
      </w:r>
    </w:p>
    <w:p>
      <w:pPr>
        <w:pStyle w:val="BodyText"/>
      </w:pPr>
      <w:r>
        <w:rPr>
          <w:b/>
          <w:bCs/>
        </w:rPr>
        <w:t xml:space="preserve">Issue 41 — No beneficiary identity or status documents.</w:t>
      </w:r>
      <w:r>
        <w:t xml:space="preserve"> </w:t>
      </w:r>
      <w:r>
        <w:t xml:space="preserve">No passport copy, I-94, F-1 visa, I-20, or EAD is included.</w:t>
      </w:r>
      <w:r>
        <w:t xml:space="preserve"> </w:t>
      </w:r>
      <w:r>
        <w:rPr>
          <w:i/>
          <w:iCs/>
        </w:rPr>
        <w:t xml:space="preserve">Risk: required for identity, change of status, and cap-gap.</w:t>
      </w:r>
    </w:p>
    <w:p>
      <w:pPr>
        <w:pStyle w:val="BodyText"/>
      </w:pPr>
      <w:r>
        <w:rPr>
          <w:b/>
          <w:bCs/>
        </w:rPr>
        <w:t xml:space="preserve">Issue 42 — No copy of the B.Tech degree certificate.</w:t>
      </w:r>
      <w:r>
        <w:t xml:space="preserve"> </w:t>
      </w:r>
      <w:r>
        <w:t xml:space="preserve">The credential evaluation (Section 2) states it reviewed the</w:t>
      </w:r>
      <w:r>
        <w:t xml:space="preserve"> </w:t>
      </w:r>
      <w:r>
        <w:t xml:space="preserve">“</w:t>
      </w:r>
      <w:r>
        <w:t xml:space="preserve">Original B.Tech degree certificate (Diploma) issued by JNTU Hyderabad,</w:t>
      </w:r>
      <w:r>
        <w:t xml:space="preserve">”</w:t>
      </w:r>
      <w:r>
        <w:t xml:space="preserve"> </w:t>
      </w:r>
      <w:r>
        <w:t xml:space="preserve">but the package contains only the transcript and the evaluation — not a copy of the degree certificate itself.</w:t>
      </w:r>
      <w:r>
        <w:t xml:space="preserve"> </w:t>
      </w:r>
      <w:r>
        <w:rPr>
          <w:i/>
          <w:iCs/>
        </w:rPr>
        <w:t xml:space="preserve">Risk: USCIS expects a copy of the degree certificate; include it.</w:t>
      </w:r>
    </w:p>
    <w:p>
      <w:pPr>
        <w:pStyle w:val="BodyText"/>
      </w:pPr>
      <w:r>
        <w:rPr>
          <w:b/>
          <w:bCs/>
        </w:rPr>
        <w:t xml:space="preserve">Issue 43 — No financial ability-to-pay evidence.</w:t>
      </w:r>
      <w:r>
        <w:t xml:space="preserve"> </w:t>
      </w:r>
      <w:r>
        <w:t xml:space="preserve">The support letter (Sections 1, 5) asserts financial capacity based on $41.2 million revenue and 187 employees, but the package includes no tax returns, financial statements, or annual report, and provides only FY2023 figures (no FY2024).</w:t>
      </w:r>
      <w:r>
        <w:t xml:space="preserve"> </w:t>
      </w:r>
      <w:r>
        <w:rPr>
          <w:i/>
          <w:iCs/>
        </w:rPr>
        <w:t xml:space="preserve">Risk: a conclusory ability-to-pay statement is often insufficient; submit financial evidence covering the relevant years.</w:t>
      </w:r>
    </w:p>
    <w:p>
      <w:pPr>
        <w:pStyle w:val="BodyText"/>
      </w:pPr>
      <w:r>
        <w:rPr>
          <w:b/>
          <w:bCs/>
        </w:rPr>
        <w:t xml:space="preserve">Issue 44 — No expert opinion letter.</w:t>
      </w:r>
      <w:r>
        <w:t xml:space="preserve"> </w:t>
      </w:r>
      <w:r>
        <w:t xml:space="preserve">No expert letter addresses specialty occupation or field-of-study suitability.</w:t>
      </w:r>
      <w:r>
        <w:t xml:space="preserve"> </w:t>
      </w:r>
      <w:r>
        <w:rPr>
          <w:i/>
          <w:iCs/>
        </w:rPr>
        <w:t xml:space="preserve">Risk: see Issues 2, 6, 18, 19.</w:t>
      </w:r>
    </w:p>
    <w:p>
      <w:pPr>
        <w:pStyle w:val="BodyText"/>
      </w:pPr>
      <w:r>
        <w:rPr>
          <w:b/>
          <w:bCs/>
        </w:rPr>
        <w:t xml:space="preserve">Issue 45 — No peer-company job postings or industry evidence.</w:t>
      </w:r>
      <w:r>
        <w:t xml:space="preserve"> </w:t>
      </w:r>
      <w:r>
        <w:t xml:space="preserve">No supporting evidence for the</w:t>
      </w:r>
      <w:r>
        <w:t xml:space="preserve"> </w:t>
      </w:r>
      <w:r>
        <w:t xml:space="preserve">“</w:t>
      </w:r>
      <w:r>
        <w:t xml:space="preserve">industry standard</w:t>
      </w:r>
      <w:r>
        <w:t xml:space="preserve">”</w:t>
      </w:r>
      <w:r>
        <w:t xml:space="preserve"> </w:t>
      </w:r>
      <w:r>
        <w:t xml:space="preserve">assertion.</w:t>
      </w:r>
      <w:r>
        <w:t xml:space="preserve"> </w:t>
      </w:r>
      <w:r>
        <w:rPr>
          <w:i/>
          <w:iCs/>
        </w:rPr>
        <w:t xml:space="preserve">Risk: see Issue 18.</w:t>
      </w:r>
    </w:p>
    <w:p>
      <w:pPr>
        <w:pStyle w:val="BodyText"/>
      </w:pPr>
      <w:r>
        <w:rPr>
          <w:b/>
          <w:bCs/>
        </w:rPr>
        <w:t xml:space="preserve">Issue 46 — No documentation for the independent-consulting period.</w:t>
      </w:r>
      <w:r>
        <w:t xml:space="preserve"> </w:t>
      </w:r>
      <w:r>
        <w:rPr>
          <w:i/>
          <w:iCs/>
        </w:rPr>
        <w:t xml:space="preserve">Risk: see Issue 12.</w:t>
      </w:r>
    </w:p>
    <w:p>
      <w:pPr>
        <w:pStyle w:val="BodyText"/>
      </w:pPr>
      <w:r>
        <w:rPr>
          <w:b/>
          <w:bCs/>
        </w:rPr>
        <w:t xml:space="preserve">Issue 47 — No current Brightfield employment verification letter.</w:t>
      </w:r>
      <w:r>
        <w:t xml:space="preserve"> </w:t>
      </w:r>
      <w:r>
        <w:rPr>
          <w:i/>
          <w:iCs/>
        </w:rPr>
        <w:t xml:space="preserve">Risk: see Issue 16.</w:t>
      </w:r>
    </w:p>
    <w:p>
      <w:r>
        <w:pict>
          <v:rect style="width:0;height:1.5pt" o:hralign="center" o:hrstd="t" o:hr="t"/>
        </w:pict>
      </w:r>
    </w:p>
    <w:bookmarkEnd w:id="31"/>
    <w:bookmarkStart w:id="32" w:name="xii.-execution-and-signature-issues"/>
    <w:p>
      <w:pPr>
        <w:pStyle w:val="Heading2"/>
      </w:pPr>
      <w:r>
        <w:t xml:space="preserve">XII. Execution and Signature Issues</w:t>
      </w:r>
    </w:p>
    <w:p>
      <w:pPr>
        <w:pStyle w:val="FirstParagraph"/>
      </w:pPr>
      <w:r>
        <w:rPr>
          <w:b/>
          <w:bCs/>
        </w:rPr>
        <w:t xml:space="preserve">Issue 48 — The support letter appears unsigned.</w:t>
      </w:r>
      <w:r>
        <w:t xml:space="preserve"> </w:t>
      </w:r>
      <w:r>
        <w:t xml:space="preserve">The employer support letter ends with a blank signature line (</w:t>
      </w:r>
      <w:r>
        <w:t xml:space="preserve">“</w:t>
      </w:r>
      <w:r>
        <w:t xml:space="preserve">_____________________</w:t>
      </w:r>
      <w:r>
        <w:t xml:space="preserve">”</w:t>
      </w:r>
      <w:r>
        <w:t xml:space="preserve">) above Patricia Kwon’s typed name and title; no wet or electronic signature is present.</w:t>
      </w:r>
      <w:r>
        <w:t xml:space="preserve"> </w:t>
      </w:r>
      <w:r>
        <w:rPr>
          <w:i/>
          <w:iCs/>
        </w:rPr>
        <w:t xml:space="preserve">Risk: USCIS expects an originally signed support letter; obtain an executed original.</w:t>
      </w:r>
    </w:p>
    <w:p>
      <w:pPr>
        <w:pStyle w:val="BodyText"/>
      </w:pPr>
      <w:r>
        <w:rPr>
          <w:b/>
          <w:bCs/>
        </w:rPr>
        <w:t xml:space="preserve">Issue 49 — The certified LCA shows a blank employer signature line.</w:t>
      </w:r>
      <w:r>
        <w:t xml:space="preserve"> </w:t>
      </w:r>
      <w:r>
        <w:t xml:space="preserve">The LCA (Section L.2) shows</w:t>
      </w:r>
      <w:r>
        <w:t xml:space="preserve"> </w:t>
      </w:r>
      <w:r>
        <w:t xml:space="preserve">“</w:t>
      </w:r>
      <w:r>
        <w:t xml:space="preserve">By: ______</w:t>
      </w:r>
      <w:r>
        <w:t xml:space="preserve">”</w:t>
      </w:r>
      <w:r>
        <w:t xml:space="preserve"> </w:t>
      </w:r>
      <w:r>
        <w:t xml:space="preserve">with Patricia Kwon’s name typed below but no signature. The document appears to be a summary/recreation rather than the DOL-certified LCA bearing the electronic signature captured in FLAG.</w:t>
      </w:r>
      <w:r>
        <w:t xml:space="preserve"> </w:t>
      </w:r>
      <w:r>
        <w:rPr>
          <w:i/>
          <w:iCs/>
        </w:rPr>
        <w:t xml:space="preserve">Risk: include the actual certified LCA (with the DOL certification and e-signature) from the FLAG system.</w:t>
      </w:r>
    </w:p>
    <w:p>
      <w:pPr>
        <w:pStyle w:val="BodyText"/>
      </w:pPr>
      <w:r>
        <w:rPr>
          <w:b/>
          <w:bCs/>
        </w:rPr>
        <w:t xml:space="preserve">Issue 50 — The NovaStar experience letter appears unsigned.</w:t>
      </w:r>
      <w:r>
        <w:t xml:space="preserve"> </w:t>
      </w:r>
      <w:r>
        <w:t xml:space="preserve">The NovaStar letter contains a blank signature line with no</w:t>
      </w:r>
      <w:r>
        <w:t xml:space="preserve"> </w:t>
      </w:r>
      <w:r>
        <w:t xml:space="preserve">“</w:t>
      </w:r>
      <w:r>
        <w:t xml:space="preserve">/s/</w:t>
      </w:r>
      <w:r>
        <w:t xml:space="preserve">”</w:t>
      </w:r>
      <w:r>
        <w:t xml:space="preserve"> </w:t>
      </w:r>
      <w:r>
        <w:t xml:space="preserve">indicator or signature, whereas the Kiran letter bears</w:t>
      </w:r>
      <w:r>
        <w:t xml:space="preserve"> </w:t>
      </w:r>
      <w:r>
        <w:t xml:space="preserve">“</w:t>
      </w:r>
      <w:r>
        <w:t xml:space="preserve">/s/ Suresh Raghavan.</w:t>
      </w:r>
      <w:r>
        <w:t xml:space="preserve">”</w:t>
      </w:r>
      <w:r>
        <w:t xml:space="preserve"> </w:t>
      </w:r>
      <w:r>
        <w:rPr>
          <w:i/>
          <w:iCs/>
        </w:rPr>
        <w:t xml:space="preserve">Risk: obtain an executed NovaStar letter.</w:t>
      </w:r>
    </w:p>
    <w:p>
      <w:pPr>
        <w:pStyle w:val="BodyText"/>
      </w:pPr>
      <w:r>
        <w:rPr>
          <w:b/>
          <w:bCs/>
        </w:rPr>
        <w:t xml:space="preserve">Issue 51 — Inconsistent signature practices across the package.</w:t>
      </w:r>
      <w:r>
        <w:t xml:space="preserve"> </w:t>
      </w:r>
      <w:r>
        <w:t xml:space="preserve">The mix of</w:t>
      </w:r>
      <w:r>
        <w:t xml:space="preserve"> </w:t>
      </w:r>
      <w:r>
        <w:t xml:space="preserve">“</w:t>
      </w:r>
      <w:r>
        <w:t xml:space="preserve">/s/</w:t>
      </w:r>
      <w:r>
        <w:t xml:space="preserve">”</w:t>
      </w:r>
      <w:r>
        <w:t xml:space="preserve"> </w:t>
      </w:r>
      <w:r>
        <w:t xml:space="preserve">electronic signatures (Kiran) and blank lines (support letter, LCA, NovaStar letter) suggests some documents are draft or unexecuted copies.</w:t>
      </w:r>
      <w:r>
        <w:t xml:space="preserve"> </w:t>
      </w:r>
      <w:r>
        <w:rPr>
          <w:i/>
          <w:iCs/>
        </w:rPr>
        <w:t xml:space="preserve">Risk: confirm all filed documents bear proper signatures.</w:t>
      </w:r>
    </w:p>
    <w:p>
      <w:r>
        <w:pict>
          <v:rect style="width:0;height:1.5pt" o:hralign="center" o:hrstd="t" o:hr="t"/>
        </w:pict>
      </w:r>
    </w:p>
    <w:bookmarkEnd w:id="32"/>
    <w:bookmarkStart w:id="33" w:name="Xb12dd3d3efe7ef27eda7ee948f347833ce6333c"/>
    <w:p>
      <w:pPr>
        <w:pStyle w:val="Heading2"/>
      </w:pPr>
      <w:r>
        <w:t xml:space="preserve">XIII. Organizational and Supervisory Structure</w:t>
      </w:r>
    </w:p>
    <w:p>
      <w:pPr>
        <w:pStyle w:val="FirstParagraph"/>
      </w:pPr>
      <w:r>
        <w:rPr>
          <w:b/>
          <w:bCs/>
        </w:rPr>
        <w:t xml:space="preserve">Issue 52 — The Vice President of Data Science position is vacant (</w:t>
      </w:r>
      <w:r>
        <w:rPr>
          <w:b/>
          <w:bCs/>
        </w:rPr>
        <w:t xml:space="preserve">“</w:t>
      </w:r>
      <w:r>
        <w:rPr>
          <w:b/>
          <w:bCs/>
        </w:rPr>
        <w:t xml:space="preserve">TBH</w:t>
      </w:r>
      <w:r>
        <w:rPr>
          <w:b/>
          <w:bCs/>
        </w:rPr>
        <w:t xml:space="preserve">”</w:t>
      </w:r>
      <w:r>
        <w:rPr>
          <w:b/>
          <w:bCs/>
        </w:rPr>
        <w:t xml:space="preserve">).</w:t>
      </w:r>
      <w:r>
        <w:t xml:space="preserve"> </w:t>
      </w:r>
      <w:r>
        <w:t xml:space="preserve">The org chart shows the VP of Data Science (Level 2) as</w:t>
      </w:r>
      <w:r>
        <w:t xml:space="preserve"> </w:t>
      </w:r>
      <w:r>
        <w:t xml:space="preserve">“</w:t>
      </w:r>
      <w:r>
        <w:t xml:space="preserve">To Be Hired,</w:t>
      </w:r>
      <w:r>
        <w:t xml:space="preserve">”</w:t>
      </w:r>
      <w:r>
        <w:t xml:space="preserve"> </w:t>
      </w:r>
      <w:r>
        <w:t xml:space="preserve">with the Senior ML Engineer reporting</w:t>
      </w:r>
      <w:r>
        <w:t xml:space="preserve"> </w:t>
      </w:r>
      <w:r>
        <w:t xml:space="preserve">“</w:t>
      </w:r>
      <w:r>
        <w:t xml:space="preserve">interim</w:t>
      </w:r>
      <w:r>
        <w:t xml:space="preserve">”</w:t>
      </w:r>
      <w:r>
        <w:t xml:space="preserve"> </w:t>
      </w:r>
      <w:r>
        <w:t xml:space="preserve">to the CTO. A vacant intermediate management layer and interim reporting line may undercut the supervisory scope and specialty-occupation narrative.</w:t>
      </w:r>
      <w:r>
        <w:t xml:space="preserve"> </w:t>
      </w:r>
      <w:r>
        <w:rPr>
          <w:i/>
          <w:iCs/>
        </w:rPr>
        <w:t xml:space="preserve">Risk: clarify the reporting structure as of the start date.</w:t>
      </w:r>
    </w:p>
    <w:p>
      <w:pPr>
        <w:pStyle w:val="BodyText"/>
      </w:pPr>
      <w:r>
        <w:rPr>
          <w:b/>
          <w:bCs/>
        </w:rPr>
        <w:t xml:space="preserve">Issue 53 — The CTO is unnamed throughout.</w:t>
      </w:r>
      <w:r>
        <w:t xml:space="preserve"> </w:t>
      </w:r>
      <w:r>
        <w:t xml:space="preserve">The org chart lists</w:t>
      </w:r>
      <w:r>
        <w:t xml:space="preserve"> </w:t>
      </w:r>
      <w:r>
        <w:t xml:space="preserve">“</w:t>
      </w:r>
      <w:r>
        <w:t xml:space="preserve">Chief Technology Officer (CTO)</w:t>
      </w:r>
      <w:r>
        <w:t xml:space="preserve">”</w:t>
      </w:r>
      <w:r>
        <w:t xml:space="preserve"> </w:t>
      </w:r>
      <w:r>
        <w:t xml:space="preserve">with</w:t>
      </w:r>
      <w:r>
        <w:t xml:space="preserve"> </w:t>
      </w:r>
      <w:r>
        <w:t xml:space="preserve">“</w:t>
      </w:r>
      <w:r>
        <w:t xml:space="preserve">(Title only)</w:t>
      </w:r>
      <w:r>
        <w:t xml:space="preserve">”</w:t>
      </w:r>
      <w:r>
        <w:t xml:space="preserve"> </w:t>
      </w:r>
      <w:r>
        <w:t xml:space="preserve">and no incumbent, and the support letter references</w:t>
      </w:r>
      <w:r>
        <w:t xml:space="preserve"> </w:t>
      </w:r>
      <w:r>
        <w:t xml:space="preserve">“</w:t>
      </w:r>
      <w:r>
        <w:t xml:space="preserve">the Chief Technology Officer (CTO)</w:t>
      </w:r>
      <w:r>
        <w:t xml:space="preserve">”</w:t>
      </w:r>
      <w:r>
        <w:t xml:space="preserve"> </w:t>
      </w:r>
      <w:r>
        <w:t xml:space="preserve">without naming the individual. The supervising executive on whom the reporting structure relies is unidentified.</w:t>
      </w:r>
      <w:r>
        <w:t xml:space="preserve"> </w:t>
      </w:r>
      <w:r>
        <w:rPr>
          <w:i/>
          <w:iCs/>
        </w:rPr>
        <w:t xml:space="preserve">Risk: identify the CTO by name.</w:t>
      </w:r>
    </w:p>
    <w:p>
      <w:pPr>
        <w:pStyle w:val="BodyText"/>
      </w:pPr>
      <w:r>
        <w:rPr>
          <w:b/>
          <w:bCs/>
        </w:rPr>
        <w:t xml:space="preserve">Issue 54 — The org chart reflects only the Austin HQ Data Science team.</w:t>
      </w:r>
      <w:r>
        <w:t xml:space="preserve"> </w:t>
      </w:r>
      <w:r>
        <w:t xml:space="preserve">The chart depicts 5 positions (CTO, VP-TBH, proposed Senior ML Engineer, and 2 Data Scientists) out of 187 employees across Austin, Denver, and a remote team.</w:t>
      </w:r>
      <w:r>
        <w:t xml:space="preserve"> </w:t>
      </w:r>
      <w:r>
        <w:rPr>
          <w:i/>
          <w:iCs/>
        </w:rPr>
        <w:t xml:space="preserve">Risk: the narrow slice may not adequately demonstrate organizational context for the specialty occupation.</w:t>
      </w:r>
    </w:p>
    <w:p>
      <w:pPr>
        <w:pStyle w:val="BodyText"/>
      </w:pPr>
      <w:r>
        <w:rPr>
          <w:b/>
          <w:bCs/>
        </w:rPr>
        <w:t xml:space="preserve">Issue 55 — The two Data Scientist direct reports have no current identified supervisor.</w:t>
      </w:r>
      <w:r>
        <w:t xml:space="preserve"> </w:t>
      </w:r>
      <w:r>
        <w:t xml:space="preserve">The org chart shows the two Data Scientists reporting to the proposed Senior ML Engineer, but that position does not yet exist and the VP is TBH; the incumbents’ current reporting line is unclear.</w:t>
      </w:r>
      <w:r>
        <w:t xml:space="preserve"> </w:t>
      </w:r>
      <w:r>
        <w:rPr>
          <w:i/>
          <w:iCs/>
        </w:rPr>
        <w:t xml:space="preserve">Risk: clarify current supervisory structure and confirm the proposed reporting relationships are bona fide.</w:t>
      </w:r>
    </w:p>
    <w:p>
      <w:pPr>
        <w:pStyle w:val="BodyText"/>
      </w:pPr>
      <w:r>
        <w:rPr>
          <w:b/>
          <w:bCs/>
        </w:rPr>
        <w:t xml:space="preserve">Issue 56 — The org chart is</w:t>
      </w:r>
      <w:r>
        <w:rPr>
          <w:b/>
          <w:bCs/>
        </w:rPr>
        <w:t xml:space="preserve"> </w:t>
      </w:r>
      <w:r>
        <w:rPr>
          <w:b/>
          <w:bCs/>
        </w:rPr>
        <w:t xml:space="preserve">“</w:t>
      </w:r>
      <w:r>
        <w:rPr>
          <w:b/>
          <w:bCs/>
        </w:rPr>
        <w:t xml:space="preserve">Effective as of March 2025,</w:t>
      </w:r>
      <w:r>
        <w:rPr>
          <w:b/>
          <w:bCs/>
        </w:rPr>
        <w:t xml:space="preserve">”</w:t>
      </w:r>
      <w:r>
        <w:rPr>
          <w:b/>
          <w:bCs/>
        </w:rPr>
        <w:t xml:space="preserve"> </w:t>
      </w:r>
      <w:r>
        <w:rPr>
          <w:b/>
          <w:bCs/>
        </w:rPr>
        <w:t xml:space="preserve">but the start date is October 1, 2025.</w:t>
      </w:r>
      <w:r>
        <w:t xml:space="preserve"> </w:t>
      </w:r>
      <w:r>
        <w:t xml:space="preserve">By the start date, the VP of Data Science may be hired, changing the reporting structure; the</w:t>
      </w:r>
      <w:r>
        <w:t xml:space="preserve"> </w:t>
      </w:r>
      <w:r>
        <w:t xml:space="preserve">“</w:t>
      </w:r>
      <w:r>
        <w:t xml:space="preserve">interim</w:t>
      </w:r>
      <w:r>
        <w:t xml:space="preserve">”</w:t>
      </w:r>
      <w:r>
        <w:t xml:space="preserve"> </w:t>
      </w:r>
      <w:r>
        <w:t xml:space="preserve">reporting to the CTO may not reflect the actual structure at start.</w:t>
      </w:r>
      <w:r>
        <w:t xml:space="preserve"> </w:t>
      </w:r>
      <w:r>
        <w:rPr>
          <w:i/>
          <w:iCs/>
        </w:rPr>
        <w:t xml:space="preserve">Risk: update or confirm the org chart as of the employment start date.</w:t>
      </w:r>
    </w:p>
    <w:p>
      <w:r>
        <w:pict>
          <v:rect style="width:0;height:1.5pt" o:hralign="center" o:hrstd="t" o:hr="t"/>
        </w:pict>
      </w:r>
    </w:p>
    <w:bookmarkEnd w:id="33"/>
    <w:bookmarkStart w:id="34" w:name="X2e6c2a206c3a54ef812ebddd2055d598d6dd396"/>
    <w:p>
      <w:pPr>
        <w:pStyle w:val="Heading2"/>
      </w:pPr>
      <w:r>
        <w:t xml:space="preserve">XIV. Consulting Model and Worksite Issues</w:t>
      </w:r>
    </w:p>
    <w:p>
      <w:pPr>
        <w:pStyle w:val="FirstParagraph"/>
      </w:pPr>
      <w:r>
        <w:rPr>
          <w:b/>
          <w:bCs/>
        </w:rPr>
        <w:t xml:space="preserve">Issue 57 — Single-worksite LCA vs. client-facing consulting duties.</w:t>
      </w:r>
      <w:r>
        <w:t xml:space="preserve"> </w:t>
      </w:r>
      <w:r>
        <w:t xml:space="preserve">The LCA (Section H.2) certifies</w:t>
      </w:r>
      <w:r>
        <w:t xml:space="preserve"> </w:t>
      </w:r>
      <w:r>
        <w:t xml:space="preserve">“</w:t>
      </w:r>
      <w:r>
        <w:t xml:space="preserve">Additional Worksites: None (single worksite only)</w:t>
      </w:r>
      <w:r>
        <w:t xml:space="preserve">”</w:t>
      </w:r>
      <w:r>
        <w:t xml:space="preserve"> </w:t>
      </w:r>
      <w:r>
        <w:t xml:space="preserve">at 4200 Congress Avenue, but the support letter (Section 2) describes duties involving</w:t>
      </w:r>
      <w:r>
        <w:t xml:space="preserve"> </w:t>
      </w:r>
      <w:r>
        <w:t xml:space="preserve">“</w:t>
      </w:r>
      <w:r>
        <w:t xml:space="preserve">client engagements</w:t>
      </w:r>
      <w:r>
        <w:t xml:space="preserve">”</w:t>
      </w:r>
      <w:r>
        <w:t xml:space="preserve"> </w:t>
      </w:r>
      <w:r>
        <w:t xml:space="preserve">and presentations to</w:t>
      </w:r>
      <w:r>
        <w:t xml:space="preserve"> </w:t>
      </w:r>
      <w:r>
        <w:t xml:space="preserve">“</w:t>
      </w:r>
      <w:r>
        <w:t xml:space="preserve">client stakeholders,</w:t>
      </w:r>
      <w:r>
        <w:t xml:space="preserve">”</w:t>
      </w:r>
      <w:r>
        <w:t xml:space="preserve"> </w:t>
      </w:r>
      <w:r>
        <w:t xml:space="preserve">and Brightfield is a consulting firm serving enterprise clients. If the beneficiary will perform work at client sites, the single-worksite LCA may be insufficient and may need to cover client locations with corresponding prevailing-wage determinations for those areas.</w:t>
      </w:r>
      <w:r>
        <w:t xml:space="preserve"> </w:t>
      </w:r>
      <w:r>
        <w:rPr>
          <w:i/>
          <w:iCs/>
        </w:rPr>
        <w:t xml:space="preserve">Risk: worksite/wage compliance gap if any client-site work is contemplated.</w:t>
      </w:r>
    </w:p>
    <w:p>
      <w:pPr>
        <w:pStyle w:val="BodyText"/>
      </w:pPr>
      <w:r>
        <w:rPr>
          <w:b/>
          <w:bCs/>
        </w:rPr>
        <w:t xml:space="preserve">Issue 58 — Itinerant/consulting-model scrutiny not addressed.</w:t>
      </w:r>
      <w:r>
        <w:t xml:space="preserve"> </w:t>
      </w:r>
      <w:r>
        <w:t xml:space="preserve">Following</w:t>
      </w:r>
      <w:r>
        <w:t xml:space="preserve"> </w:t>
      </w:r>
      <w:r>
        <w:rPr>
          <w:i/>
          <w:iCs/>
        </w:rPr>
        <w:t xml:space="preserve">ITServe Alliance v. DHS</w:t>
      </w:r>
      <w:r>
        <w:t xml:space="preserve">, consulting and itinerant models face heightened scrutiny of the employer-employee relationship and the existence of a specialty occupation at each worksite. The package does not address this despite the client-facing duty language.</w:t>
      </w:r>
      <w:r>
        <w:t xml:space="preserve"> </w:t>
      </w:r>
      <w:r>
        <w:rPr>
          <w:i/>
          <w:iCs/>
        </w:rPr>
        <w:t xml:space="preserve">Risk: if any third-party/client placement is contemplated, prepare to address the employer-employee relationship and specialty occupation at each location.</w:t>
      </w:r>
    </w:p>
    <w:p>
      <w:r>
        <w:pict>
          <v:rect style="width:0;height:1.5pt" o:hralign="center" o:hrstd="t" o:hr="t"/>
        </w:pict>
      </w:r>
    </w:p>
    <w:bookmarkEnd w:id="34"/>
    <w:bookmarkStart w:id="35" w:name="xv.-minor-and-verification-items"/>
    <w:p>
      <w:pPr>
        <w:pStyle w:val="Heading2"/>
      </w:pPr>
      <w:r>
        <w:t xml:space="preserve">XV. Minor and Verification Items</w:t>
      </w:r>
    </w:p>
    <w:p>
      <w:pPr>
        <w:pStyle w:val="FirstParagraph"/>
      </w:pPr>
      <w:r>
        <w:rPr>
          <w:b/>
          <w:bCs/>
        </w:rPr>
        <w:t xml:space="preserve">Issue 59 — Transcript credit total vs. evaluation’s stated total.</w:t>
      </w:r>
      <w:r>
        <w:t xml:space="preserve"> </w:t>
      </w:r>
      <w:r>
        <w:t xml:space="preserve">The transcript summary reports</w:t>
      </w:r>
      <w:r>
        <w:t xml:space="preserve"> </w:t>
      </w:r>
      <w:r>
        <w:t xml:space="preserve">“</w:t>
      </w:r>
      <w:r>
        <w:t xml:space="preserve">Total Credits Earned: 184 (including laboratory credits)</w:t>
      </w:r>
      <w:r>
        <w:t xml:space="preserve">”</w:t>
      </w:r>
      <w:r>
        <w:t xml:space="preserve"> </w:t>
      </w:r>
      <w:r>
        <w:t xml:space="preserve">and</w:t>
      </w:r>
      <w:r>
        <w:t xml:space="preserve"> </w:t>
      </w:r>
      <w:r>
        <w:t xml:space="preserve">“</w:t>
      </w:r>
      <w:r>
        <w:t xml:space="preserve">Total Theory Credit Hours: 160 (approximately),</w:t>
      </w:r>
      <w:r>
        <w:t xml:space="preserve">”</w:t>
      </w:r>
      <w:r>
        <w:t xml:space="preserve"> </w:t>
      </w:r>
      <w:r>
        <w:t xml:space="preserve">while the credential evaluation (Section 4) refers to</w:t>
      </w:r>
      <w:r>
        <w:t xml:space="preserve"> </w:t>
      </w:r>
      <w:r>
        <w:t xml:space="preserve">“</w:t>
      </w:r>
      <w:r>
        <w:t xml:space="preserve">approximately 160 credit hours</w:t>
      </w:r>
      <w:r>
        <w:t xml:space="preserve">”</w:t>
      </w:r>
      <w:r>
        <w:t xml:space="preserve"> </w:t>
      </w:r>
      <w:r>
        <w:t xml:space="preserve">and computes the CS coursework percentage on that basis (12/160 ≈ 7.5%). The evaluation should clarify that it is using theory credit hours, as the</w:t>
      </w:r>
      <w:r>
        <w:t xml:space="preserve"> </w:t>
      </w:r>
      <w:r>
        <w:t xml:space="preserve">“</w:t>
      </w:r>
      <w:r>
        <w:t xml:space="preserve">160</w:t>
      </w:r>
      <w:r>
        <w:t xml:space="preserve">”</w:t>
      </w:r>
      <w:r>
        <w:t xml:space="preserve"> </w:t>
      </w:r>
      <w:r>
        <w:t xml:space="preserve">understates the total credits earned (184).</w:t>
      </w:r>
      <w:r>
        <w:t xml:space="preserve"> </w:t>
      </w:r>
      <w:r>
        <w:rPr>
          <w:i/>
          <w:iCs/>
        </w:rPr>
        <w:t xml:space="preserve">Risk: minor; clarify the basis to avoid confusion.</w:t>
      </w:r>
    </w:p>
    <w:p>
      <w:pPr>
        <w:pStyle w:val="BodyText"/>
      </w:pPr>
      <w:r>
        <w:rPr>
          <w:b/>
          <w:bCs/>
        </w:rPr>
        <w:t xml:space="preserve">Issue 60 — Evaluator’s doctoral credential source.</w:t>
      </w:r>
      <w:r>
        <w:t xml:space="preserve"> </w:t>
      </w:r>
      <w:r>
        <w:t xml:space="preserve">The credential evaluation is signed by</w:t>
      </w:r>
      <w:r>
        <w:t xml:space="preserve"> </w:t>
      </w:r>
      <w:r>
        <w:t xml:space="preserve">“</w:t>
      </w:r>
      <w:r>
        <w:t xml:space="preserve">Dr. Linda Farnsworth, Ph.D.,</w:t>
      </w:r>
      <w:r>
        <w:t xml:space="preserve">”</w:t>
      </w:r>
      <w:r>
        <w:t xml:space="preserve"> </w:t>
      </w:r>
      <w:r>
        <w:t xml:space="preserve">with the notation</w:t>
      </w:r>
      <w:r>
        <w:t xml:space="preserve"> </w:t>
      </w:r>
      <w:r>
        <w:t xml:space="preserve">“</w:t>
      </w:r>
      <w:r>
        <w:t xml:space="preserve">Ph.D., Education — Halford University.</w:t>
      </w:r>
      <w:r>
        <w:t xml:space="preserve">”</w:t>
      </w:r>
      <w:r>
        <w:t xml:space="preserve"> </w:t>
      </w:r>
      <w:r>
        <w:t xml:space="preserve">“</w:t>
      </w:r>
      <w:r>
        <w:t xml:space="preserve">Halford University</w:t>
      </w:r>
      <w:r>
        <w:t xml:space="preserve">”</w:t>
      </w:r>
      <w:r>
        <w:t xml:space="preserve"> </w:t>
      </w:r>
      <w:r>
        <w:t xml:space="preserve">is not identified in the record as a U.S. regionally accredited or otherwise widely recognized institution. While Westbridge Credential Services is represented as a NACES member, the individual evaluator’s doctoral credential source warrants verification.</w:t>
      </w:r>
      <w:r>
        <w:t xml:space="preserve"> </w:t>
      </w:r>
      <w:r>
        <w:rPr>
          <w:i/>
          <w:iCs/>
        </w:rPr>
        <w:t xml:space="preserve">Risk: minor; verify the evaluator’s qualifications if the evaluation is likely to be scrutinized.</w:t>
      </w:r>
    </w:p>
    <w:p>
      <w:pPr>
        <w:pStyle w:val="BodyText"/>
      </w:pPr>
      <w:r>
        <w:rPr>
          <w:b/>
          <w:bCs/>
        </w:rPr>
        <w:t xml:space="preserve">Issue 61 — Executive identification is incomplete.</w:t>
      </w:r>
      <w:r>
        <w:t xml:space="preserve"> </w:t>
      </w:r>
      <w:r>
        <w:t xml:space="preserve">The CEO (Margaret</w:t>
      </w:r>
      <w:r>
        <w:t xml:space="preserve"> </w:t>
      </w:r>
      <w:r>
        <w:t xml:space="preserve">“</w:t>
      </w:r>
      <w:r>
        <w:t xml:space="preserve">Maggie</w:t>
      </w:r>
      <w:r>
        <w:t xml:space="preserve">”</w:t>
      </w:r>
      <w:r>
        <w:t xml:space="preserve"> </w:t>
      </w:r>
      <w:r>
        <w:t xml:space="preserve">Torrance) is named only in the support letter (Section 1) and is not referenced elsewhere; the CTO, on whom the reporting structure depends, is unnamed throughout (Issue 53).</w:t>
      </w:r>
      <w:r>
        <w:t xml:space="preserve"> </w:t>
      </w:r>
      <w:r>
        <w:rPr>
          <w:i/>
          <w:iCs/>
        </w:rPr>
        <w:t xml:space="preserve">Risk: minor; complete executive identification in the org chart and support letter.</w:t>
      </w:r>
    </w:p>
    <w:p>
      <w:r>
        <w:pict>
          <v:rect style="width:0;height:1.5pt" o:hralign="center" o:hrstd="t" o:hr="t"/>
        </w:pict>
      </w:r>
    </w:p>
    <w:bookmarkEnd w:id="35"/>
    <w:bookmarkStart w:id="36" w:name="X8dbba22f9566278c107f6fccef967d752e8ca4d"/>
    <w:p>
      <w:pPr>
        <w:pStyle w:val="Heading2"/>
      </w:pPr>
      <w:r>
        <w:t xml:space="preserve">XVI. Additional Issues Identified on Completeness Re-Review</w:t>
      </w:r>
    </w:p>
    <w:p>
      <w:pPr>
        <w:pStyle w:val="FirstParagraph"/>
      </w:pPr>
      <w:r>
        <w:t xml:space="preserve">The following issues were identified on a second-pass cross-reference of the source documents and are stated separately here so that each receives its own explicit treatment. They supplement, and cross-reference, the issues above.</w:t>
      </w:r>
    </w:p>
    <w:p>
      <w:pPr>
        <w:pStyle w:val="BodyText"/>
      </w:pPr>
      <w:r>
        <w:rPr>
          <w:b/>
          <w:bCs/>
        </w:rPr>
        <w:t xml:space="preserve">Issue 62 — The credential evaluation appears unsigned.</w:t>
      </w:r>
      <w:r>
        <w:t xml:space="preserve"> </w:t>
      </w:r>
      <w:r>
        <w:t xml:space="preserve">The Westbridge Foreign Credential Evaluation (Report WCS-2025-03187) closes with</w:t>
      </w:r>
      <w:r>
        <w:t xml:space="preserve"> </w:t>
      </w:r>
      <w:r>
        <w:t xml:space="preserve">“</w:t>
      </w:r>
      <w:r>
        <w:t xml:space="preserve">By: ______</w:t>
      </w:r>
      <w:r>
        <w:t xml:space="preserve">”</w:t>
      </w:r>
      <w:r>
        <w:t xml:space="preserve"> </w:t>
      </w:r>
      <w:r>
        <w:t xml:space="preserve">(a blank signature line) above</w:t>
      </w:r>
      <w:r>
        <w:t xml:space="preserve"> </w:t>
      </w:r>
      <w:r>
        <w:t xml:space="preserve">“</w:t>
      </w:r>
      <w:r>
        <w:t xml:space="preserve">Dr. Linda Farnsworth, Ph.D., Senior Credential Analyst,</w:t>
      </w:r>
      <w:r>
        <w:t xml:space="preserve">”</w:t>
      </w:r>
      <w:r>
        <w:t xml:space="preserve"> </w:t>
      </w:r>
      <w:r>
        <w:t xml:space="preserve">with no wet or electronic signature shown. This is the key document bridging the foreign degree to a U.S. equivalency and is central to the field-of-study analysis (Issues 1–6); an unsigned evaluation may be given reduced weight or questioned on authenticity. This signature gap is distinct from the support-letter, LCA, and NovaStar-letter signature issues (Issues 48–51).</w:t>
      </w:r>
      <w:r>
        <w:t xml:space="preserve"> </w:t>
      </w:r>
      <w:r>
        <w:rPr>
          <w:i/>
          <w:iCs/>
        </w:rPr>
        <w:t xml:space="preserve">Risk: obtain an executed original of the credential evaluation and confirm the evaluator’s signature and NACES-member status.</w:t>
      </w:r>
    </w:p>
    <w:p>
      <w:pPr>
        <w:pStyle w:val="BodyText"/>
      </w:pPr>
      <w:r>
        <w:rPr>
          <w:b/>
          <w:bCs/>
        </w:rPr>
        <w:t xml:space="preserve">Issue 63 — The beneficiary’s senior thesis/capstone is in ECE hardware, not machine learning or computer science.</w:t>
      </w:r>
      <w:r>
        <w:t xml:space="preserve"> </w:t>
      </w:r>
      <w:r>
        <w:t xml:space="preserve">The transcript (Semester VIII) identifies the Project Work/Thesis (EC805, 6 credits, grade A+) as</w:t>
      </w:r>
      <w:r>
        <w:t xml:space="preserve"> </w:t>
      </w:r>
      <w:r>
        <w:t xml:space="preserve">“</w:t>
      </w:r>
      <w:r>
        <w:t xml:space="preserve">FPGA-Based Implementation of Adaptive Noise Cancellation for Biomedical Signal Processing</w:t>
      </w:r>
      <w:r>
        <w:t xml:space="preserve">”</w:t>
      </w:r>
      <w:r>
        <w:t xml:space="preserve"> </w:t>
      </w:r>
      <w:r>
        <w:t xml:space="preserve">— an FPGA/hardware/digital-signal-processing project, not an ML or CS project. The resume’s</w:t>
      </w:r>
      <w:r>
        <w:t xml:space="preserve"> </w:t>
      </w:r>
      <w:r>
        <w:t xml:space="preserve">“</w:t>
      </w:r>
      <w:r>
        <w:t xml:space="preserve">Relevant Coursework</w:t>
      </w:r>
      <w:r>
        <w:t xml:space="preserve">”</w:t>
      </w:r>
      <w:r>
        <w:t xml:space="preserve"> </w:t>
      </w:r>
      <w:r>
        <w:t xml:space="preserve">list is likewise dominated by ECE subjects (Digital Signal Processing, Communication Systems, VLSI Design, Electromagnetic Theory) alongside the few CS courses (C Programming, Data Structures, Introduction to Artificial Intelligence). This reinforces the field-of-study mismatch in Issues 1–6: the beneficiary’s capstone deliverable and self-identified</w:t>
      </w:r>
      <w:r>
        <w:t xml:space="preserve"> </w:t>
      </w:r>
      <w:r>
        <w:t xml:space="preserve">“</w:t>
      </w:r>
      <w:r>
        <w:t xml:space="preserve">relevant</w:t>
      </w:r>
      <w:r>
        <w:t xml:space="preserve">”</w:t>
      </w:r>
      <w:r>
        <w:t xml:space="preserve"> </w:t>
      </w:r>
      <w:r>
        <w:t xml:space="preserve">coursework are in electronics/communications engineering, the discipline the position does not require.</w:t>
      </w:r>
      <w:r>
        <w:t xml:space="preserve"> </w:t>
      </w:r>
      <w:r>
        <w:rPr>
          <w:i/>
          <w:iCs/>
        </w:rPr>
        <w:t xml:space="preserve">Risk: further supports the need for an expert opinion (Issues 2, 6, 44) to establish that ECE is</w:t>
      </w:r>
      <w:r>
        <w:rPr>
          <w:i/>
          <w:iCs/>
        </w:rPr>
        <w:t xml:space="preserve"> </w:t>
      </w:r>
      <w:r>
        <w:rPr>
          <w:i/>
          <w:iCs/>
        </w:rPr>
        <w:t xml:space="preserve">“</w:t>
      </w:r>
      <w:r>
        <w:rPr>
          <w:i/>
          <w:iCs/>
        </w:rPr>
        <w:t xml:space="preserve">closely related</w:t>
      </w:r>
      <w:r>
        <w:rPr>
          <w:i/>
          <w:iCs/>
        </w:rPr>
        <w:t xml:space="preserve">”</w:t>
      </w:r>
      <w:r>
        <w:rPr>
          <w:i/>
          <w:iCs/>
        </w:rPr>
        <w:t xml:space="preserve"> </w:t>
      </w:r>
      <w:r>
        <w:rPr>
          <w:i/>
          <w:iCs/>
        </w:rPr>
        <w:t xml:space="preserve">to CS/ML/AI for this role.</w:t>
      </w:r>
    </w:p>
    <w:p>
      <w:pPr>
        <w:pStyle w:val="BodyText"/>
      </w:pPr>
      <w:r>
        <w:rPr>
          <w:b/>
          <w:bCs/>
        </w:rPr>
        <w:t xml:space="preserve">Issue 64 — Resume certifications are not leveraged in the petition narrative, and two name no issuing institution.</w:t>
      </w:r>
      <w:r>
        <w:t xml:space="preserve"> </w:t>
      </w:r>
      <w:r>
        <w:t xml:space="preserve">The resume lists three certifications:</w:t>
      </w:r>
      <w:r>
        <w:t xml:space="preserve"> </w:t>
      </w:r>
      <w:r>
        <w:t xml:space="preserve">“</w:t>
      </w:r>
      <w:r>
        <w:t xml:space="preserve">Deep Learning Specialization — Completed via online platform, 2019</w:t>
      </w:r>
      <w:r>
        <w:t xml:space="preserve">”</w:t>
      </w:r>
      <w:r>
        <w:t xml:space="preserve">;</w:t>
      </w:r>
      <w:r>
        <w:t xml:space="preserve"> </w:t>
      </w:r>
      <w:r>
        <w:t xml:space="preserve">“</w:t>
      </w:r>
      <w:r>
        <w:t xml:space="preserve">Machine Learning Engineering for Production (MLOps) — Completed via online platform, 2021</w:t>
      </w:r>
      <w:r>
        <w:t xml:space="preserve">”</w:t>
      </w:r>
      <w:r>
        <w:t xml:space="preserve">; and</w:t>
      </w:r>
      <w:r>
        <w:t xml:space="preserve"> </w:t>
      </w:r>
      <w:r>
        <w:t xml:space="preserve">“</w:t>
      </w:r>
      <w:r>
        <w:t xml:space="preserve">AWS Certified Machine Learning – Specialty — 2022.</w:t>
      </w:r>
      <w:r>
        <w:t xml:space="preserve">”</w:t>
      </w:r>
      <w:r>
        <w:t xml:space="preserve"> </w:t>
      </w:r>
      <w:r>
        <w:t xml:space="preserve">Neither the employer support letter (Section 4) nor the credential evaluation references any of these as supporting the beneficiary’s qualifications for the Senior ML Engineer position. Two of the three name no issuing institution (</w:t>
      </w:r>
      <w:r>
        <w:t xml:space="preserve">“</w:t>
      </w:r>
      <w:r>
        <w:t xml:space="preserve">via online platform</w:t>
      </w:r>
      <w:r>
        <w:t xml:space="preserve">”</w:t>
      </w:r>
      <w:r>
        <w:t xml:space="preserve"> </w:t>
      </w:r>
      <w:r>
        <w:t xml:space="preserve">is vague), making them difficult to verify. Notably, the AWS Certified Machine Learning – Specialty is a verifiable, directly relevant credential that could help bridge the field-of-study gap (Issues 1–6) but is unused in the petition.</w:t>
      </w:r>
      <w:r>
        <w:t xml:space="preserve"> </w:t>
      </w:r>
      <w:r>
        <w:rPr>
          <w:i/>
          <w:iCs/>
        </w:rPr>
        <w:t xml:space="preserve">Risk: a missed evidentiary opportunity; document and submit verifiable certification evidence (issuer, date, credential ID) and incorporate it into the qualifications narrative.</w:t>
      </w:r>
    </w:p>
    <w:p>
      <w:pPr>
        <w:pStyle w:val="BodyText"/>
      </w:pPr>
      <w:r>
        <w:rPr>
          <w:b/>
          <w:bCs/>
        </w:rPr>
        <w:t xml:space="preserve">Issue 65 — Prevailing-wage</w:t>
      </w:r>
      <w:r>
        <w:rPr>
          <w:b/>
          <w:bCs/>
        </w:rPr>
        <w:t xml:space="preserve"> </w:t>
      </w:r>
      <w:r>
        <w:rPr>
          <w:b/>
          <w:bCs/>
        </w:rPr>
        <w:t xml:space="preserve">“</w:t>
      </w:r>
      <w:r>
        <w:rPr>
          <w:b/>
          <w:bCs/>
        </w:rPr>
        <w:t xml:space="preserve">source year</w:t>
      </w:r>
      <w:r>
        <w:rPr>
          <w:b/>
          <w:bCs/>
        </w:rPr>
        <w:t xml:space="preserve">”</w:t>
      </w:r>
      <w:r>
        <w:rPr>
          <w:b/>
          <w:bCs/>
        </w:rPr>
        <w:t xml:space="preserve"> </w:t>
      </w:r>
      <w:r>
        <w:rPr>
          <w:b/>
          <w:bCs/>
        </w:rPr>
        <w:t xml:space="preserve">is inconsistent between the LCA and the PWD.</w:t>
      </w:r>
      <w:r>
        <w:t xml:space="preserve"> </w:t>
      </w:r>
      <w:r>
        <w:t xml:space="preserve">The LCA (Section I.2) states</w:t>
      </w:r>
      <w:r>
        <w:t xml:space="preserve"> </w:t>
      </w:r>
      <w:r>
        <w:t xml:space="preserve">“</w:t>
      </w:r>
      <w:r>
        <w:t xml:space="preserve">Prevailing Wage Source Year: 2025,</w:t>
      </w:r>
      <w:r>
        <w:t xml:space="preserve">”</w:t>
      </w:r>
      <w:r>
        <w:t xml:space="preserve"> </w:t>
      </w:r>
      <w:r>
        <w:t xml:space="preserve">while the PWD (Section 4) states the wage source is the Occupational Employment and Wage Statistics (OEWS) Survey with</w:t>
      </w:r>
      <w:r>
        <w:t xml:space="preserve"> </w:t>
      </w:r>
      <w:r>
        <w:t xml:space="preserve">“</w:t>
      </w:r>
      <w:r>
        <w:t xml:space="preserve">Wage Source Year: July 2023 – June 2024 (most recent available).</w:t>
      </w:r>
      <w:r>
        <w:t xml:space="preserve">”</w:t>
      </w:r>
      <w:r>
        <w:t xml:space="preserve"> </w:t>
      </w:r>
      <w:r>
        <w:t xml:space="preserve">The LCA’s</w:t>
      </w:r>
      <w:r>
        <w:t xml:space="preserve"> </w:t>
      </w:r>
      <w:r>
        <w:t xml:space="preserve">“</w:t>
      </w:r>
      <w:r>
        <w:t xml:space="preserve">2025</w:t>
      </w:r>
      <w:r>
        <w:t xml:space="preserve">”</w:t>
      </w:r>
      <w:r>
        <w:t xml:space="preserve"> </w:t>
      </w:r>
      <w:r>
        <w:t xml:space="preserve">appears to reference the PWD determination year rather than the underlying OEWS survey year, creating a cross-document inconsistency in the wage-source data year.</w:t>
      </w:r>
      <w:r>
        <w:t xml:space="preserve"> </w:t>
      </w:r>
      <w:r>
        <w:rPr>
          <w:i/>
          <w:iCs/>
        </w:rPr>
        <w:t xml:space="preserve">Risk: minor; reconcile the LCA wage-source year entry with the PWD’s OEWS survey year to avoid an apparent data discrepancy.</w:t>
      </w:r>
    </w:p>
    <w:p>
      <w:pPr>
        <w:pStyle w:val="BodyText"/>
      </w:pPr>
      <w:r>
        <w:rPr>
          <w:b/>
          <w:bCs/>
        </w:rPr>
        <w:t xml:space="preserve">Issue 66 — The transcript and PWD also display blank signature lines in the extracted text.</w:t>
      </w:r>
      <w:r>
        <w:t xml:space="preserve"> </w:t>
      </w:r>
      <w:r>
        <w:t xml:space="preserve">The JNTU transcript’s Authentication block shows</w:t>
      </w:r>
      <w:r>
        <w:t xml:space="preserve"> </w:t>
      </w:r>
      <w:r>
        <w:t xml:space="preserve">“</w:t>
      </w:r>
      <w:r>
        <w:t xml:space="preserve">By: ______</w:t>
      </w:r>
      <w:r>
        <w:t xml:space="preserve">”</w:t>
      </w:r>
      <w:r>
        <w:t xml:space="preserve"> </w:t>
      </w:r>
      <w:r>
        <w:t xml:space="preserve">for</w:t>
      </w:r>
      <w:r>
        <w:t xml:space="preserve"> </w:t>
      </w:r>
      <w:r>
        <w:t xml:space="preserve">“</w:t>
      </w:r>
      <w:r>
        <w:t xml:space="preserve">Dr. K. Ramesh Babu, Controller of Examinations</w:t>
      </w:r>
      <w:r>
        <w:t xml:space="preserve">”</w:t>
      </w:r>
      <w:r>
        <w:t xml:space="preserve"> </w:t>
      </w:r>
      <w:r>
        <w:t xml:space="preserve">(with a</w:t>
      </w:r>
      <w:r>
        <w:t xml:space="preserve"> </w:t>
      </w:r>
      <w:r>
        <w:t xml:space="preserve">“</w:t>
      </w:r>
      <w:r>
        <w:t xml:space="preserve">[University Seal / Hologram]</w:t>
      </w:r>
      <w:r>
        <w:t xml:space="preserve">”</w:t>
      </w:r>
      <w:r>
        <w:t xml:space="preserve"> </w:t>
      </w:r>
      <w:r>
        <w:t xml:space="preserve">notation), and the PWD’s Section 6 shows</w:t>
      </w:r>
      <w:r>
        <w:t xml:space="preserve"> </w:t>
      </w:r>
      <w:r>
        <w:t xml:space="preserve">“</w:t>
      </w:r>
      <w:r>
        <w:t xml:space="preserve">By: ______</w:t>
      </w:r>
      <w:r>
        <w:t xml:space="preserve">”</w:t>
      </w:r>
      <w:r>
        <w:t xml:space="preserve"> </w:t>
      </w:r>
      <w:r>
        <w:t xml:space="preserve">for the</w:t>
      </w:r>
      <w:r>
        <w:t xml:space="preserve"> </w:t>
      </w:r>
      <w:r>
        <w:t xml:space="preserve">“</w:t>
      </w:r>
      <w:r>
        <w:t xml:space="preserve">Prevailing Wage Analyst.</w:t>
      </w:r>
      <w:r>
        <w:t xml:space="preserve">”</w:t>
      </w:r>
      <w:r>
        <w:t xml:space="preserve"> </w:t>
      </w:r>
      <w:r>
        <w:t xml:space="preserve">These may reflect signature images or seals not captured in the text extraction; however, together with Issues 48–51 and 62, they mean that multiple package documents show no visible signature in the record as provided.</w:t>
      </w:r>
      <w:r>
        <w:t xml:space="preserve"> </w:t>
      </w:r>
      <w:r>
        <w:rPr>
          <w:i/>
          <w:iCs/>
        </w:rPr>
        <w:t xml:space="preserve">Risk: verify that executed, signed, and sealed originals (transcript with registrar’s seal/signature; PWD as issued by NPWC) are the copies actually filed.</w:t>
      </w:r>
    </w:p>
    <w:p>
      <w:r>
        <w:pict>
          <v:rect style="width:0;height:1.5pt" o:hralign="center" o:hrstd="t" o:hr="t"/>
        </w:pict>
      </w:r>
    </w:p>
    <w:bookmarkEnd w:id="36"/>
    <w:bookmarkStart w:id="37" w:name="X096105fff41c1502c6640811cd0272fc23671b2"/>
    <w:p>
      <w:pPr>
        <w:pStyle w:val="Heading2"/>
      </w:pPr>
      <w:r>
        <w:t xml:space="preserve">XVII. Cross-Document Consistency Verification (No Issue Found)</w:t>
      </w:r>
    </w:p>
    <w:p>
      <w:pPr>
        <w:pStyle w:val="FirstParagraph"/>
      </w:pPr>
      <w:r>
        <w:t xml:space="preserve">The following data points were cross-checked across all documents and are</w:t>
      </w:r>
      <w:r>
        <w:t xml:space="preserve"> </w:t>
      </w:r>
      <w:r>
        <w:rPr>
          <w:b/>
          <w:bCs/>
        </w:rPr>
        <w:t xml:space="preserve">consistent</w:t>
      </w:r>
      <w:r>
        <w:t xml:space="preserve">; they are recorded here so that the review is complete and these items are confirmed not to require correction:</w:t>
      </w:r>
    </w:p>
    <w:p>
      <w:pPr>
        <w:pStyle w:val="Compact"/>
        <w:numPr>
          <w:ilvl w:val="0"/>
          <w:numId w:val="1002"/>
        </w:numPr>
      </w:pPr>
      <w:r>
        <w:rPr>
          <w:b/>
          <w:bCs/>
        </w:rPr>
        <w:t xml:space="preserve">Beneficiary name</w:t>
      </w:r>
      <w:r>
        <w:t xml:space="preserve"> </w:t>
      </w:r>
      <w:r>
        <w:t xml:space="preserve">—</w:t>
      </w:r>
      <w:r>
        <w:t xml:space="preserve"> </w:t>
      </w:r>
      <w:r>
        <w:t xml:space="preserve">“</w:t>
      </w:r>
      <w:r>
        <w:t xml:space="preserve">Rajesh Venkataraman</w:t>
      </w:r>
      <w:r>
        <w:t xml:space="preserve">”</w:t>
      </w:r>
      <w:r>
        <w:t xml:space="preserve"> </w:t>
      </w:r>
      <w:r>
        <w:t xml:space="preserve">(all ten documents).</w:t>
      </w:r>
    </w:p>
    <w:p>
      <w:pPr>
        <w:pStyle w:val="Compact"/>
        <w:numPr>
          <w:ilvl w:val="0"/>
          <w:numId w:val="1002"/>
        </w:numPr>
      </w:pPr>
      <w:r>
        <w:rPr>
          <w:b/>
          <w:bCs/>
        </w:rPr>
        <w:t xml:space="preserve">Date of birth</w:t>
      </w:r>
      <w:r>
        <w:t xml:space="preserve"> </w:t>
      </w:r>
      <w:r>
        <w:t xml:space="preserve">— March 14, 1992 (support letter, credential evaluation, transcript).</w:t>
      </w:r>
    </w:p>
    <w:p>
      <w:pPr>
        <w:pStyle w:val="Compact"/>
        <w:numPr>
          <w:ilvl w:val="0"/>
          <w:numId w:val="1002"/>
        </w:numPr>
      </w:pPr>
      <w:r>
        <w:rPr>
          <w:b/>
          <w:bCs/>
        </w:rPr>
        <w:t xml:space="preserve">Country of citizenship</w:t>
      </w:r>
      <w:r>
        <w:t xml:space="preserve"> </w:t>
      </w:r>
      <w:r>
        <w:t xml:space="preserve">— India (support letter, credential evaluation).</w:t>
      </w:r>
    </w:p>
    <w:p>
      <w:pPr>
        <w:pStyle w:val="Compact"/>
        <w:numPr>
          <w:ilvl w:val="0"/>
          <w:numId w:val="1002"/>
        </w:numPr>
      </w:pPr>
      <w:r>
        <w:rPr>
          <w:b/>
          <w:bCs/>
        </w:rPr>
        <w:t xml:space="preserve">Employer FEIN/EIN</w:t>
      </w:r>
      <w:r>
        <w:t xml:space="preserve"> </w:t>
      </w:r>
      <w:r>
        <w:t xml:space="preserve">— 84-3291756 (LCA, PWD).</w:t>
      </w:r>
    </w:p>
    <w:p>
      <w:pPr>
        <w:pStyle w:val="Compact"/>
        <w:numPr>
          <w:ilvl w:val="0"/>
          <w:numId w:val="1002"/>
        </w:numPr>
      </w:pPr>
      <w:r>
        <w:rPr>
          <w:b/>
          <w:bCs/>
        </w:rPr>
        <w:t xml:space="preserve">NAICS code</w:t>
      </w:r>
      <w:r>
        <w:t xml:space="preserve"> </w:t>
      </w:r>
      <w:r>
        <w:t xml:space="preserve">— 541511, Custom Computer Programming Services (LCA, PWD, support letter).</w:t>
      </w:r>
    </w:p>
    <w:p>
      <w:pPr>
        <w:pStyle w:val="Compact"/>
        <w:numPr>
          <w:ilvl w:val="0"/>
          <w:numId w:val="1002"/>
        </w:numPr>
      </w:pPr>
      <w:r>
        <w:rPr>
          <w:b/>
          <w:bCs/>
        </w:rPr>
        <w:t xml:space="preserve">Employer address</w:t>
      </w:r>
      <w:r>
        <w:t xml:space="preserve"> </w:t>
      </w:r>
      <w:r>
        <w:t xml:space="preserve">— 4200 Congress Avenue, Suite 1100, Austin, TX 78701 (LCA, PWD, support letter, posting notice, org chart).</w:t>
      </w:r>
    </w:p>
    <w:p>
      <w:pPr>
        <w:pStyle w:val="Compact"/>
        <w:numPr>
          <w:ilvl w:val="0"/>
          <w:numId w:val="1002"/>
        </w:numPr>
      </w:pPr>
      <w:r>
        <w:rPr>
          <w:b/>
          <w:bCs/>
        </w:rPr>
        <w:t xml:space="preserve">Number of employees</w:t>
      </w:r>
      <w:r>
        <w:t xml:space="preserve"> </w:t>
      </w:r>
      <w:r>
        <w:t xml:space="preserve">— 187 (LCA, support letter, org chart).</w:t>
      </w:r>
    </w:p>
    <w:p>
      <w:pPr>
        <w:pStyle w:val="Compact"/>
        <w:numPr>
          <w:ilvl w:val="0"/>
          <w:numId w:val="1002"/>
        </w:numPr>
      </w:pPr>
      <w:r>
        <w:rPr>
          <w:b/>
          <w:bCs/>
        </w:rPr>
        <w:t xml:space="preserve">Employer point of contact</w:t>
      </w:r>
      <w:r>
        <w:t xml:space="preserve"> </w:t>
      </w:r>
      <w:r>
        <w:t xml:space="preserve">— Patricia Kwon, HR Director (LCA, PWD, support letter, posting notice, org chart).</w:t>
      </w:r>
    </w:p>
    <w:p>
      <w:pPr>
        <w:pStyle w:val="Compact"/>
        <w:numPr>
          <w:ilvl w:val="0"/>
          <w:numId w:val="1002"/>
        </w:numPr>
      </w:pPr>
      <w:r>
        <w:rPr>
          <w:b/>
          <w:bCs/>
        </w:rPr>
        <w:t xml:space="preserve">Attorney of record</w:t>
      </w:r>
      <w:r>
        <w:t xml:space="preserve"> </w:t>
      </w:r>
      <w:r>
        <w:t xml:space="preserve">— Daniel Okafor, Holloway Sterne LLP, 700 Lavaca Street, Suite 2400, Austin, TX 78701 (LCA, PWD, support letter).</w:t>
      </w:r>
    </w:p>
    <w:p>
      <w:pPr>
        <w:pStyle w:val="Compact"/>
        <w:numPr>
          <w:ilvl w:val="0"/>
          <w:numId w:val="1002"/>
        </w:numPr>
      </w:pPr>
      <w:r>
        <w:rPr>
          <w:b/>
          <w:bCs/>
        </w:rPr>
        <w:t xml:space="preserve">SOC code/title</w:t>
      </w:r>
      <w:r>
        <w:t xml:space="preserve"> </w:t>
      </w:r>
      <w:r>
        <w:t xml:space="preserve">— 15-2051 / Data Scientists (LCA, PWD, support letter, posting notice).</w:t>
      </w:r>
    </w:p>
    <w:p>
      <w:pPr>
        <w:pStyle w:val="Compact"/>
        <w:numPr>
          <w:ilvl w:val="0"/>
          <w:numId w:val="1002"/>
        </w:numPr>
      </w:pPr>
      <w:r>
        <w:rPr>
          <w:b/>
          <w:bCs/>
        </w:rPr>
        <w:t xml:space="preserve">Proffered wage</w:t>
      </w:r>
      <w:r>
        <w:t xml:space="preserve"> </w:t>
      </w:r>
      <w:r>
        <w:t xml:space="preserve">— $128,000/year (LCA, support letter, posting notice).</w:t>
      </w:r>
    </w:p>
    <w:p>
      <w:pPr>
        <w:pStyle w:val="Compact"/>
        <w:numPr>
          <w:ilvl w:val="0"/>
          <w:numId w:val="1002"/>
        </w:numPr>
      </w:pPr>
      <w:r>
        <w:rPr>
          <w:b/>
          <w:bCs/>
        </w:rPr>
        <w:t xml:space="preserve">Prevailing wage</w:t>
      </w:r>
      <w:r>
        <w:t xml:space="preserve"> </w:t>
      </w:r>
      <w:r>
        <w:t xml:space="preserve">— $113,734/year, Level 2 (LCA, PWD, support letter, posting notice).</w:t>
      </w:r>
    </w:p>
    <w:p>
      <w:pPr>
        <w:pStyle w:val="Compact"/>
        <w:numPr>
          <w:ilvl w:val="0"/>
          <w:numId w:val="1002"/>
        </w:numPr>
      </w:pPr>
      <w:r>
        <w:rPr>
          <w:b/>
          <w:bCs/>
        </w:rPr>
        <w:t xml:space="preserve">LCA case number</w:t>
      </w:r>
      <w:r>
        <w:t xml:space="preserve"> </w:t>
      </w:r>
      <w:r>
        <w:t xml:space="preserve">— I-200-25031-543219 (LCA, posting notice, support letter).</w:t>
      </w:r>
    </w:p>
    <w:p>
      <w:pPr>
        <w:pStyle w:val="Compact"/>
        <w:numPr>
          <w:ilvl w:val="0"/>
          <w:numId w:val="1002"/>
        </w:numPr>
      </w:pPr>
      <w:r>
        <w:rPr>
          <w:b/>
          <w:bCs/>
        </w:rPr>
        <w:t xml:space="preserve">PWD case number</w:t>
      </w:r>
      <w:r>
        <w:t xml:space="preserve"> </w:t>
      </w:r>
      <w:r>
        <w:t xml:space="preserve">— P-300-25012-183456 (LCA, PWD).</w:t>
      </w:r>
    </w:p>
    <w:p>
      <w:pPr>
        <w:pStyle w:val="Compact"/>
        <w:numPr>
          <w:ilvl w:val="0"/>
          <w:numId w:val="1002"/>
        </w:numPr>
      </w:pPr>
      <w:r>
        <w:rPr>
          <w:b/>
          <w:bCs/>
        </w:rPr>
        <w:t xml:space="preserve">Employment period</w:t>
      </w:r>
      <w:r>
        <w:t xml:space="preserve"> </w:t>
      </w:r>
      <w:r>
        <w:t xml:space="preserve">— October 1, 2025 – September 30, 2028 (LCA, support letter, posting notice).</w:t>
      </w:r>
    </w:p>
    <w:p>
      <w:pPr>
        <w:pStyle w:val="Compact"/>
        <w:numPr>
          <w:ilvl w:val="0"/>
          <w:numId w:val="1002"/>
        </w:numPr>
      </w:pPr>
      <w:r>
        <w:rPr>
          <w:b/>
          <w:bCs/>
        </w:rPr>
        <w:t xml:space="preserve">Number of workers</w:t>
      </w:r>
      <w:r>
        <w:t xml:space="preserve"> </w:t>
      </w:r>
      <w:r>
        <w:t xml:space="preserve">— 1 (LCA, PWD, posting notice).</w:t>
      </w:r>
    </w:p>
    <w:p>
      <w:pPr>
        <w:pStyle w:val="Compact"/>
        <w:numPr>
          <w:ilvl w:val="0"/>
          <w:numId w:val="1002"/>
        </w:numPr>
      </w:pPr>
      <w:r>
        <w:rPr>
          <w:b/>
          <w:bCs/>
        </w:rPr>
        <w:t xml:space="preserve">Duty-time percentages</w:t>
      </w:r>
      <w:r>
        <w:t xml:space="preserve"> </w:t>
      </w:r>
      <w:r>
        <w:t xml:space="preserve">— sum to 100% (support letter Section 2: 15 + 20 + 20 + 15 + 15 + 10 + 5 = 100).</w:t>
      </w:r>
    </w:p>
    <w:p>
      <w:r>
        <w:pict>
          <v:rect style="width:0;height:1.5pt" o:hralign="center" o:hrstd="t" o:hr="t"/>
        </w:pict>
      </w:r>
    </w:p>
    <w:bookmarkEnd w:id="37"/>
    <w:bookmarkStart w:id="38" w:name="X2b1ff15102c0f437254e67a07cb4faa47e913e1"/>
    <w:p>
      <w:pPr>
        <w:pStyle w:val="Heading2"/>
      </w:pPr>
      <w:r>
        <w:t xml:space="preserve">XVIII. Recommended Next Steps (Priority Order)</w:t>
      </w:r>
    </w:p>
    <w:p>
      <w:pPr>
        <w:pStyle w:val="Compact"/>
        <w:numPr>
          <w:ilvl w:val="0"/>
          <w:numId w:val="1003"/>
        </w:numPr>
      </w:pPr>
      <w:r>
        <w:rPr>
          <w:b/>
          <w:bCs/>
        </w:rPr>
        <w:t xml:space="preserve">Resolve the F-1 OPT / education inconsistency (Issues 34–36).</w:t>
      </w:r>
      <w:r>
        <w:t xml:space="preserve"> </w:t>
      </w:r>
      <w:r>
        <w:t xml:space="preserve">Confirm whether the beneficiary holds a U.S. degree; if so, obtain the degree, transcript, I-20, EAD, and F-1 visa, and re-evaluate the field-of-study analysis around the U.S. degree. Clarify the complete immigration timeline and address any unauthorized-employment exposure during the consulting period.</w:t>
      </w:r>
    </w:p>
    <w:p>
      <w:pPr>
        <w:pStyle w:val="Compact"/>
        <w:numPr>
          <w:ilvl w:val="0"/>
          <w:numId w:val="1003"/>
        </w:numPr>
      </w:pPr>
      <w:r>
        <w:rPr>
          <w:b/>
          <w:bCs/>
        </w:rPr>
        <w:t xml:space="preserve">Cure the field-of-study gap (Issues 1–6, 8, 63–64).</w:t>
      </w:r>
      <w:r>
        <w:t xml:space="preserve"> </w:t>
      </w:r>
      <w:r>
        <w:t xml:space="preserve">Obtain an expert opinion letter addressing whether ECE (or any U.S. degree) is</w:t>
      </w:r>
      <w:r>
        <w:t xml:space="preserve"> </w:t>
      </w:r>
      <w:r>
        <w:t xml:space="preserve">“</w:t>
      </w:r>
      <w:r>
        <w:t xml:space="preserve">closely related</w:t>
      </w:r>
      <w:r>
        <w:t xml:space="preserve">”</w:t>
      </w:r>
      <w:r>
        <w:t xml:space="preserve"> </w:t>
      </w:r>
      <w:r>
        <w:t xml:space="preserve">to CS/ML/AI for this position, addressing the FPGA/biomedical-signal-processing capstone and the minimal CS coursework; or obtain a combination evaluation. Reconcile the alternative qualification with the LCA’s stated major field. Leverage verifiable certification evidence (e.g., AWS Certified Machine Learning – Specialty) in the qualifications narrative.</w:t>
      </w:r>
    </w:p>
    <w:p>
      <w:pPr>
        <w:pStyle w:val="Compact"/>
        <w:numPr>
          <w:ilvl w:val="0"/>
          <w:numId w:val="1003"/>
        </w:numPr>
      </w:pPr>
      <w:r>
        <w:rPr>
          <w:b/>
          <w:bCs/>
        </w:rPr>
        <w:t xml:space="preserve">Re-examine the wage level (Issues 22–24).</w:t>
      </w:r>
      <w:r>
        <w:t xml:space="preserve"> </w:t>
      </w:r>
      <w:r>
        <w:t xml:space="preserve">Confirm Level 2 is defensible against the supervisory/independent-judgment duties; if Level 3 applies, raise the offered wage to at least $137,946 or restructure the duties.</w:t>
      </w:r>
    </w:p>
    <w:p>
      <w:pPr>
        <w:pStyle w:val="Compact"/>
        <w:numPr>
          <w:ilvl w:val="0"/>
          <w:numId w:val="1003"/>
        </w:numPr>
      </w:pPr>
      <w:r>
        <w:rPr>
          <w:b/>
          <w:bCs/>
        </w:rPr>
        <w:t xml:space="preserve">Cure the LCA posting deficiencies (Issues 25–26).</w:t>
      </w:r>
      <w:r>
        <w:t xml:space="preserve"> </w:t>
      </w:r>
      <w:r>
        <w:t xml:space="preserve">Re-post for 10 consecutive business days at two conspicuous locations and document both.</w:t>
      </w:r>
    </w:p>
    <w:p>
      <w:pPr>
        <w:pStyle w:val="Compact"/>
        <w:numPr>
          <w:ilvl w:val="0"/>
          <w:numId w:val="1003"/>
        </w:numPr>
      </w:pPr>
      <w:r>
        <w:rPr>
          <w:b/>
          <w:bCs/>
        </w:rPr>
        <w:t xml:space="preserve">Verify the LCA 6-month filing compliance (Issue 27).</w:t>
      </w:r>
      <w:r>
        <w:t xml:space="preserve"> </w:t>
      </w:r>
      <w:r>
        <w:t xml:space="preserve">Confirm the actual FLAG filing date and the period-of-employment dates.</w:t>
      </w:r>
    </w:p>
    <w:p>
      <w:pPr>
        <w:pStyle w:val="Compact"/>
        <w:numPr>
          <w:ilvl w:val="0"/>
          <w:numId w:val="1003"/>
        </w:numPr>
      </w:pPr>
      <w:r>
        <w:rPr>
          <w:b/>
          <w:bCs/>
        </w:rPr>
        <w:t xml:space="preserve">Document the independent-consulting experience (Issues 12–13).</w:t>
      </w:r>
      <w:r>
        <w:t xml:space="preserve"> </w:t>
      </w:r>
      <w:r>
        <w:t xml:space="preserve">Obtain client letters, 1099s, or other evidence, or remove reliance on that period.</w:t>
      </w:r>
    </w:p>
    <w:p>
      <w:pPr>
        <w:pStyle w:val="Compact"/>
        <w:numPr>
          <w:ilvl w:val="0"/>
          <w:numId w:val="1003"/>
        </w:numPr>
      </w:pPr>
      <w:r>
        <w:rPr>
          <w:b/>
          <w:bCs/>
        </w:rPr>
        <w:t xml:space="preserve">Reconcile all date and data discrepancies (Issues 9–11, 14, 29–33, 65).</w:t>
      </w:r>
      <w:r>
        <w:t xml:space="preserve"> </w:t>
      </w:r>
      <w:r>
        <w:t xml:space="preserve">Correct the resume, align team size and phone numbers, clarify the revenue year, and reconcile the LCA prevailing-wage source year with the PWD’s OEWS survey year.</w:t>
      </w:r>
    </w:p>
    <w:p>
      <w:pPr>
        <w:pStyle w:val="Compact"/>
        <w:numPr>
          <w:ilvl w:val="0"/>
          <w:numId w:val="1003"/>
        </w:numPr>
      </w:pPr>
      <w:r>
        <w:rPr>
          <w:b/>
          <w:bCs/>
        </w:rPr>
        <w:t xml:space="preserve">Obtain executed/sealed originals and verify all signatures (Issues 48–51, 62, 66).</w:t>
      </w:r>
      <w:r>
        <w:t xml:space="preserve"> </w:t>
      </w:r>
      <w:r>
        <w:t xml:space="preserve">Secure executed originals of the support letter, NovaStar letter, and credential evaluation; obtain the actual certified LCA from FLAG; and verify the signed/sealed transcript and PWD.</w:t>
      </w:r>
    </w:p>
    <w:p>
      <w:pPr>
        <w:pStyle w:val="Compact"/>
        <w:numPr>
          <w:ilvl w:val="0"/>
          <w:numId w:val="1003"/>
        </w:numPr>
      </w:pPr>
      <w:r>
        <w:rPr>
          <w:b/>
          <w:bCs/>
        </w:rPr>
        <w:t xml:space="preserve">Assemble the missing forms and evidence (Issues 39–45).</w:t>
      </w:r>
      <w:r>
        <w:t xml:space="preserve"> </w:t>
      </w:r>
      <w:r>
        <w:t xml:space="preserve">I-129 and supplements, cap selection notice, beneficiary status documents, degree certificate, ability-to-pay financials, and expert/industry evidence.</w:t>
      </w:r>
    </w:p>
    <w:p>
      <w:pPr>
        <w:pStyle w:val="Compact"/>
        <w:numPr>
          <w:ilvl w:val="0"/>
          <w:numId w:val="1003"/>
        </w:numPr>
      </w:pPr>
      <w:r>
        <w:rPr>
          <w:b/>
          <w:bCs/>
        </w:rPr>
        <w:t xml:space="preserve">Clarify the current vs. petitioned role and the org structure (Issues 15–16, 52–56).</w:t>
      </w:r>
      <w:r>
        <w:t xml:space="preserve"> </w:t>
      </w:r>
      <w:r>
        <w:t xml:space="preserve">Explain the Data Scientist → Senior ML Engineer transition, name the CTO, and update the org chart as of the start date.</w:t>
      </w:r>
    </w:p>
    <w:p>
      <w:pPr>
        <w:pStyle w:val="Compact"/>
        <w:numPr>
          <w:ilvl w:val="0"/>
          <w:numId w:val="1003"/>
        </w:numPr>
      </w:pPr>
      <w:r>
        <w:rPr>
          <w:b/>
          <w:bCs/>
        </w:rPr>
        <w:t xml:space="preserve">Address the consulting/worksite model if any client-site work is contemplated (Issues 57–58).</w:t>
      </w:r>
    </w:p>
    <w:p>
      <w:r>
        <w:pict>
          <v:rect style="width:0;height:1.5pt" o:hralign="center" o:hrstd="t" o:hr="t"/>
        </w:pict>
      </w:r>
    </w:p>
    <w:p>
      <w:pPr>
        <w:pStyle w:val="FirstParagraph"/>
      </w:pPr>
      <w:r>
        <w:rPr>
          <w:i/>
          <w:iCs/>
        </w:rPr>
        <w:t xml:space="preserve">Prepared on the basis of the ten documents listed in Section II. This memorandum identifies issues for further investigation and remediation; it does not constitute a determination of approvability, and no issue should be treated as established until verified against the source records and applicable law.</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2026-06-27T01:11:40Z</dcterms:created>
  <dcterms:modified xsi:type="dcterms:W3CDTF">2026-06-27T01:11:40Z</dcterms:modified>
</cp:coreProperties>
</file>

<file path=docProps/custom.xml><?xml version="1.0" encoding="utf-8"?>
<Properties xmlns="http://schemas.openxmlformats.org/officeDocument/2006/custom-properties" xmlns:vt="http://schemas.openxmlformats.org/officeDocument/2006/docPropsVTypes"/>
</file>