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mbria" w:hAnsi="Cambria" w:cs="Cambria" w:eastAsia="Cambria"/>
          <w:b/>
          <w:i w:val="0"/>
          <w:color w:val="1F3864"/>
          <w:sz w:val="36"/>
        </w:rPr>
        <w:t>FERNDALE HALE &amp; SEWARD LLP</w:t>
      </w:r>
    </w:p>
    <w:p>
      <w:pPr>
        <w:spacing w:before="0" w:after="40" w:line="240" w:lineRule="auto"/>
        <w:jc w:val="center"/>
      </w:pPr>
      <w:r>
        <w:rPr>
          <w:rFonts w:ascii="Cambria" w:hAnsi="Cambria" w:cs="Cambria" w:eastAsia="Cambria"/>
          <w:b w:val="0"/>
          <w:i/>
          <w:color w:val="595959"/>
          <w:sz w:val="20"/>
        </w:rPr>
        <w:t>Attorneys &amp; Counselors at Law</w:t>
      </w:r>
    </w:p>
    <w:p>
      <w:pPr>
        <w:spacing w:before="0" w:after="80" w:line="240" w:lineRule="auto"/>
        <w:pBdr>
          <w:bottom w:val="single" w:sz="10" w:space="1" w:color="1F3864"/>
        </w:pBdr>
      </w:pPr>
    </w:p>
    <w:p>
      <w:pPr>
        <w:spacing w:before="0" w:after="40" w:line="240" w:lineRule="auto"/>
        <w:jc w:val="center"/>
      </w:pPr>
      <w:r>
        <w:rPr>
          <w:rFonts w:ascii="Cambria" w:hAnsi="Cambria" w:cs="Cambria" w:eastAsia="Cambria"/>
          <w:b/>
          <w:i w:val="0"/>
          <w:color w:val="9C0006"/>
          <w:sz w:val="18"/>
        </w:rPr>
        <w:t>PRIVILEGED &amp; CONFIDENTIAL  |  ATTORNEY-CLIENT COMMUNICATION  |  ATTORNEY WORK PRODUCT</w:t>
      </w:r>
    </w:p>
    <w:p>
      <w:pPr>
        <w:spacing w:before="0" w:after="160" w:line="252" w:lineRule="auto"/>
        <w:jc w:val="center"/>
      </w:pPr>
      <w:r>
        <w:rPr>
          <w:rFonts w:ascii="Cambria" w:hAnsi="Cambria" w:cs="Cambria" w:eastAsia="Cambria"/>
          <w:b w:val="0"/>
          <w:i/>
          <w:color w:val="595959"/>
          <w:sz w:val="17"/>
        </w:rPr>
        <w:t>Prepared at the request of Sarah Yin, General Counsel, Whitmore Analytics Inc., in anticipation of the June 18, 2025 meeting of the Board of Directors. Distribution restricted to the Board of Directors and designated officers of Whitmore Analytics Inc. and its outside counsel.</w:t>
      </w:r>
    </w:p>
    <w:p>
      <w:pPr>
        <w:spacing w:before="0" w:after="120" w:line="240" w:lineRule="auto"/>
        <w:jc w:val="center"/>
      </w:pPr>
      <w:r>
        <w:rPr>
          <w:rFonts w:ascii="Cambria" w:hAnsi="Cambria" w:cs="Cambria" w:eastAsia="Cambria"/>
          <w:b/>
          <w:i w:val="0"/>
          <w:color w:val="1F3864"/>
          <w:sz w:val="30"/>
        </w:rPr>
        <w:t>MEMORANDUM</w:t>
      </w:r>
    </w:p>
    <w:p>
      <w:pPr>
        <w:spacing w:before="0" w:after="120" w:line="240" w:lineRule="auto"/>
        <w:pBdr>
          <w:bottom w:val="single" w:sz="6" w:space="1" w:color="1F3864"/>
        </w:pBdr>
      </w:pP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1224"/>
            <w:shd w:val="clear" w:color="auto" w:fill="F2F5FA"/>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9"/>
              </w:rPr>
              <w:t>TO:</w:t>
            </w:r>
          </w:p>
        </w:tc>
        <w:tc>
          <w:tcPr>
            <w:tcW w:type="dxa" w:w="856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Board of Directors, Whitmore Analytics Inc.</w:t>
            </w:r>
          </w:p>
        </w:tc>
      </w:tr>
      <w:tr>
        <w:tc>
          <w:tcPr>
            <w:tcW w:type="dxa" w:w="1224"/>
            <w:shd w:val="clear" w:color="auto" w:fill="F2F5FA"/>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9"/>
              </w:rPr>
              <w:t>FROM:</w:t>
            </w:r>
          </w:p>
        </w:tc>
        <w:tc>
          <w:tcPr>
            <w:tcW w:type="dxa" w:w="856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Daniel Cortez &amp; Priya Venkatesh, Partners — Ferndale Hale &amp; Seward LLP</w:t>
            </w:r>
          </w:p>
        </w:tc>
      </w:tr>
      <w:tr>
        <w:tc>
          <w:tcPr>
            <w:tcW w:type="dxa" w:w="1224"/>
            <w:shd w:val="clear" w:color="auto" w:fill="F2F5FA"/>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9"/>
              </w:rPr>
              <w:t>DATE:</w:t>
            </w:r>
          </w:p>
        </w:tc>
        <w:tc>
          <w:tcPr>
            <w:tcW w:type="dxa" w:w="856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16, 2025</w:t>
            </w:r>
          </w:p>
        </w:tc>
      </w:tr>
      <w:tr>
        <w:tc>
          <w:tcPr>
            <w:tcW w:type="dxa" w:w="1224"/>
            <w:shd w:val="clear" w:color="auto" w:fill="F2F5FA"/>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9"/>
              </w:rPr>
              <w:t>RE:</w:t>
            </w:r>
          </w:p>
        </w:tc>
        <w:tc>
          <w:tcPr>
            <w:tcW w:type="dxa" w:w="856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Key-Terms Extraction, Risk Assessment &amp; Negotiation Recommendations — Proposed PredictIQ Technology License Agreement with Kessler-Brandt Industrial GmbH (Non-Binding Term Sheet and Most-Favored-Customer Side Letter, each dated May 29, 2025)</w:t>
            </w:r>
          </w:p>
        </w:tc>
      </w:tr>
    </w:tbl>
    <w:p>
      <w:pPr>
        <w:spacing w:before="0" w:after="40" w:line="269" w:lineRule="auto"/>
      </w:pPr>
    </w:p>
    <w:p>
      <w:pPr>
        <w:spacing w:before="0" w:after="80" w:line="269" w:lineRule="auto"/>
      </w:pPr>
      <w:r>
        <w:rPr>
          <w:rFonts w:ascii="Cambria" w:hAnsi="Cambria" w:cs="Cambria" w:eastAsia="Cambria"/>
          <w:b/>
          <w:color w:val="595959"/>
          <w:sz w:val="18"/>
        </w:rPr>
        <w:t>Basis of review.</w:t>
      </w:r>
      <w:r>
        <w:rPr>
          <w:rFonts w:ascii="Cambria" w:hAnsi="Cambria" w:cs="Cambria" w:eastAsia="Cambria"/>
          <w:b w:val="0"/>
          <w:i/>
          <w:color w:val="595959"/>
          <w:sz w:val="18"/>
        </w:rPr>
        <w:t xml:space="preserve">  This memorandum is based on our review of (i) the non-binding term sheet dated May 29, 2025 prepared by Bergström Hecht Rechtsanwälte on behalf of Kessler-Brandt Industrial GmbH ("KBI") (the "Term Sheet"); (ii) the most-favored-customer side letter dated May 29, 2025 from KBI to Whitmore Analytics Inc. ("Whitmore") (the "Side Letter"); and (iii) internal Whitmore email correspondence dated June 3, 2025 among Tom Kendrick (VP, Sales), Sarah Yin (General Counsel) and Rajesh Malhotra (CEO). Except for the confidentiality and miscellaneous provisions of the Term Sheet (Sections 15 and 16), neither the Term Sheet nor the Side Letter is binding. Our analysis is preliminary and is intended to frame the Board's negotiation posture; definitive-agreement drafting will require further review, including by German-law and EU competition-law specialists as flagged herein.</w:t>
      </w:r>
    </w:p>
    <w:p>
      <w:pPr>
        <w:keepNext/>
        <w:spacing w:before="280" w:after="100" w:line="240" w:lineRule="auto"/>
        <w:pBdr>
          <w:bottom w:val="single" w:sz="6" w:space="3" w:color="1F3864"/>
        </w:pBdr>
      </w:pPr>
      <w:r>
        <w:rPr>
          <w:rFonts w:ascii="Cambria" w:hAnsi="Cambria" w:cs="Cambria" w:eastAsia="Cambria"/>
          <w:b/>
          <w:color w:val="1F3864"/>
          <w:sz w:val="26"/>
        </w:rPr>
        <w:t xml:space="preserve">1.  </w:t>
      </w:r>
      <w:r>
        <w:rPr>
          <w:rFonts w:ascii="Cambria" w:hAnsi="Cambria" w:cs="Cambria" w:eastAsia="Cambria"/>
          <w:b/>
          <w:color w:val="1F3864"/>
          <w:sz w:val="26"/>
        </w:rPr>
        <w:t>Executive Summary</w:t>
      </w:r>
    </w:p>
    <w:p>
      <w:pPr>
        <w:spacing w:before="0" w:after="120" w:line="269" w:lineRule="auto"/>
      </w:pPr>
      <w:r>
        <w:rPr>
          <w:rFonts w:ascii="Cambria" w:hAnsi="Cambria" w:cs="Cambria" w:eastAsia="Cambria"/>
          <w:b w:val="0"/>
          <w:i w:val="0"/>
          <w:color w:val="2D2D2D"/>
          <w:sz w:val="21"/>
        </w:rPr>
        <w:t>This memorandum extracts and analyzes the principal commercial and legal terms of the Term Sheet and Side Letter delivered to Whitmore on June 2, 2025, and sets out prioritized risk flags and negotiation recommendations for the Board's consideration in advance of the June 18, 2025 board meeting and the June 23, 2025 response deadline.</w:t>
      </w:r>
    </w:p>
    <w:p>
      <w:pPr>
        <w:spacing w:before="0" w:after="120" w:line="269" w:lineRule="auto"/>
      </w:pPr>
      <w:r>
        <w:rPr>
          <w:rFonts w:ascii="Cambria" w:hAnsi="Cambria" w:cs="Cambria" w:eastAsia="Cambria"/>
          <w:b/>
          <w:color w:val="2D2D2D"/>
          <w:sz w:val="21"/>
        </w:rPr>
        <w:t>The opportunity is significant.</w:t>
      </w:r>
      <w:r>
        <w:rPr>
          <w:rFonts w:ascii="Cambria" w:hAnsi="Cambria" w:cs="Cambria" w:eastAsia="Cambria"/>
          <w:b w:val="0"/>
          <w:i w:val="0"/>
          <w:color w:val="2D2D2D"/>
          <w:sz w:val="21"/>
        </w:rPr>
        <w:t xml:space="preserve"> The transaction would generate approximately </w:t>
      </w:r>
      <w:r>
        <w:rPr>
          <w:rFonts w:ascii="Cambria" w:hAnsi="Cambria" w:cs="Cambria" w:eastAsia="Cambria"/>
          <w:b/>
          <w:color w:val="2D2D2D"/>
          <w:sz w:val="21"/>
        </w:rPr>
        <w:t>$9.56 million in first-year revenue</w:t>
      </w:r>
      <w:r>
        <w:rPr>
          <w:rFonts w:ascii="Cambria" w:hAnsi="Cambria" w:cs="Cambria" w:eastAsia="Cambria"/>
          <w:b w:val="0"/>
          <w:i w:val="0"/>
          <w:color w:val="2D2D2D"/>
          <w:sz w:val="21"/>
        </w:rPr>
        <w:t xml:space="preserve"> — roughly </w:t>
      </w:r>
      <w:r>
        <w:rPr>
          <w:rFonts w:ascii="Cambria" w:hAnsi="Cambria" w:cs="Cambria" w:eastAsia="Cambria"/>
          <w:b/>
          <w:color w:val="2D2D2D"/>
          <w:sz w:val="21"/>
        </w:rPr>
        <w:t>20% of Whitmore's FY 2024 revenue of $47.3 million</w:t>
      </w:r>
      <w:r>
        <w:rPr>
          <w:rFonts w:ascii="Cambria" w:hAnsi="Cambria" w:cs="Cambria" w:eastAsia="Cambria"/>
          <w:b w:val="0"/>
          <w:i w:val="0"/>
          <w:color w:val="2D2D2D"/>
          <w:sz w:val="21"/>
        </w:rPr>
        <w:t xml:space="preserve"> — and an estimated </w:t>
      </w:r>
      <w:r>
        <w:rPr>
          <w:rFonts w:ascii="Cambria" w:hAnsi="Cambria" w:cs="Cambria" w:eastAsia="Cambria"/>
          <w:b/>
          <w:color w:val="2D2D2D"/>
          <w:sz w:val="21"/>
        </w:rPr>
        <w:t>$24.5 million in total contract value over the first five years</w:t>
      </w:r>
      <w:r>
        <w:rPr>
          <w:rFonts w:ascii="Cambria" w:hAnsi="Cambria" w:cs="Cambria" w:eastAsia="Cambria"/>
          <w:b w:val="0"/>
          <w:i w:val="0"/>
          <w:color w:val="2D2D2D"/>
          <w:sz w:val="21"/>
        </w:rPr>
        <w:t xml:space="preserve">, anchored by </w:t>
      </w:r>
      <w:r>
        <w:rPr>
          <w:rFonts w:ascii="Cambria" w:hAnsi="Cambria" w:cs="Cambria" w:eastAsia="Cambria"/>
          <w:b/>
          <w:color w:val="2D2D2D"/>
          <w:sz w:val="21"/>
        </w:rPr>
        <w:t>$2.85 million per year in recurring SaaS revenue</w:t>
      </w:r>
      <w:r>
        <w:rPr>
          <w:rFonts w:ascii="Cambria" w:hAnsi="Cambria" w:cs="Cambria" w:eastAsia="Cambria"/>
          <w:b w:val="0"/>
          <w:i w:val="0"/>
          <w:color w:val="2D2D2D"/>
          <w:sz w:val="21"/>
        </w:rPr>
        <w:t xml:space="preserve"> (Whitmore's largest SaaS contract by a factor of three). KBI would become Whitmore's flagship European reference account across 43 manufacturing facilities in 12 countries, materially strengthening the growth narrative for a potential Series C round with Hollcroft Ventures.</w:t>
      </w:r>
    </w:p>
    <w:p>
      <w:pPr>
        <w:spacing w:before="0" w:after="120" w:line="269" w:lineRule="auto"/>
      </w:pPr>
      <w:r>
        <w:rPr>
          <w:rFonts w:ascii="Cambria" w:hAnsi="Cambria" w:cs="Cambria" w:eastAsia="Cambria"/>
          <w:b/>
          <w:color w:val="2D2D2D"/>
          <w:sz w:val="21"/>
        </w:rPr>
        <w:t>Several terms as drafted, however, pose material risks</w:t>
      </w:r>
      <w:r>
        <w:rPr>
          <w:rFonts w:ascii="Cambria" w:hAnsi="Cambria" w:cs="Cambria" w:eastAsia="Cambria"/>
          <w:b w:val="0"/>
          <w:i w:val="0"/>
          <w:color w:val="2D2D2D"/>
          <w:sz w:val="21"/>
        </w:rPr>
        <w:t xml:space="preserve"> to Whitmore's core intellectual property, business model, and growth trajectory. We have identified </w:t>
      </w:r>
      <w:r>
        <w:rPr>
          <w:rFonts w:ascii="Cambria" w:hAnsi="Cambria" w:cs="Cambria" w:eastAsia="Cambria"/>
          <w:b/>
          <w:color w:val="2D2D2D"/>
          <w:sz w:val="21"/>
        </w:rPr>
        <w:t>four (4) critical-risk items, six (6) high-risk items, and ten (10) medium/low-risk items</w:t>
      </w:r>
      <w:r>
        <w:rPr>
          <w:rFonts w:ascii="Cambria" w:hAnsi="Cambria" w:cs="Cambria" w:eastAsia="Cambria"/>
          <w:b w:val="0"/>
          <w:i w:val="0"/>
          <w:color w:val="2D2D2D"/>
          <w:sz w:val="21"/>
        </w:rPr>
        <w:t xml:space="preserve"> (see the Risk Register at Appendix C). The most serious concerns are: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Exclusivity / non-compete (Term Sheet §12).</w:t>
      </w:r>
      <w:r>
        <w:rPr>
          <w:rFonts w:ascii="Cambria" w:hAnsi="Cambria" w:cs="Cambria" w:eastAsia="Cambria"/>
          <w:b w:val="0"/>
          <w:i w:val="0"/>
          <w:color w:val="2D2D2D"/>
          <w:sz w:val="21"/>
        </w:rPr>
        <w:t xml:space="preserve"> A three-year lockout of the European automotive and heavy-machinery market, defined by an open-ended 30%-of-revenue test that could capture 25–30 companies beyond the 12 named competitors — including three active prospects representing </w:t>
      </w:r>
      <w:r>
        <w:rPr>
          <w:rFonts w:ascii="Cambria" w:hAnsi="Cambria" w:cs="Cambria" w:eastAsia="Cambria"/>
          <w:b/>
          <w:color w:val="2D2D2D"/>
          <w:sz w:val="21"/>
        </w:rPr>
        <w:t>$4–5 million in recurring revenue</w:t>
      </w:r>
      <w:r>
        <w:rPr>
          <w:rFonts w:ascii="Cambria" w:hAnsi="Cambria" w:cs="Cambria" w:eastAsia="Cambria"/>
          <w:b w:val="0"/>
          <w:i w:val="0"/>
          <w:color w:val="2D2D2D"/>
          <w:sz w:val="21"/>
        </w:rPr>
        <w:t>. The provision creates a practically unworkable monitoring obligation, survives termination, carries injunctive remedies, and raises EU competition-law concerns.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Data training restriction and Output Data ownership (Term Sheet §§4.2–4.3).</w:t>
      </w:r>
      <w:r>
        <w:rPr>
          <w:rFonts w:ascii="Cambria" w:hAnsi="Cambria" w:cs="Cambria" w:eastAsia="Cambria"/>
          <w:b w:val="0"/>
          <w:i w:val="0"/>
          <w:color w:val="2D2D2D"/>
          <w:sz w:val="21"/>
        </w:rPr>
        <w:t xml:space="preserve"> A blanket prohibition on Whitmore's use of KBI data — even anonymized or aggregated — to improve its general ML models, coupled with a definition of "Output Data" that claims KBI ownership of model weights, parameters, and training artifacts. Read together, these provisions could transfer ownership of PredictIQ's evolving model state to KBI and degrade the product for all other customers.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Most-favored-customer Side Letter.</w:t>
      </w:r>
      <w:r>
        <w:rPr>
          <w:rFonts w:ascii="Cambria" w:hAnsi="Cambria" w:cs="Cambria" w:eastAsia="Cambria"/>
          <w:b w:val="0"/>
          <w:i w:val="0"/>
          <w:color w:val="2D2D2D"/>
          <w:sz w:val="21"/>
        </w:rPr>
        <w:t xml:space="preserve"> An unusually aggressive MFC clause with no carve-outs, no sunset, open-ended retroactive reach, and application extending through any post-termination wind-down license. It conditions the entire transaction on acceptance and would constrain Whitmore's pricing flexibility across its entire customer base.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Uncapped IP indemnification (Term Sheet §9.1).</w:t>
      </w:r>
      <w:r>
        <w:rPr>
          <w:rFonts w:ascii="Cambria" w:hAnsi="Cambria" w:cs="Cambria" w:eastAsia="Cambria"/>
          <w:b w:val="0"/>
          <w:i w:val="0"/>
          <w:color w:val="2D2D2D"/>
          <w:sz w:val="21"/>
        </w:rPr>
        <w:t xml:space="preserve"> Whitmore's intellectual-property indemnity is expressly carved out of the liability cap and the consequential-damages exclusion, exposing Whitmore to uncapped defense and damages costs in an ML/AI patent landscape that is complex and uncertain.</w:t>
      </w:r>
    </w:p>
    <w:p>
      <w:pPr>
        <w:spacing w:before="0" w:after="120" w:line="269" w:lineRule="auto"/>
      </w:pPr>
      <w:r>
        <w:rPr>
          <w:rFonts w:ascii="Cambria" w:hAnsi="Cambria" w:cs="Cambria" w:eastAsia="Cambria"/>
          <w:b/>
          <w:color w:val="2D2D2D"/>
          <w:sz w:val="21"/>
        </w:rPr>
        <w:t>Recommendation.</w:t>
      </w:r>
      <w:r>
        <w:rPr>
          <w:rFonts w:ascii="Cambria" w:hAnsi="Cambria" w:cs="Cambria" w:eastAsia="Cambria"/>
          <w:b w:val="0"/>
          <w:i w:val="0"/>
          <w:color w:val="2D2D2D"/>
          <w:sz w:val="21"/>
        </w:rPr>
        <w:t xml:space="preserve"> We recommend that the Board authorize management to pursue the transaction aggressively while establishing clear red lines on the four critical items above, supported by the detailed counter-positions set out in Section 7. We further recommend (a) engaging German-law and EU competition-law specialists before responding to KBI; (b) restructuring the payment schedule to front-load cash and address an estimated $0.7–1.2 million first-six-month cash shortfall; and (c) refraining from signing the Term Sheet's binding-provisions acknowledgment until the 60-day no-shop obligation (Term Sheet §16.2) is assessed, as that obligation would become binding upon signature. The June 23, 2025 response deadline provides a workable but compressed window.</w:t>
      </w:r>
    </w:p>
    <w:p>
      <w:pPr>
        <w:keepNext/>
        <w:spacing w:before="280" w:after="100" w:line="240" w:lineRule="auto"/>
        <w:pBdr>
          <w:bottom w:val="single" w:sz="6" w:space="3" w:color="1F3864"/>
        </w:pBdr>
      </w:pPr>
      <w:r>
        <w:rPr>
          <w:rFonts w:ascii="Cambria" w:hAnsi="Cambria" w:cs="Cambria" w:eastAsia="Cambria"/>
          <w:b/>
          <w:color w:val="1F3864"/>
          <w:sz w:val="26"/>
        </w:rPr>
        <w:t xml:space="preserve">2.  </w:t>
      </w:r>
      <w:r>
        <w:rPr>
          <w:rFonts w:ascii="Cambria" w:hAnsi="Cambria" w:cs="Cambria" w:eastAsia="Cambria"/>
          <w:b/>
          <w:color w:val="1F3864"/>
          <w:sz w:val="26"/>
        </w:rPr>
        <w:t>Transaction Overview</w:t>
      </w:r>
    </w:p>
    <w:p>
      <w:pPr>
        <w:spacing w:before="0" w:after="120" w:line="269" w:lineRule="auto"/>
      </w:pPr>
      <w:r>
        <w:rPr>
          <w:rFonts w:ascii="Cambria" w:hAnsi="Cambria" w:cs="Cambria" w:eastAsia="Cambria"/>
          <w:b w:val="0"/>
          <w:i w:val="0"/>
          <w:color w:val="2D2D2D"/>
          <w:sz w:val="21"/>
        </w:rPr>
        <w:t>The proposed transaction is a perpetual, non-exclusive technology license for Whitmore's PredictIQ predictive-maintenance platform, combined with a SaaS subscription, on-premises edge-computing deployment licenses, and professional implementation services. The principal terms are summarized below.</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952"/>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Item</w:t>
            </w:r>
          </w:p>
        </w:tc>
        <w:tc>
          <w:tcPr>
            <w:tcW w:type="dxa" w:w="6840"/>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Detail</w:t>
            </w:r>
          </w:p>
        </w:tc>
      </w:tr>
      <w:tr>
        <w:tc>
          <w:tcPr>
            <w:tcW w:type="dxa" w:w="295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Licensor</w:t>
            </w:r>
          </w:p>
        </w:tc>
        <w:tc>
          <w:tcPr>
            <w:tcW w:type="dxa" w:w="684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Whitmore Analytics Inc. — Delaware corporation; Seattle, WA. CEO: Rajesh Malhotra; GC: Sarah Yin.</w:t>
            </w:r>
          </w:p>
        </w:tc>
      </w:tr>
      <w:tr>
        <w:tc>
          <w:tcPr>
            <w:tcW w:type="dxa" w:w="2952"/>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Licensee</w:t>
            </w:r>
          </w:p>
        </w:tc>
        <w:tc>
          <w:tcPr>
            <w:tcW w:type="dxa" w:w="684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Kessler-Brandt Industrial GmbH ("KBI") — German GmbH; Munich (HRB 247891). €8.2B annual revenue; 43 facilities across 12 European countries. CTO: Dr. Markus Fiedler; VP Digital Transformation: Annika Solberg.</w:t>
            </w:r>
          </w:p>
        </w:tc>
      </w:tr>
      <w:tr>
        <w:tc>
          <w:tcPr>
            <w:tcW w:type="dxa" w:w="295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Licensed technology</w:t>
            </w:r>
          </w:p>
        </w:tc>
        <w:tc>
          <w:tcPr>
            <w:tcW w:type="dxa" w:w="684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PredictIQ platform — cloud-native SaaS analytics engine + on-premises edge-computing modules + API/IoT integration layers. Protected by 14 issued U.S. utility patents and 3 pending PCT applications.</w:t>
            </w:r>
          </w:p>
        </w:tc>
      </w:tr>
      <w:tr>
        <w:tc>
          <w:tcPr>
            <w:tcW w:type="dxa" w:w="2952"/>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Transaction structure</w:t>
            </w:r>
          </w:p>
        </w:tc>
        <w:tc>
          <w:tcPr>
            <w:tcW w:type="dxa" w:w="684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(i) Perpetual, non-exclusive, worldwide license; (ii) 18-month implementation phase then ongoing production use; (iii) SaaS subscription for the cloud analytics engine; (iv) on-premises edge-module deployment license.</w:t>
            </w:r>
          </w:p>
        </w:tc>
      </w:tr>
      <w:tr>
        <w:tc>
          <w:tcPr>
            <w:tcW w:type="dxa" w:w="295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Business purpose</w:t>
            </w:r>
          </w:p>
        </w:tc>
        <w:tc>
          <w:tcPr>
            <w:tcW w:type="dxa" w:w="684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KBI "SmartFactory 2030" initiative; targeted 40% reduction in unplanned downtime across European manufacturing operations.</w:t>
            </w:r>
          </w:p>
        </w:tc>
      </w:tr>
      <w:tr>
        <w:tc>
          <w:tcPr>
            <w:tcW w:type="dxa" w:w="2952"/>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Deployment scope</w:t>
            </w:r>
          </w:p>
        </w:tc>
        <w:tc>
          <w:tcPr>
            <w:tcW w:type="dxa" w:w="684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Up to 43 facilities across 12 European countries; 5-year expansion right to deploy at newly acquired facilities on the same per-facility terms.</w:t>
            </w:r>
          </w:p>
        </w:tc>
      </w:tr>
      <w:tr>
        <w:tc>
          <w:tcPr>
            <w:tcW w:type="dxa" w:w="295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Targeted definitive-agreement execution</w:t>
            </w:r>
          </w:p>
        </w:tc>
        <w:tc>
          <w:tcPr>
            <w:tcW w:type="dxa" w:w="684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August 15, 2025</w:t>
            </w:r>
          </w:p>
        </w:tc>
      </w:tr>
      <w:tr>
        <w:tc>
          <w:tcPr>
            <w:tcW w:type="dxa" w:w="2952"/>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KBI response deadline</w:t>
            </w:r>
          </w:p>
        </w:tc>
        <w:tc>
          <w:tcPr>
            <w:tcW w:type="dxa" w:w="684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23, 2025</w:t>
            </w:r>
          </w:p>
        </w:tc>
      </w:tr>
      <w:tr>
        <w:tc>
          <w:tcPr>
            <w:tcW w:type="dxa" w:w="295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Whitmore board meeting</w:t>
            </w:r>
          </w:p>
        </w:tc>
        <w:tc>
          <w:tcPr>
            <w:tcW w:type="dxa" w:w="684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18, 2025 (this memo prepared for that meeting)</w:t>
            </w:r>
          </w:p>
        </w:tc>
      </w:tr>
      <w:tr>
        <w:tc>
          <w:tcPr>
            <w:tcW w:type="dxa" w:w="2952"/>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First-year revenue (headline)</w:t>
            </w:r>
          </w:p>
        </w:tc>
        <w:tc>
          <w:tcPr>
            <w:tcW w:type="dxa" w:w="684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~$9.56 million (≈20% of FY 2024 revenue of $47.3M)</w:t>
            </w:r>
          </w:p>
        </w:tc>
      </w:tr>
      <w:tr>
        <w:tc>
          <w:tcPr>
            <w:tcW w:type="dxa" w:w="295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Estimated 5-year total contract value</w:t>
            </w:r>
          </w:p>
        </w:tc>
        <w:tc>
          <w:tcPr>
            <w:tcW w:type="dxa" w:w="684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~$24.55 million (see Appendix B)</w:t>
            </w:r>
          </w:p>
        </w:tc>
      </w:tr>
    </w:tbl>
    <w:p>
      <w:pPr>
        <w:spacing w:before="0" w:after="40" w:line="269" w:lineRule="auto"/>
      </w:pPr>
    </w:p>
    <w:p>
      <w:pPr>
        <w:keepNext/>
        <w:spacing w:before="280" w:after="100" w:line="240" w:lineRule="auto"/>
        <w:pBdr>
          <w:bottom w:val="single" w:sz="6" w:space="3" w:color="1F3864"/>
        </w:pBdr>
      </w:pPr>
      <w:r>
        <w:rPr>
          <w:rFonts w:ascii="Cambria" w:hAnsi="Cambria" w:cs="Cambria" w:eastAsia="Cambria"/>
          <w:b/>
          <w:color w:val="1F3864"/>
          <w:sz w:val="26"/>
        </w:rPr>
        <w:t xml:space="preserve">3.  </w:t>
      </w:r>
      <w:r>
        <w:rPr>
          <w:rFonts w:ascii="Cambria" w:hAnsi="Cambria" w:cs="Cambria" w:eastAsia="Cambria"/>
          <w:b/>
          <w:color w:val="1F3864"/>
          <w:sz w:val="26"/>
        </w:rPr>
        <w:t>Key Commercial Terms</w:t>
      </w:r>
    </w:p>
    <w:p>
      <w:pPr>
        <w:keepNext/>
        <w:spacing w:before="180" w:after="60" w:line="240" w:lineRule="auto"/>
      </w:pPr>
      <w:r>
        <w:rPr>
          <w:rFonts w:ascii="Cambria" w:hAnsi="Cambria" w:cs="Cambria" w:eastAsia="Cambria"/>
          <w:b/>
          <w:color w:val="15284E"/>
          <w:sz w:val="22"/>
        </w:rPr>
        <w:t>3.1  Fee structure</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448"/>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Fee component</w:t>
            </w:r>
          </w:p>
        </w:tc>
        <w:tc>
          <w:tcPr>
            <w:tcW w:type="dxa" w:w="1944"/>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Amount</w:t>
            </w:r>
          </w:p>
        </w:tc>
        <w:tc>
          <w:tcPr>
            <w:tcW w:type="dxa" w:w="5400"/>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Payment terms</w:t>
            </w:r>
          </w:p>
        </w:tc>
      </w:tr>
      <w:tr>
        <w:tc>
          <w:tcPr>
            <w:tcW w:type="dxa" w:w="24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Initial license fee</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$4,200,000</w:t>
            </w:r>
          </w:p>
        </w:tc>
        <w:tc>
          <w:tcPr>
            <w:tcW w:type="dxa" w:w="54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Three installments: 30% ($1.26M) on execution; 40% ($1.68M) on Phase 1 completion (target Mar 15, 2026); 30% ($1.26M) on Phase 2 go-live (target Mar 15, 2027).</w:t>
            </w:r>
          </w:p>
        </w:tc>
      </w:tr>
      <w:tr>
        <w:tc>
          <w:tcPr>
            <w:tcW w:type="dxa" w:w="24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Annual SaaS subscription</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$2,850,000 / yr (Yrs 1–3)</w:t>
            </w:r>
          </w:p>
        </w:tc>
        <w:tc>
          <w:tcPr>
            <w:tcW w:type="dxa" w:w="54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Quarterly in advance ($712,500/qtr). Escalates 3% p.a. from Year 4 (Y4 $2,935,500; Y5 $3,023,565).</w:t>
            </w:r>
          </w:p>
        </w:tc>
      </w:tr>
      <w:tr>
        <w:tc>
          <w:tcPr>
            <w:tcW w:type="dxa" w:w="24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Implementation services</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$1,750,000</w:t>
            </w:r>
          </w:p>
        </w:tc>
        <w:tc>
          <w:tcPr>
            <w:tcW w:type="dxa" w:w="54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Equal monthly installments over 18 months (~$97,222.22/mo). Covers deployment, SCADA/MES integration, data migration, training.</w:t>
            </w:r>
          </w:p>
        </w:tc>
      </w:tr>
      <w:tr>
        <w:tc>
          <w:tcPr>
            <w:tcW w:type="dxa" w:w="24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Annual maintenance &amp; support</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$756,000 / yr (Yr 1)</w:t>
            </w:r>
          </w:p>
        </w:tc>
        <w:tc>
          <w:tcPr>
            <w:tcW w:type="dxa" w:w="54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18% of initial license fee. Escalates 4% p.a. from Year 2 (Y2 $786,240; Y3 $817,689.60). Payable annually in advance.</w:t>
            </w:r>
          </w:p>
        </w:tc>
      </w:tr>
      <w:tr>
        <w:tc>
          <w:tcPr>
            <w:tcW w:type="dxa" w:w="24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Currency / payment terms</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USD</w:t>
            </w:r>
          </w:p>
        </w:tc>
        <w:tc>
          <w:tcPr>
            <w:tcW w:type="dxa" w:w="54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Net 30 days from invoice. Late interest 1.5% per month (~18% APR) or maximum permitted by law.</w:t>
            </w:r>
          </w:p>
        </w:tc>
      </w:tr>
      <w:tr>
        <w:tc>
          <w:tcPr>
            <w:tcW w:type="dxa" w:w="24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Taxes</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KBI bears</w:t>
            </w:r>
          </w:p>
        </w:tc>
        <w:tc>
          <w:tcPr>
            <w:tcW w:type="dxa" w:w="54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KBI responsible for all sales, use, VAT and similar taxes (excluding Whitmore's income taxes).</w:t>
            </w:r>
          </w:p>
        </w:tc>
      </w:tr>
      <w:tr>
        <w:tc>
          <w:tcPr>
            <w:tcW w:type="dxa" w:w="24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Expansion pricing</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Same per-facility terms</w:t>
            </w:r>
          </w:p>
        </w:tc>
        <w:tc>
          <w:tcPr>
            <w:tcW w:type="dxa" w:w="54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Newly acquired facilities during the 5-year expansion period at the same per-facility terms, pro rata to 43 facilities, with no additional license fee.</w:t>
            </w:r>
          </w:p>
        </w:tc>
      </w:tr>
    </w:tbl>
    <w:p>
      <w:pPr>
        <w:spacing w:before="0" w:after="40" w:line="269" w:lineRule="auto"/>
      </w:pPr>
    </w:p>
    <w:p>
      <w:pPr>
        <w:keepNext/>
        <w:spacing w:before="180" w:after="60" w:line="240" w:lineRule="auto"/>
      </w:pPr>
      <w:r>
        <w:rPr>
          <w:rFonts w:ascii="Cambria" w:hAnsi="Cambria" w:cs="Cambria" w:eastAsia="Cambria"/>
          <w:b/>
          <w:color w:val="15284E"/>
          <w:sz w:val="22"/>
        </w:rPr>
        <w:t>3.2  Key milestones</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6624"/>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Milestone</w:t>
            </w:r>
          </w:p>
        </w:tc>
        <w:tc>
          <w:tcPr>
            <w:tcW w:type="dxa" w:w="3168"/>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Target date</w:t>
            </w:r>
          </w:p>
        </w:tc>
      </w:tr>
      <w:tr>
        <w:tc>
          <w:tcPr>
            <w:tcW w:type="dxa" w:w="66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Term Sheet response deadline (requested by KBI)</w:t>
            </w:r>
          </w:p>
        </w:tc>
        <w:tc>
          <w:tcPr>
            <w:tcW w:type="dxa" w:w="316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23, 2025</w:t>
            </w:r>
          </w:p>
        </w:tc>
      </w:tr>
      <w:tr>
        <w:tc>
          <w:tcPr>
            <w:tcW w:type="dxa" w:w="66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Whitmore board meeting (negotiation framework approval)</w:t>
            </w:r>
          </w:p>
        </w:tc>
        <w:tc>
          <w:tcPr>
            <w:tcW w:type="dxa" w:w="316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18, 2025</w:t>
            </w:r>
          </w:p>
        </w:tc>
      </w:tr>
      <w:tr>
        <w:tc>
          <w:tcPr>
            <w:tcW w:type="dxa" w:w="66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Targeted definitive-agreement execution</w:t>
            </w:r>
          </w:p>
        </w:tc>
        <w:tc>
          <w:tcPr>
            <w:tcW w:type="dxa" w:w="316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August 15, 2025</w:t>
            </w:r>
          </w:p>
        </w:tc>
      </w:tr>
      <w:tr>
        <w:tc>
          <w:tcPr>
            <w:tcW w:type="dxa" w:w="66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Phase 1 implementation start (10 pilot facilities)</w:t>
            </w:r>
          </w:p>
        </w:tc>
        <w:tc>
          <w:tcPr>
            <w:tcW w:type="dxa" w:w="316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September 15, 2025</w:t>
            </w:r>
          </w:p>
        </w:tc>
      </w:tr>
      <w:tr>
        <w:tc>
          <w:tcPr>
            <w:tcW w:type="dxa" w:w="66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Phase 1 completion target</w:t>
            </w:r>
          </w:p>
        </w:tc>
        <w:tc>
          <w:tcPr>
            <w:tcW w:type="dxa" w:w="316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March 15, 2026</w:t>
            </w:r>
          </w:p>
        </w:tc>
      </w:tr>
      <w:tr>
        <w:tc>
          <w:tcPr>
            <w:tcW w:type="dxa" w:w="66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Phase 2 go-live target (all 43 facilities)</w:t>
            </w:r>
          </w:p>
        </w:tc>
        <w:tc>
          <w:tcPr>
            <w:tcW w:type="dxa" w:w="316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March 15, 2027</w:t>
            </w:r>
          </w:p>
        </w:tc>
      </w:tr>
    </w:tbl>
    <w:p>
      <w:pPr>
        <w:spacing w:before="0" w:after="40" w:line="269" w:lineRule="auto"/>
      </w:pPr>
    </w:p>
    <w:p>
      <w:pPr>
        <w:keepNext/>
        <w:spacing w:before="180" w:after="60" w:line="240" w:lineRule="auto"/>
      </w:pPr>
      <w:r>
        <w:rPr>
          <w:rFonts w:ascii="Cambria" w:hAnsi="Cambria" w:cs="Cambria" w:eastAsia="Cambria"/>
          <w:b/>
          <w:color w:val="15284E"/>
          <w:sz w:val="22"/>
        </w:rPr>
        <w:t>3.3  Economics snapshot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First-year revenue:</w:t>
      </w:r>
      <w:r>
        <w:rPr>
          <w:rFonts w:ascii="Cambria" w:hAnsi="Cambria" w:cs="Cambria" w:eastAsia="Cambria"/>
          <w:b w:val="0"/>
          <w:i w:val="0"/>
          <w:color w:val="2D2D2D"/>
          <w:sz w:val="21"/>
        </w:rPr>
        <w:t xml:space="preserve"> ~$9.56M (license $4.20M + SaaS $2.85M + implementation $1.75M + maintenance $0.756M).</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Recurring revenue (SaaS + maintenance), Years 1–5:</w:t>
      </w:r>
      <w:r>
        <w:rPr>
          <w:rFonts w:ascii="Cambria" w:hAnsi="Cambria" w:cs="Cambria" w:eastAsia="Cambria"/>
          <w:b w:val="0"/>
          <w:i w:val="0"/>
          <w:color w:val="2D2D2D"/>
          <w:sz w:val="21"/>
        </w:rPr>
        <w:t xml:space="preserve"> ~$18.6M; </w:t>
      </w:r>
      <w:r>
        <w:rPr>
          <w:rFonts w:ascii="Cambria" w:hAnsi="Cambria" w:cs="Cambria" w:eastAsia="Cambria"/>
          <w:b/>
          <w:color w:val="2D2D2D"/>
          <w:sz w:val="21"/>
        </w:rPr>
        <w:t>one-time fees (license + implementation):</w:t>
      </w:r>
      <w:r>
        <w:rPr>
          <w:rFonts w:ascii="Cambria" w:hAnsi="Cambria" w:cs="Cambria" w:eastAsia="Cambria"/>
          <w:b w:val="0"/>
          <w:i w:val="0"/>
          <w:color w:val="2D2D2D"/>
          <w:sz w:val="21"/>
        </w:rPr>
        <w:t xml:space="preserve"> $5.95M.</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Five-year total contract value:</w:t>
      </w:r>
      <w:r>
        <w:rPr>
          <w:rFonts w:ascii="Cambria" w:hAnsi="Cambria" w:cs="Cambria" w:eastAsia="Cambria"/>
          <w:b w:val="0"/>
          <w:i w:val="0"/>
          <w:color w:val="2D2D2D"/>
          <w:sz w:val="21"/>
        </w:rPr>
        <w:t xml:space="preserve"> ~$24.55M (see Appendix B).</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Per-facility economics:</w:t>
      </w:r>
      <w:r>
        <w:rPr>
          <w:rFonts w:ascii="Cambria" w:hAnsi="Cambria" w:cs="Cambria" w:eastAsia="Cambria"/>
          <w:b w:val="0"/>
          <w:i w:val="0"/>
          <w:color w:val="2D2D2D"/>
          <w:sz w:val="21"/>
        </w:rPr>
        <w:t xml:space="preserve"> ~$222,232 per facility in Year 1 (including one-time fees); ~$85,295 per facility per year recurring at Year 3 run-rate — the metric the Side Letter uses for MFC comparisons.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Strategic context:</w:t>
      </w:r>
      <w:r>
        <w:rPr>
          <w:rFonts w:ascii="Cambria" w:hAnsi="Cambria" w:cs="Cambria" w:eastAsia="Cambria"/>
          <w:b w:val="0"/>
          <w:i w:val="0"/>
          <w:color w:val="2D2D2D"/>
          <w:sz w:val="21"/>
        </w:rPr>
        <w:t xml:space="preserve"> ~20% of FY 2024 revenue; largest SaaS contract by 3×; centerpiece of any Series C pitch to Hollcroft Ventures.</w:t>
      </w:r>
    </w:p>
    <w:p>
      <w:pPr>
        <w:keepNext/>
        <w:spacing w:before="280" w:after="100" w:line="240" w:lineRule="auto"/>
        <w:pBdr>
          <w:bottom w:val="single" w:sz="6" w:space="3" w:color="1F3864"/>
        </w:pBdr>
      </w:pPr>
      <w:r>
        <w:rPr>
          <w:rFonts w:ascii="Cambria" w:hAnsi="Cambria" w:cs="Cambria" w:eastAsia="Cambria"/>
          <w:b/>
          <w:color w:val="1F3864"/>
          <w:sz w:val="26"/>
        </w:rPr>
        <w:t xml:space="preserve">4.  </w:t>
      </w:r>
      <w:r>
        <w:rPr>
          <w:rFonts w:ascii="Cambria" w:hAnsi="Cambria" w:cs="Cambria" w:eastAsia="Cambria"/>
          <w:b/>
          <w:color w:val="1F3864"/>
          <w:sz w:val="26"/>
        </w:rPr>
        <w:t>Key Legal Terms — Extraction</w:t>
      </w:r>
    </w:p>
    <w:p>
      <w:pPr>
        <w:spacing w:before="0" w:after="120" w:line="269" w:lineRule="auto"/>
      </w:pPr>
      <w:r>
        <w:rPr>
          <w:rFonts w:ascii="Cambria" w:hAnsi="Cambria" w:cs="Cambria" w:eastAsia="Cambria"/>
          <w:b w:val="0"/>
          <w:i w:val="0"/>
          <w:color w:val="2D2D2D"/>
          <w:sz w:val="21"/>
        </w:rPr>
        <w:t>The following is a section-by-section extraction of the principal legal terms. Risk flags and recommendations appear in Sections 6 and 7; this section is descriptive.</w:t>
      </w:r>
    </w:p>
    <w:p>
      <w:pPr>
        <w:keepNext/>
        <w:spacing w:before="180" w:after="60" w:line="240" w:lineRule="auto"/>
      </w:pPr>
      <w:r>
        <w:rPr>
          <w:rFonts w:ascii="Cambria" w:hAnsi="Cambria" w:cs="Cambria" w:eastAsia="Cambria"/>
          <w:b/>
          <w:color w:val="15284E"/>
          <w:sz w:val="22"/>
        </w:rPr>
        <w:t>4.1  License grant (Term Sheet §2)</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Grant:</w:t>
      </w:r>
      <w:r>
        <w:rPr>
          <w:rFonts w:ascii="Cambria" w:hAnsi="Cambria" w:cs="Cambria" w:eastAsia="Cambria"/>
          <w:b w:val="0"/>
          <w:i w:val="0"/>
          <w:color w:val="2D2D2D"/>
          <w:sz w:val="21"/>
        </w:rPr>
        <w:t xml:space="preserve"> Perpetual, non-exclusive, worldwide license to use, execute, display, and operate PredictIQ (software, algorithms, documentation, APIs, edge modules) in connection with KBI's manufacturing operations.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Scope:</w:t>
      </w:r>
      <w:r>
        <w:rPr>
          <w:rFonts w:ascii="Cambria" w:hAnsi="Cambria" w:cs="Cambria" w:eastAsia="Cambria"/>
          <w:b w:val="0"/>
          <w:i w:val="0"/>
          <w:color w:val="2D2D2D"/>
          <w:sz w:val="21"/>
        </w:rPr>
        <w:t xml:space="preserve"> Covers both the cloud-hosted SaaS engine and on-premises edge modules.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Authorized users:</w:t>
      </w:r>
      <w:r>
        <w:rPr>
          <w:rFonts w:ascii="Cambria" w:hAnsi="Cambria" w:cs="Cambria" w:eastAsia="Cambria"/>
          <w:b w:val="0"/>
          <w:i w:val="0"/>
          <w:color w:val="2D2D2D"/>
          <w:sz w:val="21"/>
        </w:rPr>
        <w:t xml:space="preserve"> KBI employees, contractors, and agents at/for KBI facilities, subject to confidentiality obligations.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Sublicensing:</w:t>
      </w:r>
      <w:r>
        <w:rPr>
          <w:rFonts w:ascii="Cambria" w:hAnsi="Cambria" w:cs="Cambria" w:eastAsia="Cambria"/>
          <w:b w:val="0"/>
          <w:i w:val="0"/>
          <w:color w:val="2D2D2D"/>
          <w:sz w:val="21"/>
        </w:rPr>
        <w:t xml:space="preserve"> No sublicensing to third parties, except controlled affiliates and subcontractors performing services at KBI facilities.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Derivative works:</w:t>
      </w:r>
      <w:r>
        <w:rPr>
          <w:rFonts w:ascii="Cambria" w:hAnsi="Cambria" w:cs="Cambria" w:eastAsia="Cambria"/>
          <w:b w:val="0"/>
          <w:i w:val="0"/>
          <w:color w:val="2D2D2D"/>
          <w:sz w:val="21"/>
        </w:rPr>
        <w:t xml:space="preserve"> KBI may create derivative works from the API layer for MES/SCADA integration; such derivatives are </w:t>
      </w:r>
      <w:r>
        <w:rPr>
          <w:rFonts w:ascii="Cambria" w:hAnsi="Cambria" w:cs="Cambria" w:eastAsia="Cambria"/>
          <w:b/>
          <w:color w:val="2D2D2D"/>
          <w:sz w:val="21"/>
        </w:rPr>
        <w:t>jointly owned</w:t>
      </w:r>
      <w:r>
        <w:rPr>
          <w:rFonts w:ascii="Cambria" w:hAnsi="Cambria" w:cs="Cambria" w:eastAsia="Cambria"/>
          <w:b w:val="0"/>
          <w:i w:val="0"/>
          <w:color w:val="2D2D2D"/>
          <w:sz w:val="21"/>
        </w:rPr>
        <w:t xml:space="preserve"> by KBI and Whitmore, each with the unrestricted right to use, modify, sublicense, and exploit without consent or accounting.</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Expansion right:</w:t>
      </w:r>
      <w:r>
        <w:rPr>
          <w:rFonts w:ascii="Cambria" w:hAnsi="Cambria" w:cs="Cambria" w:eastAsia="Cambria"/>
          <w:b w:val="0"/>
          <w:i w:val="0"/>
          <w:color w:val="2D2D2D"/>
          <w:sz w:val="21"/>
        </w:rPr>
        <w:t xml:space="preserve"> 5 years post-execution to deploy at newly acquired facilities on the same terms.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Restrictions:</w:t>
      </w:r>
      <w:r>
        <w:rPr>
          <w:rFonts w:ascii="Cambria" w:hAnsi="Cambria" w:cs="Cambria" w:eastAsia="Cambria"/>
          <w:b w:val="0"/>
          <w:i w:val="0"/>
          <w:color w:val="2D2D2D"/>
          <w:sz w:val="21"/>
        </w:rPr>
        <w:t xml:space="preserve"> No reverse engineering/decompilation (except as permitted by law); no use for third-party benefit; no removal of proprietary notices.</w:t>
      </w:r>
    </w:p>
    <w:p>
      <w:pPr>
        <w:keepNext/>
        <w:spacing w:before="180" w:after="60" w:line="240" w:lineRule="auto"/>
      </w:pPr>
      <w:r>
        <w:rPr>
          <w:rFonts w:ascii="Cambria" w:hAnsi="Cambria" w:cs="Cambria" w:eastAsia="Cambria"/>
          <w:b/>
          <w:color w:val="15284E"/>
          <w:sz w:val="22"/>
        </w:rPr>
        <w:t>4.2  Intellectual property ownership (Term Sheet §3)</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§3.1 Whitmore IP:</w:t>
      </w:r>
      <w:r>
        <w:rPr>
          <w:rFonts w:ascii="Cambria" w:hAnsi="Cambria" w:cs="Cambria" w:eastAsia="Cambria"/>
          <w:b w:val="0"/>
          <w:i w:val="0"/>
          <w:color w:val="2D2D2D"/>
          <w:sz w:val="21"/>
        </w:rPr>
        <w:t xml:space="preserve"> Whitmore retains all right, title, and interest in PredictIQ, including 14 issued U.S. patents, 3 pending PCT applications, source/object code, models, trade secrets.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§3.2 KBI IP:</w:t>
      </w:r>
      <w:r>
        <w:rPr>
          <w:rFonts w:ascii="Cambria" w:hAnsi="Cambria" w:cs="Cambria" w:eastAsia="Cambria"/>
          <w:b w:val="0"/>
          <w:i w:val="0"/>
          <w:color w:val="2D2D2D"/>
          <w:sz w:val="21"/>
        </w:rPr>
        <w:t xml:space="preserve"> KBI retains its MES, SCADA, operational data, and know-how.</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§3.3 Derivative works:</w:t>
      </w:r>
      <w:r>
        <w:rPr>
          <w:rFonts w:ascii="Cambria" w:hAnsi="Cambria" w:cs="Cambria" w:eastAsia="Cambria"/>
          <w:b w:val="0"/>
          <w:i w:val="0"/>
          <w:color w:val="2D2D2D"/>
          <w:sz w:val="21"/>
        </w:rPr>
        <w:t xml:space="preserve"> Jointly owned (see §4.1).</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§3.4 Feedback:</w:t>
      </w:r>
      <w:r>
        <w:rPr>
          <w:rFonts w:ascii="Cambria" w:hAnsi="Cambria" w:cs="Cambria" w:eastAsia="Cambria"/>
          <w:b w:val="0"/>
          <w:i w:val="0"/>
          <w:color w:val="2D2D2D"/>
          <w:sz w:val="21"/>
        </w:rPr>
        <w:t xml:space="preserve"> All feedback, suggestions, and enhancement requests from KBI become the </w:t>
      </w:r>
      <w:r>
        <w:rPr>
          <w:rFonts w:ascii="Cambria" w:hAnsi="Cambria" w:cs="Cambria" w:eastAsia="Cambria"/>
          <w:b/>
          <w:color w:val="2D2D2D"/>
          <w:sz w:val="21"/>
        </w:rPr>
        <w:t>sole and exclusive property of Whitmore</w:t>
      </w:r>
      <w:r>
        <w:rPr>
          <w:rFonts w:ascii="Cambria" w:hAnsi="Cambria" w:cs="Cambria" w:eastAsia="Cambria"/>
          <w:b w:val="0"/>
          <w:i w:val="0"/>
          <w:color w:val="2D2D2D"/>
          <w:sz w:val="21"/>
        </w:rPr>
        <w:t>; KBI assigns all rights therein.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§3.5 KBI-Inspired Improvements:</w:t>
      </w:r>
      <w:r>
        <w:rPr>
          <w:rFonts w:ascii="Cambria" w:hAnsi="Cambria" w:cs="Cambria" w:eastAsia="Cambria"/>
          <w:b w:val="0"/>
          <w:i w:val="0"/>
          <w:color w:val="2D2D2D"/>
          <w:sz w:val="21"/>
        </w:rPr>
        <w:t xml:space="preserve"> Improvements derived from or inspired by KBI's data, processes, or use of PredictIQ are licensed back to KBI on a </w:t>
      </w:r>
      <w:r>
        <w:rPr>
          <w:rFonts w:ascii="Cambria" w:hAnsi="Cambria" w:cs="Cambria" w:eastAsia="Cambria"/>
          <w:b/>
          <w:color w:val="2D2D2D"/>
          <w:sz w:val="21"/>
        </w:rPr>
        <w:t>perpetual, irrevocable, royalty-free, non-exclusive</w:t>
      </w:r>
      <w:r>
        <w:rPr>
          <w:rFonts w:ascii="Cambria" w:hAnsi="Cambria" w:cs="Cambria" w:eastAsia="Cambria"/>
          <w:b w:val="0"/>
          <w:i w:val="0"/>
          <w:color w:val="2D2D2D"/>
          <w:sz w:val="21"/>
        </w:rPr>
        <w:t xml:space="preserve"> basis for use in its manufacturing operations, regardless of whether developed in response to KBI feedback.</w:t>
      </w:r>
    </w:p>
    <w:p>
      <w:pPr>
        <w:keepNext/>
        <w:spacing w:before="180" w:after="60" w:line="240" w:lineRule="auto"/>
      </w:pPr>
      <w:r>
        <w:rPr>
          <w:rFonts w:ascii="Cambria" w:hAnsi="Cambria" w:cs="Cambria" w:eastAsia="Cambria"/>
          <w:b/>
          <w:color w:val="15284E"/>
          <w:sz w:val="22"/>
        </w:rPr>
        <w:t>4.3  Data rights (Term Sheet §4)</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§4.1 KBI Data:</w:t>
      </w:r>
      <w:r>
        <w:rPr>
          <w:rFonts w:ascii="Cambria" w:hAnsi="Cambria" w:cs="Cambria" w:eastAsia="Cambria"/>
          <w:b w:val="0"/>
          <w:i w:val="0"/>
          <w:color w:val="2D2D2D"/>
          <w:sz w:val="21"/>
        </w:rPr>
        <w:t xml:space="preserve"> All data input into or processed by PredictIQ (operational data, sensor readings, telemetry, maintenance records, etc.); KBI retains ownership.</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§4.2 Output Data:</w:t>
      </w:r>
      <w:r>
        <w:rPr>
          <w:rFonts w:ascii="Cambria" w:hAnsi="Cambria" w:cs="Cambria" w:eastAsia="Cambria"/>
          <w:b w:val="0"/>
          <w:i w:val="0"/>
          <w:color w:val="2D2D2D"/>
          <w:sz w:val="21"/>
        </w:rPr>
        <w:t xml:space="preserve"> All outputs generated by PredictIQ when processing KBI Data — expressly including </w:t>
      </w:r>
      <w:r>
        <w:rPr>
          <w:rFonts w:ascii="Cambria" w:hAnsi="Cambria" w:cs="Cambria" w:eastAsia="Cambria"/>
          <w:b/>
          <w:color w:val="2D2D2D"/>
          <w:sz w:val="21"/>
        </w:rPr>
        <w:t>model weights, parameters, training artifacts, feature-importance rankings, and model configuration data</w:t>
      </w:r>
      <w:r>
        <w:rPr>
          <w:rFonts w:ascii="Cambria" w:hAnsi="Cambria" w:cs="Cambria" w:eastAsia="Cambria"/>
          <w:b w:val="0"/>
          <w:i w:val="0"/>
          <w:color w:val="2D2D2D"/>
          <w:sz w:val="21"/>
        </w:rPr>
        <w:t xml:space="preserve"> — are the </w:t>
      </w:r>
      <w:r>
        <w:rPr>
          <w:rFonts w:ascii="Cambria" w:hAnsi="Cambria" w:cs="Cambria" w:eastAsia="Cambria"/>
          <w:b/>
          <w:color w:val="2D2D2D"/>
          <w:sz w:val="21"/>
        </w:rPr>
        <w:t>sole and exclusive property of KBI</w:t>
      </w:r>
      <w:r>
        <w:rPr>
          <w:rFonts w:ascii="Cambria" w:hAnsi="Cambria" w:cs="Cambria" w:eastAsia="Cambria"/>
          <w:b w:val="0"/>
          <w:i w:val="0"/>
          <w:color w:val="2D2D2D"/>
          <w:sz w:val="21"/>
        </w:rPr>
        <w: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§4.3 Restrictions on use:</w:t>
      </w:r>
      <w:r>
        <w:rPr>
          <w:rFonts w:ascii="Cambria" w:hAnsi="Cambria" w:cs="Cambria" w:eastAsia="Cambria"/>
          <w:b w:val="0"/>
          <w:i w:val="0"/>
          <w:color w:val="2D2D2D"/>
          <w:sz w:val="21"/>
        </w:rPr>
        <w:t xml:space="preserve"> Whitmore may not use KBI Data (or data derived therefrom) to (a) train/tune/improve PredictIQ's general-purpose ML models; (b) develop/improve products for third parties; or (c) create anonymized/aggregated/de-identified datasets — </w:t>
      </w:r>
      <w:r>
        <w:rPr>
          <w:rFonts w:ascii="Cambria" w:hAnsi="Cambria" w:cs="Cambria" w:eastAsia="Cambria"/>
          <w:b/>
          <w:color w:val="2D2D2D"/>
          <w:sz w:val="21"/>
        </w:rPr>
        <w:t>in each case without KBI's prior written consent, which may be withheld in KBI's sole discretion</w:t>
      </w:r>
      <w:r>
        <w:rPr>
          <w:rFonts w:ascii="Cambria" w:hAnsi="Cambria" w:cs="Cambria" w:eastAsia="Cambria"/>
          <w:b w:val="0"/>
          <w:i w:val="0"/>
          <w:color w:val="2D2D2D"/>
          <w:sz w:val="21"/>
        </w:rPr>
        <w: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§4.4 Return/deletion:</w:t>
      </w:r>
      <w:r>
        <w:rPr>
          <w:rFonts w:ascii="Cambria" w:hAnsi="Cambria" w:cs="Cambria" w:eastAsia="Cambria"/>
          <w:b w:val="0"/>
          <w:i w:val="0"/>
          <w:color w:val="2D2D2D"/>
          <w:sz w:val="21"/>
        </w:rPr>
        <w:t xml:space="preserve"> On termination, Whitmore must return or securely delete all KBI Data and Output Data at KBI's election and certify in writing.</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§4.5 Compliance:</w:t>
      </w:r>
      <w:r>
        <w:rPr>
          <w:rFonts w:ascii="Cambria" w:hAnsi="Cambria" w:cs="Cambria" w:eastAsia="Cambria"/>
          <w:b w:val="0"/>
          <w:i w:val="0"/>
          <w:color w:val="2D2D2D"/>
          <w:sz w:val="21"/>
        </w:rPr>
        <w:t xml:space="preserve"> Both parties to comply with GDPR and applicable German federal/state data protection laws.</w:t>
      </w:r>
    </w:p>
    <w:p>
      <w:pPr>
        <w:keepNext/>
        <w:spacing w:before="180" w:after="60" w:line="240" w:lineRule="auto"/>
      </w:pPr>
      <w:r>
        <w:rPr>
          <w:rFonts w:ascii="Cambria" w:hAnsi="Cambria" w:cs="Cambria" w:eastAsia="Cambria"/>
          <w:b/>
          <w:color w:val="15284E"/>
          <w:sz w:val="22"/>
        </w:rPr>
        <w:t>4.4  Implementation services (Term Sheet §6)</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Scope:</w:t>
      </w:r>
      <w:r>
        <w:rPr>
          <w:rFonts w:ascii="Cambria" w:hAnsi="Cambria" w:cs="Cambria" w:eastAsia="Cambria"/>
          <w:b w:val="0"/>
          <w:i w:val="0"/>
          <w:color w:val="2D2D2D"/>
          <w:sz w:val="21"/>
        </w:rPr>
        <w:t xml:space="preserve"> Deployment at 43 facilities across 12 countries; edge-module installation; SCADA/MES integration; data-ingestion configuration; model calibration/training; end-user training; UAT at each facility.</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Phases:</w:t>
      </w:r>
      <w:r>
        <w:rPr>
          <w:rFonts w:ascii="Cambria" w:hAnsi="Cambria" w:cs="Cambria" w:eastAsia="Cambria"/>
          <w:b w:val="0"/>
          <w:i w:val="0"/>
          <w:color w:val="2D2D2D"/>
          <w:sz w:val="21"/>
        </w:rPr>
        <w:t xml:space="preserve"> Phase 1 (months 1–6): 10 pilot facilities (Sept 15, 2025 – Mar 15, 2026). Phase 2 (months 7–18): remaining 33 facilities (by Mar 15, 2027).</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KBI responsibilities:</w:t>
      </w:r>
      <w:r>
        <w:rPr>
          <w:rFonts w:ascii="Cambria" w:hAnsi="Cambria" w:cs="Cambria" w:eastAsia="Cambria"/>
          <w:b w:val="0"/>
          <w:i w:val="0"/>
          <w:color w:val="2D2D2D"/>
          <w:sz w:val="21"/>
        </w:rPr>
        <w:t xml:space="preserve"> Reasonable access to facilities/systems/data/personnel; designated project manager; SCADA/MES systems operational and meeting Whitmore's minimum requirements.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Change orders:</w:t>
      </w:r>
      <w:r>
        <w:rPr>
          <w:rFonts w:ascii="Cambria" w:hAnsi="Cambria" w:cs="Cambria" w:eastAsia="Cambria"/>
          <w:b w:val="0"/>
          <w:i w:val="0"/>
          <w:color w:val="2D2D2D"/>
          <w:sz w:val="21"/>
        </w:rPr>
        <w:t xml:space="preserve"> Written, signed by both parties, with fees agreed before work commences.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Acceptance:</w:t>
      </w:r>
      <w:r>
        <w:rPr>
          <w:rFonts w:ascii="Cambria" w:hAnsi="Cambria" w:cs="Cambria" w:eastAsia="Cambria"/>
          <w:b w:val="0"/>
          <w:i w:val="0"/>
          <w:color w:val="2D2D2D"/>
          <w:sz w:val="21"/>
        </w:rPr>
        <w:t xml:space="preserve"> 30-day UAT per facility; acceptance deemed granted if KBI gives no written notice of material non-conformance within the UAT period.</w:t>
      </w:r>
    </w:p>
    <w:p>
      <w:pPr>
        <w:keepNext/>
        <w:spacing w:before="180" w:after="60" w:line="240" w:lineRule="auto"/>
      </w:pPr>
      <w:r>
        <w:rPr>
          <w:rFonts w:ascii="Cambria" w:hAnsi="Cambria" w:cs="Cambria" w:eastAsia="Cambria"/>
          <w:b/>
          <w:color w:val="15284E"/>
          <w:sz w:val="22"/>
        </w:rPr>
        <w:t>4.5  Maintenance and support (Term Sheet §7)</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Scope:</w:t>
      </w:r>
      <w:r>
        <w:rPr>
          <w:rFonts w:ascii="Cambria" w:hAnsi="Cambria" w:cs="Cambria" w:eastAsia="Cambria"/>
          <w:b w:val="0"/>
          <w:i w:val="0"/>
          <w:color w:val="2D2D2D"/>
          <w:sz w:val="21"/>
        </w:rPr>
        <w:t xml:space="preserve"> Bug fixes; updates/patches; 24/7 support (phone, email, portal); annual major-release upgrades.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Service levels ("commercially reasonable efforts"):</w:t>
      </w:r>
      <w:r>
        <w:rPr>
          <w:rFonts w:ascii="Cambria" w:hAnsi="Cambria" w:cs="Cambria" w:eastAsia="Cambria"/>
          <w:b w:val="0"/>
          <w:i w:val="0"/>
          <w:color w:val="2D2D2D"/>
          <w:sz w:val="21"/>
        </w:rPr>
        <w:t xml:space="preserve"> Critical (system down) — 4-hr response / 24-hr resolution; High — 8-hr / 72-hr; Medium/Low — 2 business days / as reasonably practicable.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Fee:</w:t>
      </w:r>
      <w:r>
        <w:rPr>
          <w:rFonts w:ascii="Cambria" w:hAnsi="Cambria" w:cs="Cambria" w:eastAsia="Cambria"/>
          <w:b w:val="0"/>
          <w:i w:val="0"/>
          <w:color w:val="2D2D2D"/>
          <w:sz w:val="21"/>
        </w:rPr>
        <w:t xml:space="preserve"> $756,000/yr, escalating 4% p.a. from Year 2. Commences at Phase 1 go-live; continues for the license term.</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Suspension:</w:t>
      </w:r>
      <w:r>
        <w:rPr>
          <w:rFonts w:ascii="Cambria" w:hAnsi="Cambria" w:cs="Cambria" w:eastAsia="Cambria"/>
          <w:b w:val="0"/>
          <w:i w:val="0"/>
          <w:color w:val="2D2D2D"/>
          <w:sz w:val="21"/>
        </w:rPr>
        <w:t xml:space="preserve"> Whitmore may suspend support on 30 days' notice if KBI fails to pay maintenance fees.</w:t>
      </w:r>
    </w:p>
    <w:p>
      <w:pPr>
        <w:keepNext/>
        <w:spacing w:before="180" w:after="60" w:line="240" w:lineRule="auto"/>
      </w:pPr>
      <w:r>
        <w:rPr>
          <w:rFonts w:ascii="Cambria" w:hAnsi="Cambria" w:cs="Cambria" w:eastAsia="Cambria"/>
          <w:b/>
          <w:color w:val="15284E"/>
          <w:sz w:val="22"/>
        </w:rPr>
        <w:t>4.6  Warranties (Term Sheet §8)</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§8.1 Conformance:</w:t>
      </w:r>
      <w:r>
        <w:rPr>
          <w:rFonts w:ascii="Cambria" w:hAnsi="Cambria" w:cs="Cambria" w:eastAsia="Cambria"/>
          <w:b w:val="0"/>
          <w:i w:val="0"/>
          <w:color w:val="2D2D2D"/>
          <w:sz w:val="21"/>
        </w:rPr>
        <w:t xml:space="preserve"> PredictIQ will perform materially in accordance with documentation for 24 months from each facility's go-live.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§8.2 Performance:</w:t>
      </w:r>
      <w:r>
        <w:rPr>
          <w:rFonts w:ascii="Cambria" w:hAnsi="Cambria" w:cs="Cambria" w:eastAsia="Cambria"/>
          <w:b w:val="0"/>
          <w:i w:val="0"/>
          <w:color w:val="2D2D2D"/>
          <w:sz w:val="21"/>
        </w:rPr>
        <w:t xml:space="preserve"> PredictIQ will achieve ≥92% prediction accuracy on a rolling 90-day basis across all deployed facilities. "Prediction accuracy" = percentage of equipment-failure events correctly predicted at least 48 hours in advance, measured against actual failures in KBI's maintenance logs.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§8.3 Performance remedies:</w:t>
      </w:r>
      <w:r>
        <w:rPr>
          <w:rFonts w:ascii="Cambria" w:hAnsi="Cambria" w:cs="Cambria" w:eastAsia="Cambria"/>
          <w:b w:val="0"/>
          <w:i w:val="0"/>
          <w:color w:val="2D2D2D"/>
          <w:sz w:val="21"/>
        </w:rPr>
        <w:t xml:space="preserve"> (a) Credit of 5% of the quarterly SaaS fee ($35,625) per percentage point below 92%; (b) KBI may terminate for cause if accuracy falls below 85% for two consecutive calendar quarters.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§8.4 IP warranty:</w:t>
      </w:r>
      <w:r>
        <w:rPr>
          <w:rFonts w:ascii="Cambria" w:hAnsi="Cambria" w:cs="Cambria" w:eastAsia="Cambria"/>
          <w:b w:val="0"/>
          <w:i w:val="0"/>
          <w:color w:val="2D2D2D"/>
          <w:sz w:val="21"/>
        </w:rPr>
        <w:t xml:space="preserve"> Whitmore owns/is authorized to license PredictIQ IP; no third-party infringement to Whitmore's knowledge; full authority to grant the licenses.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§8.5 Disclaimer:</w:t>
      </w:r>
      <w:r>
        <w:rPr>
          <w:rFonts w:ascii="Cambria" w:hAnsi="Cambria" w:cs="Cambria" w:eastAsia="Cambria"/>
          <w:b w:val="0"/>
          <w:i w:val="0"/>
          <w:color w:val="2D2D2D"/>
          <w:sz w:val="21"/>
        </w:rPr>
        <w:t xml:space="preserve"> All other warranties (merchantability, fitness, non-infringement) disclaimed.</w:t>
      </w:r>
    </w:p>
    <w:p>
      <w:pPr>
        <w:keepNext/>
        <w:spacing w:before="180" w:after="60" w:line="240" w:lineRule="auto"/>
      </w:pPr>
      <w:r>
        <w:rPr>
          <w:rFonts w:ascii="Cambria" w:hAnsi="Cambria" w:cs="Cambria" w:eastAsia="Cambria"/>
          <w:b/>
          <w:color w:val="15284E"/>
          <w:sz w:val="22"/>
        </w:rPr>
        <w:t>4.7  Indemnification (Term Sheet §9)</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§9.1 IP indemnification by Whitmore:</w:t>
      </w:r>
      <w:r>
        <w:rPr>
          <w:rFonts w:ascii="Cambria" w:hAnsi="Cambria" w:cs="Cambria" w:eastAsia="Cambria"/>
          <w:b w:val="0"/>
          <w:i w:val="0"/>
          <w:color w:val="2D2D2D"/>
          <w:sz w:val="21"/>
        </w:rPr>
        <w:t xml:space="preserve"> Whitmore defends/indemnifies KBI against third-party IP-infringement claims arising from KBI's authorized use. </w:t>
      </w:r>
      <w:r>
        <w:rPr>
          <w:rFonts w:ascii="Cambria" w:hAnsi="Cambria" w:cs="Cambria" w:eastAsia="Cambria"/>
          <w:b/>
          <w:color w:val="2D2D2D"/>
          <w:sz w:val="21"/>
        </w:rPr>
        <w:t>Expressly not subject to any limitation of liability or cap.</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§9.2 Infringement remedies:</w:t>
      </w:r>
      <w:r>
        <w:rPr>
          <w:rFonts w:ascii="Cambria" w:hAnsi="Cambria" w:cs="Cambria" w:eastAsia="Cambria"/>
          <w:b w:val="0"/>
          <w:i w:val="0"/>
          <w:color w:val="2D2D2D"/>
          <w:sz w:val="21"/>
        </w:rPr>
        <w:t xml:space="preserve"> At Whitmore's sole option and expense: (a) procure the right to continue use; (b) modify to be non-infringing; or (c) replace with a non-infringing equivalent.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§9.3 KBI indemnification:</w:t>
      </w:r>
      <w:r>
        <w:rPr>
          <w:rFonts w:ascii="Cambria" w:hAnsi="Cambria" w:cs="Cambria" w:eastAsia="Cambria"/>
          <w:b w:val="0"/>
          <w:i w:val="0"/>
          <w:color w:val="2D2D2D"/>
          <w:sz w:val="21"/>
        </w:rPr>
        <w:t xml:space="preserve"> KBI indemnifies Whitmore for claims arising from KBI's unauthorized use, or from KBI Data/systems (to the extent not arising from PredictIQ itself).</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§9.4 Procedures:</w:t>
      </w:r>
      <w:r>
        <w:rPr>
          <w:rFonts w:ascii="Cambria" w:hAnsi="Cambria" w:cs="Cambria" w:eastAsia="Cambria"/>
          <w:b w:val="0"/>
          <w:i w:val="0"/>
          <w:color w:val="2D2D2D"/>
          <w:sz w:val="21"/>
        </w:rPr>
        <w:t xml:space="preserve"> Prompt notice; sole control of defense/settlement to indemnifying party; reasonable cooperation at indemnifying party's expense.</w:t>
      </w:r>
    </w:p>
    <w:p>
      <w:pPr>
        <w:keepNext/>
        <w:spacing w:before="180" w:after="60" w:line="240" w:lineRule="auto"/>
      </w:pPr>
      <w:r>
        <w:rPr>
          <w:rFonts w:ascii="Cambria" w:hAnsi="Cambria" w:cs="Cambria" w:eastAsia="Cambria"/>
          <w:b/>
          <w:color w:val="15284E"/>
          <w:sz w:val="22"/>
        </w:rPr>
        <w:t>4.8  Limitation of liability (Term Sheet §10)</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§10.1 General cap:</w:t>
      </w:r>
      <w:r>
        <w:rPr>
          <w:rFonts w:ascii="Cambria" w:hAnsi="Cambria" w:cs="Cambria" w:eastAsia="Cambria"/>
          <w:b w:val="0"/>
          <w:i w:val="0"/>
          <w:color w:val="2D2D2D"/>
          <w:sz w:val="21"/>
        </w:rPr>
        <w:t xml:space="preserve"> The greater of (I) 2× total fees paid/payable by KBI in the 12 months preceding the event, or (II) $15,000,000.</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§10.2 Consequential damages:</w:t>
      </w:r>
      <w:r>
        <w:rPr>
          <w:rFonts w:ascii="Cambria" w:hAnsi="Cambria" w:cs="Cambria" w:eastAsia="Cambria"/>
          <w:b w:val="0"/>
          <w:i w:val="0"/>
          <w:color w:val="2D2D2D"/>
          <w:sz w:val="21"/>
        </w:rPr>
        <w:t xml:space="preserve"> Excluded (indirect, incidental, special, consequential, punitive; lost profits, data, goodwill, business interruption).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§10.3 Exceptions (no cap / no exclusion):</w:t>
      </w:r>
      <w:r>
        <w:rPr>
          <w:rFonts w:ascii="Cambria" w:hAnsi="Cambria" w:cs="Cambria" w:eastAsia="Cambria"/>
          <w:b w:val="0"/>
          <w:i w:val="0"/>
          <w:color w:val="2D2D2D"/>
          <w:sz w:val="21"/>
        </w:rPr>
        <w:t xml:space="preserve"> (A) Whitmore's IP indemnification (§9.1); (B) confidentiality breaches (§15); (C) willful misconduct or fraud.</w:t>
      </w:r>
    </w:p>
    <w:p>
      <w:pPr>
        <w:keepNext/>
        <w:spacing w:before="180" w:after="60" w:line="240" w:lineRule="auto"/>
      </w:pPr>
      <w:r>
        <w:rPr>
          <w:rFonts w:ascii="Cambria" w:hAnsi="Cambria" w:cs="Cambria" w:eastAsia="Cambria"/>
          <w:b/>
          <w:color w:val="15284E"/>
          <w:sz w:val="22"/>
        </w:rPr>
        <w:t>4.9  Source code escrow (Term Sheet §11)</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Deposit:</w:t>
      </w:r>
      <w:r>
        <w:rPr>
          <w:rFonts w:ascii="Cambria" w:hAnsi="Cambria" w:cs="Cambria" w:eastAsia="Cambria"/>
          <w:b w:val="0"/>
          <w:i w:val="0"/>
          <w:color w:val="2D2D2D"/>
          <w:sz w:val="21"/>
        </w:rPr>
        <w:t xml:space="preserve"> Within 60 days of execution, Whitmore deposits with Meridian Escrow Services LLC (San Jose, CA): complete source code, build tools/compilers/scripts, technical documentation; updated at least annually and on each major release.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Release conditions:</w:t>
      </w:r>
      <w:r>
        <w:rPr>
          <w:rFonts w:ascii="Cambria" w:hAnsi="Cambria" w:cs="Cambria" w:eastAsia="Cambria"/>
          <w:b w:val="0"/>
          <w:i w:val="0"/>
          <w:color w:val="2D2D2D"/>
          <w:sz w:val="21"/>
        </w:rPr>
        <w:t xml:space="preserve"> (a) Whitmore insolvency/bankruptcy; (b) material breach uncured for 60 days following notice; (c) cessation of business; (d) failure to provide maintenance/support for 90 consecutive days.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Post-release license:</w:t>
      </w:r>
      <w:r>
        <w:rPr>
          <w:rFonts w:ascii="Cambria" w:hAnsi="Cambria" w:cs="Cambria" w:eastAsia="Cambria"/>
          <w:b w:val="0"/>
          <w:i w:val="0"/>
          <w:color w:val="2D2D2D"/>
          <w:sz w:val="21"/>
        </w:rPr>
        <w:t xml:space="preserve"> KBI receives a perpetual, irrevocable, fully paid-up, royalty-free license to use, modify, compile, and deploy the source code for its internal manufacturing operations.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Fees/verification:</w:t>
      </w:r>
      <w:r>
        <w:rPr>
          <w:rFonts w:ascii="Cambria" w:hAnsi="Cambria" w:cs="Cambria" w:eastAsia="Cambria"/>
          <w:b w:val="0"/>
          <w:i w:val="0"/>
          <w:color w:val="2D2D2D"/>
          <w:sz w:val="21"/>
        </w:rPr>
        <w:t xml:space="preserve"> Escrow fees borne equally; KBI may request verification of completeness/usability once per calendar year.</w:t>
      </w:r>
    </w:p>
    <w:p>
      <w:pPr>
        <w:keepNext/>
        <w:spacing w:before="180" w:after="60" w:line="240" w:lineRule="auto"/>
      </w:pPr>
      <w:r>
        <w:rPr>
          <w:rFonts w:ascii="Cambria" w:hAnsi="Cambria" w:cs="Cambria" w:eastAsia="Cambria"/>
          <w:b/>
          <w:color w:val="15284E"/>
          <w:sz w:val="22"/>
        </w:rPr>
        <w:t>4.10  Exclusivity / non-compete (Term Sheet §12)</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Exclusivity period:</w:t>
      </w:r>
      <w:r>
        <w:rPr>
          <w:rFonts w:ascii="Cambria" w:hAnsi="Cambria" w:cs="Cambria" w:eastAsia="Cambria"/>
          <w:b w:val="0"/>
          <w:i w:val="0"/>
          <w:color w:val="2D2D2D"/>
          <w:sz w:val="21"/>
        </w:rPr>
        <w:t xml:space="preserve"> 3 years from the effective date.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Restriction:</w:t>
      </w:r>
      <w:r>
        <w:rPr>
          <w:rFonts w:ascii="Cambria" w:hAnsi="Cambria" w:cs="Cambria" w:eastAsia="Cambria"/>
          <w:b w:val="0"/>
          <w:i w:val="0"/>
          <w:color w:val="2D2D2D"/>
          <w:sz w:val="21"/>
        </w:rPr>
        <w:t xml:space="preserve"> Whitmore may not license/sell/make available PredictIQ (or any substantially similar predictive-maintenance technology) to any "Direct Competitor" of KBI in the European automotive and heavy-machinery manufacturing sectors.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Direct Competitor definition:</w:t>
      </w:r>
      <w:r>
        <w:rPr>
          <w:rFonts w:ascii="Cambria" w:hAnsi="Cambria" w:cs="Cambria" w:eastAsia="Cambria"/>
          <w:b w:val="0"/>
          <w:i w:val="0"/>
          <w:color w:val="2D2D2D"/>
          <w:sz w:val="21"/>
        </w:rPr>
        <w:t xml:space="preserve"> (a) the 12 entities listed in Exhibit B; </w:t>
      </w:r>
      <w:r>
        <w:rPr>
          <w:rFonts w:ascii="Cambria" w:hAnsi="Cambria" w:cs="Cambria" w:eastAsia="Cambria"/>
          <w:b/>
          <w:color w:val="2D2D2D"/>
          <w:sz w:val="21"/>
        </w:rPr>
        <w:t>and (b) any entity deriving more than 30% of annual revenue</w:t>
      </w:r>
      <w:r>
        <w:rPr>
          <w:rFonts w:ascii="Cambria" w:hAnsi="Cambria" w:cs="Cambria" w:eastAsia="Cambria"/>
          <w:b w:val="0"/>
          <w:i w:val="0"/>
          <w:color w:val="2D2D2D"/>
          <w:sz w:val="21"/>
        </w:rPr>
        <w:t xml:space="preserve"> from manufacture of automotive vehicles/components, heavy machinery, or heavy industrial equipment in the EEA, UK, and Switzerland.</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Scope/survival:</w:t>
      </w:r>
      <w:r>
        <w:rPr>
          <w:rFonts w:ascii="Cambria" w:hAnsi="Cambria" w:cs="Cambria" w:eastAsia="Cambria"/>
          <w:b w:val="0"/>
          <w:i w:val="0"/>
          <w:color w:val="2D2D2D"/>
          <w:sz w:val="21"/>
        </w:rPr>
        <w:t xml:space="preserve"> Applies to PredictIQ and successor/replacement products; </w:t>
      </w:r>
      <w:r>
        <w:rPr>
          <w:rFonts w:ascii="Cambria" w:hAnsi="Cambria" w:cs="Cambria" w:eastAsia="Cambria"/>
          <w:b/>
          <w:color w:val="2D2D2D"/>
          <w:sz w:val="21"/>
        </w:rPr>
        <w:t>survives termination</w:t>
      </w:r>
      <w:r>
        <w:rPr>
          <w:rFonts w:ascii="Cambria" w:hAnsi="Cambria" w:cs="Cambria" w:eastAsia="Cambria"/>
          <w:b w:val="0"/>
          <w:i w:val="0"/>
          <w:color w:val="2D2D2D"/>
          <w:sz w:val="21"/>
        </w:rPr>
        <w:t xml:space="preserve"> for the remainder of the Exclusivity Period.</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Remedies:</w:t>
      </w:r>
      <w:r>
        <w:rPr>
          <w:rFonts w:ascii="Cambria" w:hAnsi="Cambria" w:cs="Cambria" w:eastAsia="Cambria"/>
          <w:b w:val="0"/>
          <w:i w:val="0"/>
          <w:color w:val="2D2D2D"/>
          <w:sz w:val="21"/>
        </w:rPr>
        <w:t xml:space="preserve"> Injunctive relief available </w:t>
      </w:r>
      <w:r>
        <w:rPr>
          <w:rFonts w:ascii="Cambria" w:hAnsi="Cambria" w:cs="Cambria" w:eastAsia="Cambria"/>
          <w:b/>
          <w:color w:val="2D2D2D"/>
          <w:sz w:val="21"/>
        </w:rPr>
        <w:t>without a showing of irreparable harm and without posting a bond</w:t>
      </w:r>
      <w:r>
        <w:rPr>
          <w:rFonts w:ascii="Cambria" w:hAnsi="Cambria" w:cs="Cambria" w:eastAsia="Cambria"/>
          <w:b w:val="0"/>
          <w:i w:val="0"/>
          <w:color w:val="2D2D2D"/>
          <w:sz w:val="21"/>
        </w:rPr>
        <w:t>, plus any other remedies at law or equity.</w:t>
      </w:r>
    </w:p>
    <w:p>
      <w:pPr>
        <w:keepNext/>
        <w:spacing w:before="180" w:after="60" w:line="240" w:lineRule="auto"/>
      </w:pPr>
      <w:r>
        <w:rPr>
          <w:rFonts w:ascii="Cambria" w:hAnsi="Cambria" w:cs="Cambria" w:eastAsia="Cambria"/>
          <w:b/>
          <w:color w:val="15284E"/>
          <w:sz w:val="22"/>
        </w:rPr>
        <w:t>4.11  Term and termination (Term Sheet §13)</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Term:</w:t>
      </w:r>
      <w:r>
        <w:rPr>
          <w:rFonts w:ascii="Cambria" w:hAnsi="Cambria" w:cs="Cambria" w:eastAsia="Cambria"/>
          <w:b w:val="0"/>
          <w:i w:val="0"/>
          <w:color w:val="2D2D2D"/>
          <w:sz w:val="21"/>
        </w:rPr>
        <w:t xml:space="preserve"> Perpetual, subject to termination.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For cause:</w:t>
      </w:r>
      <w:r>
        <w:rPr>
          <w:rFonts w:ascii="Cambria" w:hAnsi="Cambria" w:cs="Cambria" w:eastAsia="Cambria"/>
          <w:b w:val="0"/>
          <w:i w:val="0"/>
          <w:color w:val="2D2D2D"/>
          <w:sz w:val="21"/>
        </w:rPr>
        <w:t xml:space="preserve"> 90 days' notice; 60-day cure period for material breach.</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KBI convenience termination:</w:t>
      </w:r>
      <w:r>
        <w:rPr>
          <w:rFonts w:ascii="Cambria" w:hAnsi="Cambria" w:cs="Cambria" w:eastAsia="Cambria"/>
          <w:b w:val="0"/>
          <w:i w:val="0"/>
          <w:color w:val="2D2D2D"/>
          <w:sz w:val="21"/>
        </w:rPr>
        <w:t xml:space="preserve"> 12 months' notice, no earlier than the 3rd anniversary. (Whitmore has no corresponding convenience-termination right.)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Performance-failure termination:</w:t>
      </w:r>
      <w:r>
        <w:rPr>
          <w:rFonts w:ascii="Cambria" w:hAnsi="Cambria" w:cs="Cambria" w:eastAsia="Cambria"/>
          <w:b w:val="0"/>
          <w:i w:val="0"/>
          <w:color w:val="2D2D2D"/>
          <w:sz w:val="21"/>
        </w:rPr>
        <w:t xml:space="preserve"> KBI may terminate for cause if prediction accuracy is below 85% for two consecutive quarters (30 days' notice).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Wind-Down License:</w:t>
      </w:r>
      <w:r>
        <w:rPr>
          <w:rFonts w:ascii="Cambria" w:hAnsi="Cambria" w:cs="Cambria" w:eastAsia="Cambria"/>
          <w:b w:val="0"/>
          <w:i w:val="0"/>
          <w:color w:val="2D2D2D"/>
          <w:sz w:val="21"/>
        </w:rPr>
        <w:t xml:space="preserve"> On any termination (including KBI convenience termination), KBI retains a </w:t>
      </w:r>
      <w:r>
        <w:rPr>
          <w:rFonts w:ascii="Cambria" w:hAnsi="Cambria" w:cs="Cambria" w:eastAsia="Cambria"/>
          <w:b/>
          <w:color w:val="2D2D2D"/>
          <w:sz w:val="21"/>
        </w:rPr>
        <w:t>perpetual, non-exclusive, irrevocable</w:t>
      </w:r>
      <w:r>
        <w:rPr>
          <w:rFonts w:ascii="Cambria" w:hAnsi="Cambria" w:cs="Cambria" w:eastAsia="Cambria"/>
          <w:b w:val="0"/>
          <w:i w:val="0"/>
          <w:color w:val="2D2D2D"/>
          <w:sz w:val="21"/>
        </w:rPr>
        <w:t xml:space="preserve"> license to continue using the version of PredictIQ deployed as of termination, subject to KBI's continued payment of the Annual Maintenance &amp; Support Fee.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Effects:</w:t>
      </w:r>
      <w:r>
        <w:rPr>
          <w:rFonts w:ascii="Cambria" w:hAnsi="Cambria" w:cs="Cambria" w:eastAsia="Cambria"/>
          <w:b w:val="0"/>
          <w:i w:val="0"/>
          <w:color w:val="2D2D2D"/>
          <w:sz w:val="21"/>
        </w:rPr>
        <w:t xml:space="preserve"> No new SaaS features/updates/new deployments; accrued fees immediately due; confidential information returned (subject to Wind-Down License); survival of §§3, 4, 9, 10, 11, 12, 15, 16.</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No refunds:</w:t>
      </w:r>
      <w:r>
        <w:rPr>
          <w:rFonts w:ascii="Cambria" w:hAnsi="Cambria" w:cs="Cambria" w:eastAsia="Cambria"/>
          <w:b w:val="0"/>
          <w:i w:val="0"/>
          <w:color w:val="2D2D2D"/>
          <w:sz w:val="21"/>
        </w:rPr>
        <w:t xml:space="preserve"> Fees paid prior to termination are non-refundable.</w:t>
      </w:r>
    </w:p>
    <w:p>
      <w:pPr>
        <w:keepNext/>
        <w:spacing w:before="180" w:after="60" w:line="240" w:lineRule="auto"/>
      </w:pPr>
      <w:r>
        <w:rPr>
          <w:rFonts w:ascii="Cambria" w:hAnsi="Cambria" w:cs="Cambria" w:eastAsia="Cambria"/>
          <w:b/>
          <w:color w:val="15284E"/>
          <w:sz w:val="22"/>
        </w:rPr>
        <w:t>4.12  Governing law and dispute resolution (Term Sheet §14)</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Governing law:</w:t>
      </w:r>
      <w:r>
        <w:rPr>
          <w:rFonts w:ascii="Cambria" w:hAnsi="Cambria" w:cs="Cambria" w:eastAsia="Cambria"/>
          <w:b w:val="0"/>
          <w:i w:val="0"/>
          <w:color w:val="2D2D2D"/>
          <w:sz w:val="21"/>
        </w:rPr>
        <w:t xml:space="preserve"> Substantive laws of the Federal Republic of Germany (no conflicts-of-law principles).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Arbitration:</w:t>
      </w:r>
      <w:r>
        <w:rPr>
          <w:rFonts w:ascii="Cambria" w:hAnsi="Cambria" w:cs="Cambria" w:eastAsia="Cambria"/>
          <w:b w:val="0"/>
          <w:i w:val="0"/>
          <w:color w:val="2D2D2D"/>
          <w:sz w:val="21"/>
        </w:rPr>
        <w:t xml:space="preserve"> ICC Rules; three arbitrators; seat Zurich, Switzerland; English language.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Interim measures:</w:t>
      </w:r>
      <w:r>
        <w:rPr>
          <w:rFonts w:ascii="Cambria" w:hAnsi="Cambria" w:cs="Cambria" w:eastAsia="Cambria"/>
          <w:b w:val="0"/>
          <w:i w:val="0"/>
          <w:color w:val="2D2D2D"/>
          <w:sz w:val="21"/>
        </w:rPr>
        <w:t xml:space="preserve"> Either party may seek interim/injunctive relief from a court for IP, confidentiality, or status-quo matters.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Costs:</w:t>
      </w:r>
      <w:r>
        <w:rPr>
          <w:rFonts w:ascii="Cambria" w:hAnsi="Cambria" w:cs="Cambria" w:eastAsia="Cambria"/>
          <w:b w:val="0"/>
          <w:i w:val="0"/>
          <w:color w:val="2D2D2D"/>
          <w:sz w:val="21"/>
        </w:rPr>
        <w:t xml:space="preserve"> Each party bears its own costs and legal fees; arbitration costs allocated by the tribunal.</w:t>
      </w:r>
    </w:p>
    <w:p>
      <w:pPr>
        <w:keepNext/>
        <w:spacing w:before="180" w:after="60" w:line="240" w:lineRule="auto"/>
      </w:pPr>
      <w:r>
        <w:rPr>
          <w:rFonts w:ascii="Cambria" w:hAnsi="Cambria" w:cs="Cambria" w:eastAsia="Cambria"/>
          <w:b/>
          <w:color w:val="15284E"/>
          <w:sz w:val="22"/>
        </w:rPr>
        <w:t>4.13  Confidentiality and miscellaneous (Term Sheet §§15–16)</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Confidentiality:</w:t>
      </w:r>
      <w:r>
        <w:rPr>
          <w:rFonts w:ascii="Cambria" w:hAnsi="Cambria" w:cs="Cambria" w:eastAsia="Cambria"/>
          <w:b w:val="0"/>
          <w:i w:val="0"/>
          <w:color w:val="2D2D2D"/>
          <w:sz w:val="21"/>
        </w:rPr>
        <w:t xml:space="preserve"> Mutual; 5-year survival post-termination; standard exceptions and permitted disclosures to advisors.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§16.1 Non-binding:</w:t>
      </w:r>
      <w:r>
        <w:rPr>
          <w:rFonts w:ascii="Cambria" w:hAnsi="Cambria" w:cs="Cambria" w:eastAsia="Cambria"/>
          <w:b w:val="0"/>
          <w:i w:val="0"/>
          <w:color w:val="2D2D2D"/>
          <w:sz w:val="21"/>
        </w:rPr>
        <w:t xml:space="preserve"> Term Sheet is non-binding except Sections 15 (Confidentiality) and 16 (Miscellaneous), which are binding.</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§16.2 No-shop:</w:t>
      </w:r>
      <w:r>
        <w:rPr>
          <w:rFonts w:ascii="Cambria" w:hAnsi="Cambria" w:cs="Cambria" w:eastAsia="Cambria"/>
          <w:b w:val="0"/>
          <w:i w:val="0"/>
          <w:color w:val="2D2D2D"/>
          <w:sz w:val="21"/>
        </w:rPr>
        <w:t xml:space="preserve"> For 60 days from the Term Sheet date (through July 28, 2025), Whitmore must negotiate exclusively with KBI and not solicit/entertain/accept third-party proposals for a comparable European industrial licensing transaction. </w:t>
      </w:r>
      <w:r>
        <w:rPr>
          <w:rFonts w:ascii="Cambria" w:hAnsi="Cambria" w:cs="Cambria" w:eastAsia="Cambria"/>
          <w:b/>
          <w:color w:val="2D2D2D"/>
          <w:sz w:val="21"/>
        </w:rPr>
        <w:t>This obligation is binding if Whitmore signs the Term Sheet acknowledgment.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§16.3 Entire understanding:</w:t>
      </w:r>
      <w:r>
        <w:rPr>
          <w:rFonts w:ascii="Cambria" w:hAnsi="Cambria" w:cs="Cambria" w:eastAsia="Cambria"/>
          <w:b w:val="0"/>
          <w:i w:val="0"/>
          <w:color w:val="2D2D2D"/>
          <w:sz w:val="21"/>
        </w:rPr>
        <w:t xml:space="preserve"> Expressly incorporates the Side Letter.</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§16.6 Assignment:</w:t>
      </w:r>
      <w:r>
        <w:rPr>
          <w:rFonts w:ascii="Cambria" w:hAnsi="Cambria" w:cs="Cambria" w:eastAsia="Cambria"/>
          <w:b w:val="0"/>
          <w:i w:val="0"/>
          <w:color w:val="2D2D2D"/>
          <w:sz w:val="21"/>
        </w:rPr>
        <w:t xml:space="preserve"> No assignment without consent, except KBI may assign to any affiliate or in connection with a merger, acquisition, or sale of all/substantially all assets.</w:t>
      </w:r>
    </w:p>
    <w:p>
      <w:pPr>
        <w:keepNext/>
        <w:spacing w:before="280" w:after="100" w:line="240" w:lineRule="auto"/>
        <w:pBdr>
          <w:bottom w:val="single" w:sz="6" w:space="3" w:color="1F3864"/>
        </w:pBdr>
      </w:pPr>
      <w:r>
        <w:rPr>
          <w:rFonts w:ascii="Cambria" w:hAnsi="Cambria" w:cs="Cambria" w:eastAsia="Cambria"/>
          <w:b/>
          <w:color w:val="1F3864"/>
          <w:sz w:val="26"/>
        </w:rPr>
        <w:t xml:space="preserve">5.  </w:t>
      </w:r>
      <w:r>
        <w:rPr>
          <w:rFonts w:ascii="Cambria" w:hAnsi="Cambria" w:cs="Cambria" w:eastAsia="Cambria"/>
          <w:b/>
          <w:color w:val="1F3864"/>
          <w:sz w:val="26"/>
        </w:rPr>
        <w:t>The Most-Favored-Customer Side Letter</w:t>
      </w:r>
    </w:p>
    <w:p>
      <w:pPr>
        <w:spacing w:before="0" w:after="120" w:line="269" w:lineRule="auto"/>
      </w:pPr>
      <w:r>
        <w:rPr>
          <w:rFonts w:ascii="Cambria" w:hAnsi="Cambria" w:cs="Cambria" w:eastAsia="Cambria"/>
          <w:b w:val="0"/>
          <w:i w:val="0"/>
          <w:color w:val="2D2D2D"/>
          <w:sz w:val="21"/>
        </w:rPr>
        <w:t xml:space="preserve">The Side Letter is a standalone document from KBI (signed by VP Annika Solberg) that is intended to be incorporated into the definitive agreement. KBI states that its willingness to proceed on the Term Sheet's commercial terms is </w:t>
      </w:r>
      <w:r>
        <w:rPr>
          <w:rFonts w:ascii="Cambria" w:hAnsi="Cambria" w:cs="Cambria" w:eastAsia="Cambria"/>
          <w:b/>
          <w:color w:val="2D2D2D"/>
          <w:sz w:val="21"/>
        </w:rPr>
        <w:t>"expressly conditioned"</w:t>
      </w:r>
      <w:r>
        <w:rPr>
          <w:rFonts w:ascii="Cambria" w:hAnsi="Cambria" w:cs="Cambria" w:eastAsia="Cambria"/>
          <w:b w:val="0"/>
          <w:i w:val="0"/>
          <w:color w:val="2D2D2D"/>
          <w:sz w:val="21"/>
        </w:rPr>
        <w:t xml:space="preserve"> on Whitmore's acceptance of the MFC provision, and that KBI's adherence to the proposed timeline (including the September 15, 2025 Phase 1 start) is contingent on acceptance by June 23, 2025. The Side Letter is itself non-binding but is designated a "material element" of KBI's proposal and is referenced in the Term Sheet's entire-understanding clause (§16.3).</w:t>
      </w:r>
    </w:p>
    <w:p>
      <w:pPr>
        <w:keepNext/>
        <w:spacing w:before="180" w:after="60" w:line="240" w:lineRule="auto"/>
      </w:pPr>
      <w:r>
        <w:rPr>
          <w:rFonts w:ascii="Cambria" w:hAnsi="Cambria" w:cs="Cambria" w:eastAsia="Cambria"/>
          <w:b/>
          <w:color w:val="15284E"/>
          <w:sz w:val="22"/>
        </w:rPr>
        <w:t>5.1  Key terms of the Side Letter</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MFC commitment (§2(a)):</w:t>
      </w:r>
      <w:r>
        <w:rPr>
          <w:rFonts w:ascii="Cambria" w:hAnsi="Cambria" w:cs="Cambria" w:eastAsia="Cambria"/>
          <w:b w:val="0"/>
          <w:i w:val="0"/>
          <w:color w:val="2D2D2D"/>
          <w:sz w:val="21"/>
        </w:rPr>
        <w:t xml:space="preserve"> If, during the term (or thereafter, for so long as KBI retains any license rights, including any post-termination wind-down license), Whitmore enters any agreement with a third-party "Subsequent Licensee" for PredictIQ (or any successor/derivative/substantially similar technology) on terms resulting in a </w:t>
      </w:r>
      <w:r>
        <w:rPr>
          <w:rFonts w:ascii="Cambria" w:hAnsi="Cambria" w:cs="Cambria" w:eastAsia="Cambria"/>
          <w:b/>
          <w:color w:val="2D2D2D"/>
          <w:sz w:val="21"/>
        </w:rPr>
        <w:t>lower effective per-facility price</w:t>
      </w:r>
      <w:r>
        <w:rPr>
          <w:rFonts w:ascii="Cambria" w:hAnsi="Cambria" w:cs="Cambria" w:eastAsia="Cambria"/>
          <w:b w:val="0"/>
          <w:i w:val="0"/>
          <w:color w:val="2D2D2D"/>
          <w:sz w:val="21"/>
        </w:rPr>
        <w:t xml:space="preserve"> than KBI's, Whitmore must notify KBI within 30 days and </w:t>
      </w:r>
      <w:r>
        <w:rPr>
          <w:rFonts w:ascii="Cambria" w:hAnsi="Cambria" w:cs="Cambria" w:eastAsia="Cambria"/>
          <w:b/>
          <w:color w:val="2D2D2D"/>
          <w:sz w:val="21"/>
        </w:rPr>
        <w:t>retroactively adjust KBI's pricing</w:t>
      </w:r>
      <w:r>
        <w:rPr>
          <w:rFonts w:ascii="Cambria" w:hAnsi="Cambria" w:cs="Cambria" w:eastAsia="Cambria"/>
          <w:b w:val="0"/>
          <w:i w:val="0"/>
          <w:color w:val="2D2D2D"/>
          <w:sz w:val="21"/>
        </w:rPr>
        <w:t xml:space="preserve"> to match, effective as of the date the more favorable terms were first offered to the Subsequent Licensee.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Effective per-facility price (§2(b)):</w:t>
      </w:r>
      <w:r>
        <w:rPr>
          <w:rFonts w:ascii="Cambria" w:hAnsi="Cambria" w:cs="Cambria" w:eastAsia="Cambria"/>
          <w:b w:val="0"/>
          <w:i w:val="0"/>
          <w:color w:val="2D2D2D"/>
          <w:sz w:val="21"/>
        </w:rPr>
        <w:t xml:space="preserve"> Total annual fees payable by the licensee (license, subscription, maintenance, implementation/professional services — one-time or recurring) divided by the number of facilities at which PredictIQ is deployed or authorized for deployment.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Retroactive adjustment and credit (§2(c)):</w:t>
      </w:r>
      <w:r>
        <w:rPr>
          <w:rFonts w:ascii="Cambria" w:hAnsi="Cambria" w:cs="Cambria" w:eastAsia="Cambria"/>
          <w:b w:val="0"/>
          <w:i w:val="0"/>
          <w:color w:val="2D2D2D"/>
          <w:sz w:val="21"/>
        </w:rPr>
        <w:t xml:space="preserve"> Reduction applied retroactively to the date Whitmore first offered/agreed the more favorable terms; Whitmore issues a credit for the aggregate overpayment, applied against KBI's next payments.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Audit right (§2(d)):</w:t>
      </w:r>
      <w:r>
        <w:rPr>
          <w:rFonts w:ascii="Cambria" w:hAnsi="Cambria" w:cs="Cambria" w:eastAsia="Cambria"/>
          <w:b w:val="0"/>
          <w:i w:val="0"/>
          <w:color w:val="2D2D2D"/>
          <w:sz w:val="21"/>
        </w:rPr>
        <w:t xml:space="preserve"> Once per calendar year, KBI may engage an independent auditor (at KBI's expense, unless the audit reveals a discrepancy of ≥5%, in which case at Whitmore's expense) to verify compliance; Whitmore must maintain complete records of all PredictIQ licensing arrangements.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Governing law:</w:t>
      </w:r>
      <w:r>
        <w:rPr>
          <w:rFonts w:ascii="Cambria" w:hAnsi="Cambria" w:cs="Cambria" w:eastAsia="Cambria"/>
          <w:b w:val="0"/>
          <w:i w:val="0"/>
          <w:color w:val="2D2D2D"/>
          <w:sz w:val="21"/>
        </w:rPr>
        <w:t xml:space="preserve"> German law (consistent with the Term Sheet).</w:t>
      </w:r>
    </w:p>
    <w:p>
      <w:pPr>
        <w:keepNext/>
        <w:spacing w:before="180" w:after="60" w:line="240" w:lineRule="auto"/>
      </w:pPr>
      <w:r>
        <w:rPr>
          <w:rFonts w:ascii="Cambria" w:hAnsi="Cambria" w:cs="Cambria" w:eastAsia="Cambria"/>
          <w:b/>
          <w:color w:val="15284E"/>
          <w:sz w:val="22"/>
        </w:rPr>
        <w:t>5.2  Why the Side Letter is a first-tier concern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No carve-outs.</w:t>
      </w:r>
      <w:r>
        <w:rPr>
          <w:rFonts w:ascii="Cambria" w:hAnsi="Cambria" w:cs="Cambria" w:eastAsia="Cambria"/>
          <w:b w:val="0"/>
          <w:i w:val="0"/>
          <w:color w:val="2D2D2D"/>
          <w:sz w:val="21"/>
        </w:rPr>
        <w:t xml:space="preserve"> The clause sweeps in any Subsequent Licensee for PredictIQ or any "successor, derivative, or substantially similar technology," with no exclusions for different geographies, product tiers/editions, volume or enterprise discounts, strategic/anchor partners, government or academic pricing, channel-partner sales, bundled offerings, pre-existing customers, or distressed sales.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No sunset.</w:t>
      </w:r>
      <w:r>
        <w:rPr>
          <w:rFonts w:ascii="Cambria" w:hAnsi="Cambria" w:cs="Cambria" w:eastAsia="Cambria"/>
          <w:b w:val="0"/>
          <w:i w:val="0"/>
          <w:color w:val="2D2D2D"/>
          <w:sz w:val="21"/>
        </w:rPr>
        <w:t xml:space="preserve"> The obligation runs for the entire term </w:t>
      </w:r>
      <w:r>
        <w:rPr>
          <w:rFonts w:ascii="Cambria" w:hAnsi="Cambria" w:cs="Cambria" w:eastAsia="Cambria"/>
          <w:b/>
          <w:color w:val="2D2D2D"/>
          <w:sz w:val="21"/>
        </w:rPr>
        <w:t>and continues through any post-termination wind-down license</w:t>
      </w:r>
      <w:r>
        <w:rPr>
          <w:rFonts w:ascii="Cambria" w:hAnsi="Cambria" w:cs="Cambria" w:eastAsia="Cambria"/>
          <w:b w:val="0"/>
          <w:i w:val="0"/>
          <w:color w:val="2D2D2D"/>
          <w:sz w:val="21"/>
        </w:rPr>
        <w:t xml:space="preserve"> — effectively open-ended given the perpetual Wind-Down License in §13.5.</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Open-ended retroactivity.</w:t>
      </w:r>
      <w:r>
        <w:rPr>
          <w:rFonts w:ascii="Cambria" w:hAnsi="Cambria" w:cs="Cambria" w:eastAsia="Cambria"/>
          <w:b w:val="0"/>
          <w:i w:val="0"/>
          <w:color w:val="2D2D2D"/>
          <w:sz w:val="21"/>
        </w:rPr>
        <w:t xml:space="preserve"> Adjustments run back to the date the more favorable terms were "first offered or agreed" with the Subsequent Licensee — not a fixed look-back window. Whitmore's General Counsel has separately flagged concern that this could reach back to pricing concessions offered to other customers since January 1, 2024.</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Crude comparison metric.</w:t>
      </w:r>
      <w:r>
        <w:rPr>
          <w:rFonts w:ascii="Cambria" w:hAnsi="Cambria" w:cs="Cambria" w:eastAsia="Cambria"/>
          <w:b w:val="0"/>
          <w:i w:val="0"/>
          <w:color w:val="2D2D2D"/>
          <w:sz w:val="21"/>
        </w:rPr>
        <w:t xml:space="preserve"> "Total annual fees ÷ number of facilities" ignores differences in product tier, services scope, term length, geography, and volume. A smaller, lower-scope deployment could trigger a price reduction across KBI's 43-facility footprint.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Conditions the deal.</w:t>
      </w:r>
      <w:r>
        <w:rPr>
          <w:rFonts w:ascii="Cambria" w:hAnsi="Cambria" w:cs="Cambria" w:eastAsia="Cambria"/>
          <w:b w:val="0"/>
          <w:i w:val="0"/>
          <w:color w:val="2D2D2D"/>
          <w:sz w:val="21"/>
        </w:rPr>
        <w:t xml:space="preserve"> Acceptance is a stated precondition to the transaction and to the implementation timeline, giving KBI significant leverage but also signaling that the provision is a negotiation point rather than a true take-it-or-leave-it.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Competitive-intelligence and competition-law exposure.</w:t>
      </w:r>
      <w:r>
        <w:rPr>
          <w:rFonts w:ascii="Cambria" w:hAnsi="Cambria" w:cs="Cambria" w:eastAsia="Cambria"/>
          <w:b w:val="0"/>
          <w:i w:val="0"/>
          <w:color w:val="2D2D2D"/>
          <w:sz w:val="21"/>
        </w:rPr>
        <w:t xml:space="preserve"> The audit and notification mechanics require Whitmore to disclose the existence and pricing of other deals to KBI, and broad MFC clauses are scrutinized under EU competition law (e.g., the Amazon marketplace and online-travel-agency cases).</w:t>
      </w:r>
    </w:p>
    <w:p>
      <w:pPr>
        <w:keepNext/>
        <w:spacing w:before="280" w:after="100" w:line="240" w:lineRule="auto"/>
        <w:pBdr>
          <w:bottom w:val="single" w:sz="6" w:space="3" w:color="1F3864"/>
        </w:pBdr>
      </w:pPr>
      <w:r>
        <w:rPr>
          <w:rFonts w:ascii="Cambria" w:hAnsi="Cambria" w:cs="Cambria" w:eastAsia="Cambria"/>
          <w:b/>
          <w:color w:val="1F3864"/>
          <w:sz w:val="26"/>
        </w:rPr>
        <w:t xml:space="preserve">6.  </w:t>
      </w:r>
      <w:r>
        <w:rPr>
          <w:rFonts w:ascii="Cambria" w:hAnsi="Cambria" w:cs="Cambria" w:eastAsia="Cambria"/>
          <w:b/>
          <w:color w:val="1F3864"/>
          <w:sz w:val="26"/>
        </w:rPr>
        <w:t>Risk Flags</w:t>
      </w:r>
    </w:p>
    <w:p>
      <w:pPr>
        <w:spacing w:before="0" w:after="120" w:line="269" w:lineRule="auto"/>
      </w:pPr>
      <w:r>
        <w:rPr>
          <w:rFonts w:ascii="Cambria" w:hAnsi="Cambria" w:cs="Cambria" w:eastAsia="Cambria"/>
          <w:b w:val="0"/>
          <w:i w:val="0"/>
          <w:color w:val="2D2D2D"/>
          <w:sz w:val="21"/>
        </w:rPr>
        <w:t>Risks are prioritized by severity (Critical / High / Medium / Low) and tagged by category. The full register, with cross-references to the recommendations in Section 7, appears at Appendix C.</w:t>
      </w:r>
    </w:p>
    <w:p>
      <w:pPr>
        <w:keepNext/>
        <w:spacing w:before="180" w:after="60" w:line="240" w:lineRule="auto"/>
      </w:pPr>
      <w:r>
        <w:rPr>
          <w:rFonts w:ascii="Cambria" w:hAnsi="Cambria" w:cs="Cambria" w:eastAsia="Cambria"/>
          <w:b/>
          <w:color w:val="15284E"/>
          <w:sz w:val="22"/>
        </w:rPr>
        <w:t>6.1  Critical risks</w:t>
      </w:r>
    </w:p>
    <w:p>
      <w:pPr>
        <w:keepNext/>
        <w:spacing w:before="120" w:after="40" w:line="240" w:lineRule="auto"/>
      </w:pPr>
      <w:r>
        <w:rPr>
          <w:rFonts w:ascii="Cambria" w:hAnsi="Cambria" w:cs="Cambria" w:eastAsia="Cambria"/>
          <w:b/>
          <w:i/>
          <w:color w:val="595959"/>
          <w:sz w:val="21"/>
        </w:rPr>
        <w:t>R-01  Exclusivity / non-compete (Term Sheet §12) — Commercial / Legal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A 3-year lockout of the European automotive and heavy-machinery market — Whitmore's most critical growth segment — in exchange for a single deal.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The open-ended 30%-of-revenue test could capture </w:t>
      </w:r>
      <w:r>
        <w:rPr>
          <w:rFonts w:ascii="Cambria" w:hAnsi="Cambria" w:cs="Cambria" w:eastAsia="Cambria"/>
          <w:b/>
          <w:color w:val="2D2D2D"/>
          <w:sz w:val="21"/>
        </w:rPr>
        <w:t>25–30 additional companies</w:t>
      </w:r>
      <w:r>
        <w:rPr>
          <w:rFonts w:ascii="Cambria" w:hAnsi="Cambria" w:cs="Cambria" w:eastAsia="Cambria"/>
          <w:b w:val="0"/>
          <w:i w:val="0"/>
          <w:color w:val="2D2D2D"/>
          <w:sz w:val="21"/>
        </w:rPr>
        <w:t xml:space="preserve"> beyond the 12 named competitors, including </w:t>
      </w:r>
      <w:r>
        <w:rPr>
          <w:rFonts w:ascii="Cambria" w:hAnsi="Cambria" w:cs="Cambria" w:eastAsia="Cambria"/>
          <w:b/>
          <w:color w:val="2D2D2D"/>
          <w:sz w:val="21"/>
        </w:rPr>
        <w:t>three active prospects representing $4–5M in recurring SaaS revenue</w:t>
      </w:r>
      <w:r>
        <w:rPr>
          <w:rFonts w:ascii="Cambria" w:hAnsi="Cambria" w:cs="Cambria" w:eastAsia="Cambria"/>
          <w:b w:val="0"/>
          <w:i w:val="0"/>
          <w:color w:val="2D2D2D"/>
          <w:sz w:val="21"/>
        </w:rPr>
        <w: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Creates an </w:t>
      </w:r>
      <w:r>
        <w:rPr>
          <w:rFonts w:ascii="Cambria" w:hAnsi="Cambria" w:cs="Cambria" w:eastAsia="Cambria"/>
          <w:b/>
          <w:color w:val="2D2D2D"/>
          <w:sz w:val="21"/>
        </w:rPr>
        <w:t>affirmative, perpetual monitoring obligation</w:t>
      </w:r>
      <w:r>
        <w:rPr>
          <w:rFonts w:ascii="Cambria" w:hAnsi="Cambria" w:cs="Cambria" w:eastAsia="Cambria"/>
          <w:b w:val="0"/>
          <w:i w:val="0"/>
          <w:color w:val="2D2D2D"/>
          <w:sz w:val="21"/>
        </w:rPr>
        <w:t>: Whitmore would have to determine, before engaging any European prospect, whether it derives &gt;30% of revenue from the covered sectors — practically unworkable for private companies, subsidiaries of diversified conglomerates, and entities that do not disaggregate revenue. This creates a perpetual risk of inadvertent breach.</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Asymmetry:</w:t>
      </w:r>
      <w:r>
        <w:rPr>
          <w:rFonts w:ascii="Cambria" w:hAnsi="Cambria" w:cs="Cambria" w:eastAsia="Cambria"/>
          <w:b w:val="0"/>
          <w:i w:val="0"/>
          <w:color w:val="2D2D2D"/>
          <w:sz w:val="21"/>
        </w:rPr>
        <w:t xml:space="preserve"> KBI locks in favorable economics for up to 5 years (expansion right) while Whitmore is locked out of a major market segment for 3 years; the obligation survives termination.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Injunctive relief available </w:t>
      </w:r>
      <w:r>
        <w:rPr>
          <w:rFonts w:ascii="Cambria" w:hAnsi="Cambria" w:cs="Cambria" w:eastAsia="Cambria"/>
          <w:b/>
          <w:color w:val="2D2D2D"/>
          <w:sz w:val="21"/>
        </w:rPr>
        <w:t>without a showing of irreparable harm and without a bond</w:t>
      </w:r>
      <w:r>
        <w:rPr>
          <w:rFonts w:ascii="Cambria" w:hAnsi="Cambria" w:cs="Cambria" w:eastAsia="Cambria"/>
          <w:b w:val="0"/>
          <w:i w:val="0"/>
          <w:color w:val="2D2D2D"/>
          <w:sz w:val="21"/>
        </w:rPr>
        <w:t>, plus "any other remedies" — significant downside exposure.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EU competition-law risk:</w:t>
      </w:r>
      <w:r>
        <w:rPr>
          <w:rFonts w:ascii="Cambria" w:hAnsi="Cambria" w:cs="Cambria" w:eastAsia="Cambria"/>
          <w:b w:val="0"/>
          <w:i w:val="0"/>
          <w:color w:val="2D2D2D"/>
          <w:sz w:val="21"/>
        </w:rPr>
        <w:t xml:space="preserve"> A broad market carve-out combined with a 3-year duration may raise Article 101 TFEU concerns; requires specialist review.</w:t>
      </w:r>
    </w:p>
    <w:p>
      <w:pPr>
        <w:keepNext/>
        <w:spacing w:before="120" w:after="40" w:line="240" w:lineRule="auto"/>
      </w:pPr>
      <w:r>
        <w:rPr>
          <w:rFonts w:ascii="Cambria" w:hAnsi="Cambria" w:cs="Cambria" w:eastAsia="Cambria"/>
          <w:b/>
          <w:i/>
          <w:color w:val="595959"/>
          <w:sz w:val="21"/>
        </w:rPr>
        <w:t>R-02  Data training restriction + Output Data ownership (Term Sheet §§4.2–4.3) — IP / Commercial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§4.3 prohibits Whitmore from using KBI Data — </w:t>
      </w:r>
      <w:r>
        <w:rPr>
          <w:rFonts w:ascii="Cambria" w:hAnsi="Cambria" w:cs="Cambria" w:eastAsia="Cambria"/>
          <w:b/>
          <w:color w:val="2D2D2D"/>
          <w:sz w:val="21"/>
        </w:rPr>
        <w:t>even in anonymized or aggregated form</w:t>
      </w:r>
      <w:r>
        <w:rPr>
          <w:rFonts w:ascii="Cambria" w:hAnsi="Cambria" w:cs="Cambria" w:eastAsia="Cambria"/>
          <w:b w:val="0"/>
          <w:i w:val="0"/>
          <w:color w:val="2D2D2D"/>
          <w:sz w:val="21"/>
        </w:rPr>
        <w:t xml:space="preserve"> — to train or improve PredictIQ's general ML models without KBI's consent (sole discretion). This is an outlier vs. industry-standard SaaS/ML terms.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§4.2 defines "Output Data" to include </w:t>
      </w:r>
      <w:r>
        <w:rPr>
          <w:rFonts w:ascii="Cambria" w:hAnsi="Cambria" w:cs="Cambria" w:eastAsia="Cambria"/>
          <w:b/>
          <w:color w:val="2D2D2D"/>
          <w:sz w:val="21"/>
        </w:rPr>
        <w:t>model weights, parameters, and training artifacts</w:t>
      </w:r>
      <w:r>
        <w:rPr>
          <w:rFonts w:ascii="Cambria" w:hAnsi="Cambria" w:cs="Cambria" w:eastAsia="Cambria"/>
          <w:b w:val="0"/>
          <w:i w:val="0"/>
          <w:color w:val="2D2D2D"/>
          <w:sz w:val="21"/>
        </w:rPr>
        <w:t xml:space="preserve"> and assigns all Output Data to KBI as its sole property.</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Interaction effect:</w:t>
      </w:r>
      <w:r>
        <w:rPr>
          <w:rFonts w:ascii="Cambria" w:hAnsi="Cambria" w:cs="Cambria" w:eastAsia="Cambria"/>
          <w:b w:val="0"/>
          <w:i w:val="0"/>
          <w:color w:val="2D2D2D"/>
          <w:sz w:val="21"/>
        </w:rPr>
        <w:t xml:space="preserve"> To the extent PredictIQ's models are shaped by KBI data in the ordinary course of providing services, the resulting model state could be treated as KBI-owned IP — effectively allowing KBI's biggest deployment to degrade the product for all other customers and to erode Whitmore's ownership of its own models.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KBI's 43-facility, 12-country deployment would generate uniquely valuable, geographically and operationally diverse training data — precisely the data diversity Whitmore's engineering team identifies as the single most important factor in model improvement.</w:t>
      </w:r>
    </w:p>
    <w:p>
      <w:pPr>
        <w:keepNext/>
        <w:spacing w:before="120" w:after="40" w:line="240" w:lineRule="auto"/>
      </w:pPr>
      <w:r>
        <w:rPr>
          <w:rFonts w:ascii="Cambria" w:hAnsi="Cambria" w:cs="Cambria" w:eastAsia="Cambria"/>
          <w:b/>
          <w:i/>
          <w:color w:val="595959"/>
          <w:sz w:val="21"/>
        </w:rPr>
        <w:t>R-03  Most-favored-customer Side Letter — Commercial / Legal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No carve-outs, no sunset, open-ended retroactivity, and application through any post-termination wind-down license (see Section 5.2).</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Would constrain Whitmore's pricing flexibility across its </w:t>
      </w:r>
      <w:r>
        <w:rPr>
          <w:rFonts w:ascii="Cambria" w:hAnsi="Cambria" w:cs="Cambria" w:eastAsia="Cambria"/>
          <w:b/>
          <w:color w:val="2D2D2D"/>
          <w:sz w:val="21"/>
        </w:rPr>
        <w:t>entire customer base</w:t>
      </w:r>
      <w:r>
        <w:rPr>
          <w:rFonts w:ascii="Cambria" w:hAnsi="Cambria" w:cs="Cambria" w:eastAsia="Cambria"/>
          <w:b w:val="0"/>
          <w:i w:val="0"/>
          <w:color w:val="2D2D2D"/>
          <w:sz w:val="21"/>
        </w:rPr>
        <w:t xml:space="preserve"> and require disclosure of other deals' pricing to KBI via the audit/notification mechanics.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Conditions the transaction on acceptance, but is framed by KBI as a commercial term — amenable to substantial guardrails rather than a binary accept/reject.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Raises EU competition-law concerns (MFC/MFN scrutiny).</w:t>
      </w:r>
    </w:p>
    <w:p>
      <w:pPr>
        <w:keepNext/>
        <w:spacing w:before="120" w:after="40" w:line="240" w:lineRule="auto"/>
      </w:pPr>
      <w:r>
        <w:rPr>
          <w:rFonts w:ascii="Cambria" w:hAnsi="Cambria" w:cs="Cambria" w:eastAsia="Cambria"/>
          <w:b/>
          <w:i/>
          <w:color w:val="595959"/>
          <w:sz w:val="21"/>
        </w:rPr>
        <w:t>R-04  Uncapped IP indemnification (Term Sheet §9.1) — Legal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Whitmore's IP indemnity is </w:t>
      </w:r>
      <w:r>
        <w:rPr>
          <w:rFonts w:ascii="Cambria" w:hAnsi="Cambria" w:cs="Cambria" w:eastAsia="Cambria"/>
          <w:b/>
          <w:color w:val="2D2D2D"/>
          <w:sz w:val="21"/>
        </w:rPr>
        <w:t>expressly carved out of the liability cap (§10.1) and the consequential-damages exclusion (§10.2)</w:t>
      </w:r>
      <w:r>
        <w:rPr>
          <w:rFonts w:ascii="Cambria" w:hAnsi="Cambria" w:cs="Cambria" w:eastAsia="Cambria"/>
          <w:b w:val="0"/>
          <w:i w:val="0"/>
          <w:color w:val="2D2D2D"/>
          <w:sz w:val="21"/>
        </w:rPr>
        <w:t xml:space="preserve"> — uncapped defense and damages exposure.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The ML/AI patent landscape is complex, crowded, and uncertain; PredictIQ's 14 issued patents and 3 pending PCT applications do not eliminate third-party-infringement risk.</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The §10.1 cap itself declines over time: in steady state, trailing-12-month fees (SaaS + maintenance) are ~$3.67M, so 2× = ~$7.3M, below the $15M floor — meaning the general cap is effectively </w:t>
      </w:r>
      <w:r>
        <w:rPr>
          <w:rFonts w:ascii="Cambria" w:hAnsi="Cambria" w:cs="Cambria" w:eastAsia="Cambria"/>
          <w:b/>
          <w:color w:val="2D2D2D"/>
          <w:sz w:val="21"/>
        </w:rPr>
        <w:t>$15M</w:t>
      </w:r>
      <w:r>
        <w:rPr>
          <w:rFonts w:ascii="Cambria" w:hAnsi="Cambria" w:cs="Cambria" w:eastAsia="Cambria"/>
          <w:b w:val="0"/>
          <w:i w:val="0"/>
          <w:color w:val="2D2D2D"/>
          <w:sz w:val="21"/>
        </w:rPr>
        <w:t xml:space="preserve"> in steady state, while the IP indemnity sits uncapped on top.</w:t>
      </w:r>
    </w:p>
    <w:p>
      <w:pPr>
        <w:keepNext/>
        <w:spacing w:before="180" w:after="60" w:line="240" w:lineRule="auto"/>
      </w:pPr>
      <w:r>
        <w:rPr>
          <w:rFonts w:ascii="Cambria" w:hAnsi="Cambria" w:cs="Cambria" w:eastAsia="Cambria"/>
          <w:b/>
          <w:color w:val="15284E"/>
          <w:sz w:val="22"/>
        </w:rPr>
        <w:t>6.2  High risks</w:t>
      </w:r>
    </w:p>
    <w:p>
      <w:pPr>
        <w:keepNext/>
        <w:spacing w:before="120" w:after="40" w:line="240" w:lineRule="auto"/>
      </w:pPr>
      <w:r>
        <w:rPr>
          <w:rFonts w:ascii="Cambria" w:hAnsi="Cambria" w:cs="Cambria" w:eastAsia="Cambria"/>
          <w:b/>
          <w:i/>
          <w:color w:val="595959"/>
          <w:sz w:val="21"/>
        </w:rPr>
        <w:t>R-05  Performance warranty with financial penalties (Term Sheet §§8.2–8.3) — Commercial / Legal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A 92% prediction-accuracy threshold (rolling 90-day) is a high bar for predictive maintenance, and the metric is highly sensitive to data quality, sensor calibration, and environmental variables — many outside Whitmore's control.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Measurement depends on </w:t>
      </w:r>
      <w:r>
        <w:rPr>
          <w:rFonts w:ascii="Cambria" w:hAnsi="Cambria" w:cs="Cambria" w:eastAsia="Cambria"/>
          <w:b/>
          <w:color w:val="2D2D2D"/>
          <w:sz w:val="21"/>
        </w:rPr>
        <w:t>KBI's maintenance logs</w:t>
      </w:r>
      <w:r>
        <w:rPr>
          <w:rFonts w:ascii="Cambria" w:hAnsi="Cambria" w:cs="Cambria" w:eastAsia="Cambria"/>
          <w:b w:val="0"/>
          <w:i w:val="0"/>
          <w:color w:val="2D2D2D"/>
          <w:sz w:val="21"/>
        </w:rPr>
        <w:t xml:space="preserve"> (KBI-controlled data) and on definitional questions (what counts as a "failure event," how near-misses are treated) — a fertile source of dispute.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Financial penalties (5% of quarterly SaaS fee per point below 92% = $35,625/point) plus a termination-for-cause trigger at &lt;85% for two consecutive quarters.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Inconsistent with the maintenance SLAs (§7.2), which are only "commercially reasonable efforts" with no service credits.</w:t>
      </w:r>
    </w:p>
    <w:p>
      <w:pPr>
        <w:keepNext/>
        <w:spacing w:before="120" w:after="40" w:line="240" w:lineRule="auto"/>
      </w:pPr>
      <w:r>
        <w:rPr>
          <w:rFonts w:ascii="Cambria" w:hAnsi="Cambria" w:cs="Cambria" w:eastAsia="Cambria"/>
          <w:b/>
          <w:i/>
          <w:color w:val="595959"/>
          <w:sz w:val="21"/>
        </w:rPr>
        <w:t>R-06  Derivative-works joint ownership (Term Sheet §§2, 3.3) — IP</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Derivative works from the API layer are </w:t>
      </w:r>
      <w:r>
        <w:rPr>
          <w:rFonts w:ascii="Cambria" w:hAnsi="Cambria" w:cs="Cambria" w:eastAsia="Cambria"/>
          <w:b/>
          <w:color w:val="2D2D2D"/>
          <w:sz w:val="21"/>
        </w:rPr>
        <w:t>jointly owned</w:t>
      </w:r>
      <w:r>
        <w:rPr>
          <w:rFonts w:ascii="Cambria" w:hAnsi="Cambria" w:cs="Cambria" w:eastAsia="Cambria"/>
          <w:b w:val="0"/>
          <w:i w:val="0"/>
          <w:color w:val="2D2D2D"/>
          <w:sz w:val="21"/>
        </w:rPr>
        <w:t>, with each party having the unrestricted right to use, modify, sublicense, and exploit without consent or accounting.</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Joint ownership is unusual and problematic — particularly under German law, which treats joint ownership differently — and could permit KBI (and its affiliates) to exploit works that incorporate Whitmore IP, creating leakage of Whitmore's technology.</w:t>
      </w:r>
    </w:p>
    <w:p>
      <w:pPr>
        <w:keepNext/>
        <w:spacing w:before="120" w:after="40" w:line="240" w:lineRule="auto"/>
      </w:pPr>
      <w:r>
        <w:rPr>
          <w:rFonts w:ascii="Cambria" w:hAnsi="Cambria" w:cs="Cambria" w:eastAsia="Cambria"/>
          <w:b/>
          <w:i/>
          <w:color w:val="595959"/>
          <w:sz w:val="21"/>
        </w:rPr>
        <w:t>R-07  Feedback / KBI-Inspired Improvements tension (Term Sheet §§3.4–3.5) — IP</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§3.4 makes feedback Whitmore's sole property, but §3.5 grants KBI a perpetual, irrevocable, royalty-free license to "KBI-Inspired Improvements," and §3.3 makes derivative works jointly owned. The three provisions are internally tense and potentially contradictory as to who owns improvements derived from KBI's data and use.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Without harmonization, KBI could claim rights to general model improvements that should remain Whitmore's exclusive IP.</w:t>
      </w:r>
    </w:p>
    <w:p>
      <w:pPr>
        <w:keepNext/>
        <w:spacing w:before="120" w:after="40" w:line="240" w:lineRule="auto"/>
      </w:pPr>
      <w:r>
        <w:rPr>
          <w:rFonts w:ascii="Cambria" w:hAnsi="Cambria" w:cs="Cambria" w:eastAsia="Cambria"/>
          <w:b/>
          <w:i/>
          <w:color w:val="595959"/>
          <w:sz w:val="21"/>
        </w:rPr>
        <w:t>R-08  Source code escrow release triggers (Term Sheet §11) — IP / Legal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Release triggers include a "material breach" uncured for 60 days and a 90-consecutive-day support gap — the "material breach" trigger is broad and could be invoked for breaches unrelated to source code or support.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On release, KBI obtains a </w:t>
      </w:r>
      <w:r>
        <w:rPr>
          <w:rFonts w:ascii="Cambria" w:hAnsi="Cambria" w:cs="Cambria" w:eastAsia="Cambria"/>
          <w:b/>
          <w:color w:val="2D2D2D"/>
          <w:sz w:val="21"/>
        </w:rPr>
        <w:t>perpetual, irrevocable, royalty-free license to use, modify, compile, and deploy the source code</w:t>
      </w:r>
      <w:r>
        <w:rPr>
          <w:rFonts w:ascii="Cambria" w:hAnsi="Cambria" w:cs="Cambria" w:eastAsia="Cambria"/>
          <w:b w:val="0"/>
          <w:i w:val="0"/>
          <w:color w:val="2D2D2D"/>
          <w:sz w:val="21"/>
        </w:rPr>
        <w:t xml:space="preserve"> — a significant IP exposure, effectively a source-code license for the cost of a breach dispute.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No apparent requirement for an arbitral/final determination before release (risk of self-help), and no confidentiality/non-use restrictions on KBI's use of escrowed materials beyond the general confidentiality clause.</w:t>
      </w:r>
    </w:p>
    <w:p>
      <w:pPr>
        <w:keepNext/>
        <w:spacing w:before="120" w:after="40" w:line="240" w:lineRule="auto"/>
      </w:pPr>
      <w:r>
        <w:rPr>
          <w:rFonts w:ascii="Cambria" w:hAnsi="Cambria" w:cs="Cambria" w:eastAsia="Cambria"/>
          <w:b/>
          <w:i/>
          <w:color w:val="595959"/>
          <w:sz w:val="21"/>
        </w:rPr>
        <w:t>R-09  Perpetual wind-down license (Term Sheet §13.5) — Commercial / Legal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On </w:t>
      </w:r>
      <w:r>
        <w:rPr>
          <w:rFonts w:ascii="Cambria" w:hAnsi="Cambria" w:cs="Cambria" w:eastAsia="Cambria"/>
          <w:b/>
          <w:color w:val="2D2D2D"/>
          <w:sz w:val="21"/>
        </w:rPr>
        <w:t>any</w:t>
      </w:r>
      <w:r>
        <w:rPr>
          <w:rFonts w:ascii="Cambria" w:hAnsi="Cambria" w:cs="Cambria" w:eastAsia="Cambria"/>
          <w:b w:val="0"/>
          <w:i w:val="0"/>
          <w:color w:val="2D2D2D"/>
          <w:sz w:val="21"/>
        </w:rPr>
        <w:t xml:space="preserve"> termination — including KBI's termination for convenience — KBI retains a </w:t>
      </w:r>
      <w:r>
        <w:rPr>
          <w:rFonts w:ascii="Cambria" w:hAnsi="Cambria" w:cs="Cambria" w:eastAsia="Cambria"/>
          <w:b/>
          <w:color w:val="2D2D2D"/>
          <w:sz w:val="21"/>
        </w:rPr>
        <w:t>perpetual, non-exclusive, irrevocable</w:t>
      </w:r>
      <w:r>
        <w:rPr>
          <w:rFonts w:ascii="Cambria" w:hAnsi="Cambria" w:cs="Cambria" w:eastAsia="Cambria"/>
          <w:b w:val="0"/>
          <w:i w:val="0"/>
          <w:color w:val="2D2D2D"/>
          <w:sz w:val="21"/>
        </w:rPr>
        <w:t xml:space="preserve"> license to continue using the deployed version of PredictIQ, subject only to continued payment of the maintenance fee.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This undermines Whitmore's termination remedy: even if KBI walks away after year 3, it keeps perpetual use. (Note: Whitmore's General Counsel referenced a "24-month wind-down license" in her internal email; the Term Sheet in fact provides a </w:t>
      </w:r>
      <w:r>
        <w:rPr>
          <w:rFonts w:ascii="Cambria" w:hAnsi="Cambria" w:cs="Cambria" w:eastAsia="Cambria"/>
          <w:b/>
          <w:color w:val="2D2D2D"/>
          <w:sz w:val="21"/>
        </w:rPr>
        <w:t>perpetual</w:t>
      </w:r>
      <w:r>
        <w:rPr>
          <w:rFonts w:ascii="Cambria" w:hAnsi="Cambria" w:cs="Cambria" w:eastAsia="Cambria"/>
          <w:b w:val="0"/>
          <w:i w:val="0"/>
          <w:color w:val="2D2D2D"/>
          <w:sz w:val="21"/>
        </w:rPr>
        <w:t xml:space="preserve"> wind-down license, which is more favorable to KBI and more concerning for Whitmore.)</w:t>
      </w:r>
    </w:p>
    <w:p>
      <w:pPr>
        <w:keepNext/>
        <w:spacing w:before="120" w:after="40" w:line="240" w:lineRule="auto"/>
      </w:pPr>
      <w:r>
        <w:rPr>
          <w:rFonts w:ascii="Cambria" w:hAnsi="Cambria" w:cs="Cambria" w:eastAsia="Cambria"/>
          <w:b/>
          <w:i/>
          <w:color w:val="595959"/>
          <w:sz w:val="21"/>
        </w:rPr>
        <w:t>R-10  Implementation cash-flow mismatch (Term Sheet §§5, 6) — Operational / Financial</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The 30/40/30 license split places the first large milestone ($1.68M) at Phase 1 completion (~month 6); implementation fees are linear (~$97,222/mo).</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Estimated first-6-month inflows of ~$1.84M against estimated implementation costs of $2.5–3.0M — a </w:t>
      </w:r>
      <w:r>
        <w:rPr>
          <w:rFonts w:ascii="Cambria" w:hAnsi="Cambria" w:cs="Cambria" w:eastAsia="Cambria"/>
          <w:b/>
          <w:color w:val="2D2D2D"/>
          <w:sz w:val="21"/>
        </w:rPr>
        <w:t>$0.7–1.2M cash shortfall</w:t>
      </w:r>
      <w:r>
        <w:rPr>
          <w:rFonts w:ascii="Cambria" w:hAnsi="Cambria" w:cs="Cambria" w:eastAsia="Cambria"/>
          <w:b w:val="0"/>
          <w:i w:val="0"/>
          <w:color w:val="2D2D2D"/>
          <w:sz w:val="21"/>
        </w:rPr>
        <w:t xml:space="preserve"> before the Phase 1 milestone payment.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Linear payment vs. milestone-based delivery raises </w:t>
      </w:r>
      <w:r>
        <w:rPr>
          <w:rFonts w:ascii="Cambria" w:hAnsi="Cambria" w:cs="Cambria" w:eastAsia="Cambria"/>
          <w:b/>
          <w:color w:val="2D2D2D"/>
          <w:sz w:val="21"/>
        </w:rPr>
        <w:t>ASC 606 revenue-recognition</w:t>
      </w:r>
      <w:r>
        <w:rPr>
          <w:rFonts w:ascii="Cambria" w:hAnsi="Cambria" w:cs="Cambria" w:eastAsia="Cambria"/>
          <w:b w:val="0"/>
          <w:i w:val="0"/>
          <w:color w:val="2D2D2D"/>
          <w:sz w:val="21"/>
        </w:rPr>
        <w:t xml:space="preserve"> questions for Whitmore's auditors (Lakeshore Accounting Group LLP).</w:t>
      </w:r>
    </w:p>
    <w:p>
      <w:pPr>
        <w:keepNext/>
        <w:spacing w:before="180" w:after="60" w:line="240" w:lineRule="auto"/>
      </w:pPr>
      <w:r>
        <w:rPr>
          <w:rFonts w:ascii="Cambria" w:hAnsi="Cambria" w:cs="Cambria" w:eastAsia="Cambria"/>
          <w:b/>
          <w:color w:val="15284E"/>
          <w:sz w:val="22"/>
        </w:rPr>
        <w:t>6.3  Medium and low risks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R-11  Governing law (Term Sheet §14) — Medium / Legal.</w:t>
      </w:r>
      <w:r>
        <w:rPr>
          <w:rFonts w:ascii="Cambria" w:hAnsi="Cambria" w:cs="Cambria" w:eastAsia="Cambria"/>
          <w:b w:val="0"/>
          <w:i w:val="0"/>
          <w:color w:val="2D2D2D"/>
          <w:sz w:val="21"/>
        </w:rPr>
        <w:t xml:space="preserve"> German substantive law may affect enforceability of liability caps, penalty clauses (Vertragsstrafe), the uncapped indemnity, and the performance credits; specialist review needed. Recommend Washington State law or a neutral jurisdiction (England &amp; Wales or Switzerland).</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R-12  Liability cap structure (Term Sheet §10) — Medium / Legal.</w:t>
      </w:r>
      <w:r>
        <w:rPr>
          <w:rFonts w:ascii="Cambria" w:hAnsi="Cambria" w:cs="Cambria" w:eastAsia="Cambria"/>
          <w:b w:val="0"/>
          <w:i w:val="0"/>
          <w:color w:val="2D2D2D"/>
          <w:sz w:val="21"/>
        </w:rPr>
        <w:t xml:space="preserve"> Cap effectively $15M in steady state (see R-04); uncapped IP indemnity dwarfs the cap. Consider a fixed higher cap or a multiple that does not decline.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R-13  Termination asymmetry (Term Sheet §13.3) — Medium / Commercial.</w:t>
      </w:r>
      <w:r>
        <w:rPr>
          <w:rFonts w:ascii="Cambria" w:hAnsi="Cambria" w:cs="Cambria" w:eastAsia="Cambria"/>
          <w:b w:val="0"/>
          <w:i w:val="0"/>
          <w:color w:val="2D2D2D"/>
          <w:sz w:val="21"/>
        </w:rPr>
        <w:t xml:space="preserve"> Only KBI has a convenience-termination right; Whitmore is locked in (perpetual term) with no exit, compounded by the perpetual wind-down license.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R-14  Assignment asymmetry (Term Sheet §16.6) — Medium / Legal.</w:t>
      </w:r>
      <w:r>
        <w:rPr>
          <w:rFonts w:ascii="Cambria" w:hAnsi="Cambria" w:cs="Cambria" w:eastAsia="Cambria"/>
          <w:b w:val="0"/>
          <w:i w:val="0"/>
          <w:color w:val="2D2D2D"/>
          <w:sz w:val="21"/>
        </w:rPr>
        <w:t xml:space="preserve"> KBI may assign to affiliates or in an M&amp;A transaction without consent; if KBI is acquired by a Direct Competitor, a competitor could obtain PredictIQ access while Whitmore remains bound by the exclusivity.</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R-15  GDPR / EU-to-US data transfer (Term Sheet §4.5) — Medium / Compliance.</w:t>
      </w:r>
      <w:r>
        <w:rPr>
          <w:rFonts w:ascii="Cambria" w:hAnsi="Cambria" w:cs="Cambria" w:eastAsia="Cambria"/>
          <w:b w:val="0"/>
          <w:i w:val="0"/>
          <w:color w:val="2D2D2D"/>
          <w:sz w:val="21"/>
        </w:rPr>
        <w:t xml:space="preserve"> KBI operational data may include personal data; transfer to Whitmore (U.S.) requires Standard Contractual Clauses and a transfer impact assessment (Schrems II), plus a data processing agreement and BDSG-specific terms.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R-16  Expansion-right / MFC interaction (Term Sheet §§2, 5.7; Side Letter) — Medium / Commercial.</w:t>
      </w:r>
      <w:r>
        <w:rPr>
          <w:rFonts w:ascii="Cambria" w:hAnsi="Cambria" w:cs="Cambria" w:eastAsia="Cambria"/>
          <w:b w:val="0"/>
          <w:i w:val="0"/>
          <w:color w:val="2D2D2D"/>
          <w:sz w:val="21"/>
        </w:rPr>
        <w:t xml:space="preserve"> A 5-year pricing lock at the same per-facility terms, combined with the MFC, could freeze Whitmore's pricing well below market for acquired-facility deployments.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R-17  SLA treatment (Term Sheet §7.2) — Low-Medium / Commercial.</w:t>
      </w:r>
      <w:r>
        <w:rPr>
          <w:rFonts w:ascii="Cambria" w:hAnsi="Cambria" w:cs="Cambria" w:eastAsia="Cambria"/>
          <w:b w:val="0"/>
          <w:i w:val="0"/>
          <w:color w:val="2D2D2D"/>
          <w:sz w:val="21"/>
        </w:rPr>
        <w:t xml:space="preserve"> SLAs are "commercially reasonable efforts" targets with no service credits — generally favorable to Whitmore, but inconsistent with the penalized performance warranty.</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R-18  Binding no-shop (Term Sheet §16.2) — Low / Commercial.</w:t>
      </w:r>
      <w:r>
        <w:rPr>
          <w:rFonts w:ascii="Cambria" w:hAnsi="Cambria" w:cs="Cambria" w:eastAsia="Cambria"/>
          <w:b w:val="0"/>
          <w:i w:val="0"/>
          <w:color w:val="2D2D2D"/>
          <w:sz w:val="21"/>
        </w:rPr>
        <w:t xml:space="preserve"> A 60-day exclusive-negotiation obligation (through July 28, 2025) becomes binding if Whitmore signs the Term Sheet acknowledgment; assess before signing.</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R-19  Late-payment interest (Term Sheet §5.5) — Low / Legal.</w:t>
      </w:r>
      <w:r>
        <w:rPr>
          <w:rFonts w:ascii="Cambria" w:hAnsi="Cambria" w:cs="Cambria" w:eastAsia="Cambria"/>
          <w:b w:val="0"/>
          <w:i w:val="0"/>
          <w:color w:val="2D2D2D"/>
          <w:sz w:val="21"/>
        </w:rPr>
        <w:t xml:space="preserve"> 1.5%/month (~18% APR) may be unenforceable as usurious in some jurisdictions; consider a lower, clearly-justified rate.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R-20  Non-refundable fees (Term Sheet §13.7) — Low / Commercial.</w:t>
      </w:r>
      <w:r>
        <w:rPr>
          <w:rFonts w:ascii="Cambria" w:hAnsi="Cambria" w:cs="Cambria" w:eastAsia="Cambria"/>
          <w:b w:val="0"/>
          <w:i w:val="0"/>
          <w:color w:val="2D2D2D"/>
          <w:sz w:val="21"/>
        </w:rPr>
        <w:t xml:space="preserve"> Favorable to Whitmore, but interacts with performance penalties and termination rights and may become a point of contention.</w:t>
      </w:r>
    </w:p>
    <w:p>
      <w:pPr>
        <w:keepNext/>
        <w:spacing w:before="280" w:after="100" w:line="240" w:lineRule="auto"/>
        <w:pBdr>
          <w:bottom w:val="single" w:sz="6" w:space="3" w:color="1F3864"/>
        </w:pBdr>
      </w:pPr>
      <w:r>
        <w:rPr>
          <w:rFonts w:ascii="Cambria" w:hAnsi="Cambria" w:cs="Cambria" w:eastAsia="Cambria"/>
          <w:b/>
          <w:color w:val="1F3864"/>
          <w:sz w:val="26"/>
        </w:rPr>
        <w:t xml:space="preserve">7.  </w:t>
      </w:r>
      <w:r>
        <w:rPr>
          <w:rFonts w:ascii="Cambria" w:hAnsi="Cambria" w:cs="Cambria" w:eastAsia="Cambria"/>
          <w:b/>
          <w:color w:val="1F3864"/>
          <w:sz w:val="26"/>
        </w:rPr>
        <w:t>Negotiation Recommendations</w:t>
      </w:r>
    </w:p>
    <w:p>
      <w:pPr>
        <w:spacing w:before="0" w:after="120" w:line="269" w:lineRule="auto"/>
      </w:pPr>
      <w:r>
        <w:rPr>
          <w:rFonts w:ascii="Cambria" w:hAnsi="Cambria" w:cs="Cambria" w:eastAsia="Cambria"/>
          <w:b w:val="0"/>
          <w:i w:val="0"/>
          <w:color w:val="2D2D2D"/>
          <w:sz w:val="21"/>
        </w:rPr>
        <w:t xml:space="preserve">The following counter-positions are organized to track the risk flags in Section 6. Items marked </w:t>
      </w:r>
      <w:r>
        <w:rPr>
          <w:rFonts w:ascii="Cambria" w:hAnsi="Cambria" w:cs="Cambria" w:eastAsia="Cambria"/>
          <w:b/>
          <w:color w:val="2D2D2D"/>
          <w:sz w:val="21"/>
        </w:rPr>
        <w:t>[RED LINE]</w:t>
      </w:r>
      <w:r>
        <w:rPr>
          <w:rFonts w:ascii="Cambria" w:hAnsi="Cambria" w:cs="Cambria" w:eastAsia="Cambria"/>
          <w:b w:val="0"/>
          <w:i w:val="0"/>
          <w:color w:val="2D2D2D"/>
          <w:sz w:val="21"/>
        </w:rPr>
        <w:t xml:space="preserve"> reflect positions that, in our judgment and consistent with management's stated views, Whitmore should not concede; the remaining items are negotiable with appropriate guardrails.</w:t>
      </w:r>
    </w:p>
    <w:p>
      <w:pPr>
        <w:keepNext/>
        <w:spacing w:before="180" w:after="60" w:line="240" w:lineRule="auto"/>
      </w:pPr>
      <w:r>
        <w:rPr>
          <w:rFonts w:ascii="Cambria" w:hAnsi="Cambria" w:cs="Cambria" w:eastAsia="Cambria"/>
          <w:b/>
          <w:color w:val="15284E"/>
          <w:sz w:val="22"/>
        </w:rPr>
        <w:t>7.1  Exclusivity / non-compete (§12)  [RED LINE on the open-ended definition]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Reject the open-ended 30%-of-revenue test entirely.</w:t>
      </w:r>
      <w:r>
        <w:rPr>
          <w:rFonts w:ascii="Cambria" w:hAnsi="Cambria" w:cs="Cambria" w:eastAsia="Cambria"/>
          <w:b w:val="0"/>
          <w:i w:val="0"/>
          <w:color w:val="2D2D2D"/>
          <w:sz w:val="21"/>
        </w:rPr>
        <w:t xml:space="preserve"> It is practically unworkable and commercially damaging.</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If any exclusivity is granted, limit it to a </w:t>
      </w:r>
      <w:r>
        <w:rPr>
          <w:rFonts w:ascii="Cambria" w:hAnsi="Cambria" w:cs="Cambria" w:eastAsia="Cambria"/>
          <w:b/>
          <w:color w:val="2D2D2D"/>
          <w:sz w:val="21"/>
        </w:rPr>
        <w:t>fixed, named list</w:t>
      </w:r>
      <w:r>
        <w:rPr>
          <w:rFonts w:ascii="Cambria" w:hAnsi="Cambria" w:cs="Cambria" w:eastAsia="Cambria"/>
          <w:b w:val="0"/>
          <w:i w:val="0"/>
          <w:color w:val="2D2D2D"/>
          <w:sz w:val="21"/>
        </w:rPr>
        <w:t xml:space="preserve"> (a negotiated subset of the 12 Exhibit B entities, or all 12 with no catch-all), for a </w:t>
      </w:r>
      <w:r>
        <w:rPr>
          <w:rFonts w:ascii="Cambria" w:hAnsi="Cambria" w:cs="Cambria" w:eastAsia="Cambria"/>
          <w:b/>
          <w:color w:val="2D2D2D"/>
          <w:sz w:val="21"/>
        </w:rPr>
        <w:t>shorter term (18 months)</w:t>
      </w:r>
      <w:r>
        <w:rPr>
          <w:rFonts w:ascii="Cambria" w:hAnsi="Cambria" w:cs="Cambria" w:eastAsia="Cambria"/>
          <w:b w:val="0"/>
          <w:i w:val="0"/>
          <w:color w:val="2D2D2D"/>
          <w:sz w:val="21"/>
        </w:rPr>
        <w:t>, and only as to the PredictIQ platform (not "substantially similar" successor products).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Add a </w:t>
      </w:r>
      <w:r>
        <w:rPr>
          <w:rFonts w:ascii="Cambria" w:hAnsi="Cambria" w:cs="Cambria" w:eastAsia="Cambria"/>
          <w:b/>
          <w:color w:val="2D2D2D"/>
          <w:sz w:val="21"/>
        </w:rPr>
        <w:t>safe harbor / burden-shifting</w:t>
      </w:r>
      <w:r>
        <w:rPr>
          <w:rFonts w:ascii="Cambria" w:hAnsi="Cambria" w:cs="Cambria" w:eastAsia="Cambria"/>
          <w:b w:val="0"/>
          <w:i w:val="0"/>
          <w:color w:val="2D2D2D"/>
          <w:sz w:val="21"/>
        </w:rPr>
        <w:t xml:space="preserve"> provision: Whitmore's determination of non-competitor status made in good faith on reasonably available information is dispositive; the burden of proving competitor status falls on KBI.</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Do </w:t>
      </w:r>
      <w:r>
        <w:rPr>
          <w:rFonts w:ascii="Cambria" w:hAnsi="Cambria" w:cs="Cambria" w:eastAsia="Cambria"/>
          <w:b/>
          <w:color w:val="2D2D2D"/>
          <w:sz w:val="21"/>
        </w:rPr>
        <w:t>not</w:t>
      </w:r>
      <w:r>
        <w:rPr>
          <w:rFonts w:ascii="Cambria" w:hAnsi="Cambria" w:cs="Cambria" w:eastAsia="Cambria"/>
          <w:b w:val="0"/>
          <w:i w:val="0"/>
          <w:color w:val="2D2D2D"/>
          <w:sz w:val="21"/>
        </w:rPr>
        <w:t xml:space="preserve"> allow the exclusivity to survive termination (or, if it must, only for the narrow named list and only for the remaining period).</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Remove the automatic injunctive-relief / no-bond / no-irreparable-harm-showing language; require a standard showing.</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Add a </w:t>
      </w:r>
      <w:r>
        <w:rPr>
          <w:rFonts w:ascii="Cambria" w:hAnsi="Cambria" w:cs="Cambria" w:eastAsia="Cambria"/>
          <w:b/>
          <w:color w:val="2D2D2D"/>
          <w:sz w:val="21"/>
        </w:rPr>
        <w:t>sunset tied to KBI's continued deployment and fee levels</w:t>
      </w:r>
      <w:r>
        <w:rPr>
          <w:rFonts w:ascii="Cambria" w:hAnsi="Cambria" w:cs="Cambria" w:eastAsia="Cambria"/>
          <w:b w:val="0"/>
          <w:i w:val="0"/>
          <w:color w:val="2D2D2D"/>
          <w:sz w:val="21"/>
        </w:rPr>
        <w:t xml:space="preserve"> (e.g., exclusivity lapses if KBI falls below a minimum facility count or fee threshold).</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Engage EU competition counsel</w:t>
      </w:r>
      <w:r>
        <w:rPr>
          <w:rFonts w:ascii="Cambria" w:hAnsi="Cambria" w:cs="Cambria" w:eastAsia="Cambria"/>
          <w:b w:val="0"/>
          <w:i w:val="0"/>
          <w:color w:val="2D2D2D"/>
          <w:sz w:val="21"/>
        </w:rPr>
        <w:t xml:space="preserve"> to assess Article 101 TFEU exposure and consider restructuring (e.g., objective-justification framing, market-share/de-minimis analysis, or narrowing to a non-compete with clear geographic and temporal limits).</w:t>
      </w:r>
    </w:p>
    <w:p>
      <w:pPr>
        <w:keepNext/>
        <w:spacing w:before="180" w:after="60" w:line="240" w:lineRule="auto"/>
      </w:pPr>
      <w:r>
        <w:rPr>
          <w:rFonts w:ascii="Cambria" w:hAnsi="Cambria" w:cs="Cambria" w:eastAsia="Cambria"/>
          <w:b/>
          <w:color w:val="15284E"/>
          <w:sz w:val="22"/>
        </w:rPr>
        <w:t>7.2  Data training and Output Data (§§4.2–4.3)  [RED LINE]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Whitmore must retain the right to use anonymized and aggregated KBI data to train and improve its general ML models.</w:t>
      </w:r>
      <w:r>
        <w:rPr>
          <w:rFonts w:ascii="Cambria" w:hAnsi="Cambria" w:cs="Cambria" w:eastAsia="Cambria"/>
          <w:b w:val="0"/>
          <w:i w:val="0"/>
          <w:color w:val="2D2D2D"/>
          <w:sz w:val="21"/>
        </w:rPr>
        <w:t xml:space="preserve"> This is non-negotiable and goes to the core of PredictIQ's value proposition.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Accept </w:t>
      </w:r>
      <w:r>
        <w:rPr>
          <w:rFonts w:ascii="Cambria" w:hAnsi="Cambria" w:cs="Cambria" w:eastAsia="Cambria"/>
          <w:b/>
          <w:color w:val="2D2D2D"/>
          <w:sz w:val="21"/>
        </w:rPr>
        <w:t>strong anonymization commitments</w:t>
      </w:r>
      <w:r>
        <w:rPr>
          <w:rFonts w:ascii="Cambria" w:hAnsi="Cambria" w:cs="Cambria" w:eastAsia="Cambria"/>
          <w:b w:val="0"/>
          <w:i w:val="0"/>
          <w:color w:val="2D2D2D"/>
          <w:sz w:val="21"/>
        </w:rPr>
        <w:t xml:space="preserve">: industry-standard techniques (e.g., k-anonymity / differential privacy), a </w:t>
      </w:r>
      <w:r>
        <w:rPr>
          <w:rFonts w:ascii="Cambria" w:hAnsi="Cambria" w:cs="Cambria" w:eastAsia="Cambria"/>
          <w:b/>
          <w:color w:val="2D2D2D"/>
          <w:sz w:val="21"/>
        </w:rPr>
        <w:t>minimum aggregation pool size</w:t>
      </w:r>
      <w:r>
        <w:rPr>
          <w:rFonts w:ascii="Cambria" w:hAnsi="Cambria" w:cs="Cambria" w:eastAsia="Cambria"/>
          <w:b w:val="0"/>
          <w:i w:val="0"/>
          <w:color w:val="2D2D2D"/>
          <w:sz w:val="21"/>
        </w:rPr>
        <w:t xml:space="preserve"> so individual KBI data cannot be reverse-identified, contractual commitments, and (if KBI requires) </w:t>
      </w:r>
      <w:r>
        <w:rPr>
          <w:rFonts w:ascii="Cambria" w:hAnsi="Cambria" w:cs="Cambria" w:eastAsia="Cambria"/>
          <w:b/>
          <w:color w:val="2D2D2D"/>
          <w:sz w:val="21"/>
        </w:rPr>
        <w:t>third-party verification</w:t>
      </w:r>
      <w:r>
        <w:rPr>
          <w:rFonts w:ascii="Cambria" w:hAnsi="Cambria" w:cs="Cambria" w:eastAsia="Cambria"/>
          <w:b w:val="0"/>
          <w:i w:val="0"/>
          <w:color w:val="2D2D2D"/>
          <w:sz w:val="21"/>
        </w:rPr>
        <w:t xml:space="preserve"> of the anonymization process.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Redefine "Output Data"</w:t>
      </w:r>
      <w:r>
        <w:rPr>
          <w:rFonts w:ascii="Cambria" w:hAnsi="Cambria" w:cs="Cambria" w:eastAsia="Cambria"/>
          <w:b w:val="0"/>
          <w:i w:val="0"/>
          <w:color w:val="2D2D2D"/>
          <w:sz w:val="21"/>
        </w:rPr>
        <w:t xml:space="preserve"> to </w:t>
      </w:r>
      <w:r>
        <w:rPr>
          <w:rFonts w:ascii="Cambria" w:hAnsi="Cambria" w:cs="Cambria" w:eastAsia="Cambria"/>
          <w:b/>
          <w:color w:val="2D2D2D"/>
          <w:sz w:val="21"/>
        </w:rPr>
        <w:t>exclude</w:t>
      </w:r>
      <w:r>
        <w:rPr>
          <w:rFonts w:ascii="Cambria" w:hAnsi="Cambria" w:cs="Cambria" w:eastAsia="Cambria"/>
          <w:b w:val="0"/>
          <w:i w:val="0"/>
          <w:color w:val="2D2D2D"/>
          <w:sz w:val="21"/>
        </w:rPr>
        <w:t xml:space="preserve"> model weights, parameters, and training artifacts that reflect Whitmore's general model improvements. KBI should own only its raw input data and the business-specific outputs delivered to it (reports, alerts, predictions) — </w:t>
      </w:r>
      <w:r>
        <w:rPr>
          <w:rFonts w:ascii="Cambria" w:hAnsi="Cambria" w:cs="Cambria" w:eastAsia="Cambria"/>
          <w:b/>
          <w:color w:val="2D2D2D"/>
          <w:sz w:val="21"/>
        </w:rPr>
        <w:t>not the underlying model state</w:t>
      </w:r>
      <w:r>
        <w:rPr>
          <w:rFonts w:ascii="Cambria" w:hAnsi="Cambria" w:cs="Cambria" w:eastAsia="Cambria"/>
          <w:b w:val="0"/>
          <w:i w:val="0"/>
          <w:color w:val="2D2D2D"/>
          <w:sz w:val="21"/>
        </w:rPr>
        <w: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Clarify that improvements to PredictIQ's general models derived from aggregated/anonymized data across customers remain </w:t>
      </w:r>
      <w:r>
        <w:rPr>
          <w:rFonts w:ascii="Cambria" w:hAnsi="Cambria" w:cs="Cambria" w:eastAsia="Cambria"/>
          <w:b/>
          <w:color w:val="2D2D2D"/>
          <w:sz w:val="21"/>
        </w:rPr>
        <w:t>Whitmore's exclusive IP</w:t>
      </w:r>
      <w:r>
        <w:rPr>
          <w:rFonts w:ascii="Cambria" w:hAnsi="Cambria" w:cs="Cambria" w:eastAsia="Cambria"/>
          <w:b w:val="0"/>
          <w:i w:val="0"/>
          <w:color w:val="2D2D2D"/>
          <w:sz w:val="21"/>
        </w:rPr>
        <w: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Narrow §3.5 ("KBI-Inspired Improvements") so that KBI's royalty-free license covers only improvements </w:t>
      </w:r>
      <w:r>
        <w:rPr>
          <w:rFonts w:ascii="Cambria" w:hAnsi="Cambria" w:cs="Cambria" w:eastAsia="Cambria"/>
          <w:b/>
          <w:color w:val="2D2D2D"/>
          <w:sz w:val="21"/>
        </w:rPr>
        <w:t>specific to KBI's environment</w:t>
      </w:r>
      <w:r>
        <w:rPr>
          <w:rFonts w:ascii="Cambria" w:hAnsi="Cambria" w:cs="Cambria" w:eastAsia="Cambria"/>
          <w:b w:val="0"/>
          <w:i w:val="0"/>
          <w:color w:val="2D2D2D"/>
          <w:sz w:val="21"/>
        </w:rPr>
        <w:t>, not general model improvements.</w:t>
      </w:r>
    </w:p>
    <w:p>
      <w:pPr>
        <w:keepNext/>
        <w:spacing w:before="180" w:after="60" w:line="240" w:lineRule="auto"/>
      </w:pPr>
      <w:r>
        <w:rPr>
          <w:rFonts w:ascii="Cambria" w:hAnsi="Cambria" w:cs="Cambria" w:eastAsia="Cambria"/>
          <w:b/>
          <w:color w:val="15284E"/>
          <w:sz w:val="22"/>
        </w:rPr>
        <w:t>7.3  Most-favored-customer Side Letter  [RED LINE as drafted]</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Reject the Side Letter as drafted.</w:t>
      </w:r>
      <w:r>
        <w:rPr>
          <w:rFonts w:ascii="Cambria" w:hAnsi="Cambria" w:cs="Cambria" w:eastAsia="Cambria"/>
          <w:b w:val="0"/>
          <w:i w:val="0"/>
          <w:color w:val="2D2D2D"/>
          <w:sz w:val="21"/>
        </w:rPr>
        <w:t xml:space="preserve"> If any MFC protection is acceptable, impose substantial guardrails:</w:t>
      </w:r>
    </w:p>
    <w:p>
      <w:pPr>
        <w:spacing w:before="0" w:after="60" w:line="264" w:lineRule="auto"/>
        <w:ind w:left="461" w:hanging="317"/>
      </w:pPr>
      <w:r>
        <w:rPr>
          <w:rFonts w:ascii="Cambria" w:hAnsi="Cambria" w:cs="Cambria" w:eastAsia="Cambria"/>
          <w:b/>
          <w:color w:val="15284E"/>
          <w:sz w:val="21"/>
        </w:rPr>
        <w:t xml:space="preserve">1.  </w:t>
      </w:r>
      <w:r>
        <w:rPr>
          <w:rFonts w:ascii="Cambria" w:hAnsi="Cambria" w:cs="Cambria" w:eastAsia="Cambria"/>
          <w:b/>
          <w:color w:val="2D2D2D"/>
          <w:sz w:val="21"/>
        </w:rPr>
        <w:t>Carve-outs:</w:t>
      </w:r>
      <w:r>
        <w:rPr>
          <w:rFonts w:ascii="Cambria" w:hAnsi="Cambria" w:cs="Cambria" w:eastAsia="Cambria"/>
          <w:b w:val="0"/>
          <w:i w:val="0"/>
          <w:color w:val="2D2D2D"/>
          <w:sz w:val="21"/>
        </w:rPr>
        <w:t xml:space="preserve"> different geographies; different product tiers/editions; volume, enterprise, or strategic/anchor-partner discounts; government, academic, or non-profit pricing; channel-partner/reseller sales; bundled offerings; pre-existing customers under contracts signed before the definitive agreement; and distressed/liquidation sales.</w:t>
      </w:r>
    </w:p>
    <w:p>
      <w:pPr>
        <w:spacing w:before="0" w:after="60" w:line="264" w:lineRule="auto"/>
        <w:ind w:left="461" w:hanging="317"/>
      </w:pPr>
      <w:r>
        <w:rPr>
          <w:rFonts w:ascii="Cambria" w:hAnsi="Cambria" w:cs="Cambria" w:eastAsia="Cambria"/>
          <w:b/>
          <w:color w:val="15284E"/>
          <w:sz w:val="21"/>
        </w:rPr>
        <w:t xml:space="preserve">2.  </w:t>
      </w:r>
      <w:r>
        <w:rPr>
          <w:rFonts w:ascii="Cambria" w:hAnsi="Cambria" w:cs="Cambria" w:eastAsia="Cambria"/>
          <w:b/>
          <w:color w:val="2D2D2D"/>
          <w:sz w:val="21"/>
        </w:rPr>
        <w:t>Sunset:</w:t>
      </w:r>
      <w:r>
        <w:rPr>
          <w:rFonts w:ascii="Cambria" w:hAnsi="Cambria" w:cs="Cambria" w:eastAsia="Cambria"/>
          <w:b w:val="0"/>
          <w:i w:val="0"/>
          <w:color w:val="2D2D2D"/>
          <w:sz w:val="21"/>
        </w:rPr>
        <w:t xml:space="preserve"> limit the MFC to a defined initial term (e.g., 3 years) — </w:t>
      </w:r>
      <w:r>
        <w:rPr>
          <w:rFonts w:ascii="Cambria" w:hAnsi="Cambria" w:cs="Cambria" w:eastAsia="Cambria"/>
          <w:b/>
          <w:color w:val="2D2D2D"/>
          <w:sz w:val="21"/>
        </w:rPr>
        <w:t>not</w:t>
      </w:r>
      <w:r>
        <w:rPr>
          <w:rFonts w:ascii="Cambria" w:hAnsi="Cambria" w:cs="Cambria" w:eastAsia="Cambria"/>
          <w:b w:val="0"/>
          <w:i w:val="0"/>
          <w:color w:val="2D2D2D"/>
          <w:sz w:val="21"/>
        </w:rPr>
        <w:t xml:space="preserve"> through any post-termination wind-down license.</w:t>
      </w:r>
    </w:p>
    <w:p>
      <w:pPr>
        <w:spacing w:before="0" w:after="60" w:line="264" w:lineRule="auto"/>
        <w:ind w:left="461" w:hanging="317"/>
      </w:pPr>
      <w:r>
        <w:rPr>
          <w:rFonts w:ascii="Cambria" w:hAnsi="Cambria" w:cs="Cambria" w:eastAsia="Cambria"/>
          <w:b/>
          <w:color w:val="15284E"/>
          <w:sz w:val="21"/>
        </w:rPr>
        <w:t xml:space="preserve">3.  </w:t>
      </w:r>
      <w:r>
        <w:rPr>
          <w:rFonts w:ascii="Cambria" w:hAnsi="Cambria" w:cs="Cambria" w:eastAsia="Cambria"/>
          <w:b/>
          <w:color w:val="2D2D2D"/>
          <w:sz w:val="21"/>
        </w:rPr>
        <w:t>No retroactivity:</w:t>
      </w:r>
      <w:r>
        <w:rPr>
          <w:rFonts w:ascii="Cambria" w:hAnsi="Cambria" w:cs="Cambria" w:eastAsia="Cambria"/>
          <w:b w:val="0"/>
          <w:i w:val="0"/>
          <w:color w:val="2D2D2D"/>
          <w:sz w:val="21"/>
        </w:rPr>
        <w:t xml:space="preserve"> prospective only, from execution of the definitive agreement forward; </w:t>
      </w:r>
      <w:r>
        <w:rPr>
          <w:rFonts w:ascii="Cambria" w:hAnsi="Cambria" w:cs="Cambria" w:eastAsia="Cambria"/>
          <w:b/>
          <w:color w:val="2D2D2D"/>
          <w:sz w:val="21"/>
        </w:rPr>
        <w:t>no reach-back</w:t>
      </w:r>
      <w:r>
        <w:rPr>
          <w:rFonts w:ascii="Cambria" w:hAnsi="Cambria" w:cs="Cambria" w:eastAsia="Cambria"/>
          <w:b w:val="0"/>
          <w:i w:val="0"/>
          <w:color w:val="2D2D2D"/>
          <w:sz w:val="21"/>
        </w:rPr>
        <w:t xml:space="preserve"> to prior or contemporaneous deals.</w:t>
      </w:r>
    </w:p>
    <w:p>
      <w:pPr>
        <w:spacing w:before="0" w:after="60" w:line="264" w:lineRule="auto"/>
        <w:ind w:left="461" w:hanging="317"/>
      </w:pPr>
      <w:r>
        <w:rPr>
          <w:rFonts w:ascii="Cambria" w:hAnsi="Cambria" w:cs="Cambria" w:eastAsia="Cambria"/>
          <w:b/>
          <w:color w:val="15284E"/>
          <w:sz w:val="21"/>
        </w:rPr>
        <w:t xml:space="preserve">4.  </w:t>
      </w:r>
      <w:r>
        <w:rPr>
          <w:rFonts w:ascii="Cambria" w:hAnsi="Cambria" w:cs="Cambria" w:eastAsia="Cambria"/>
          <w:b/>
          <w:color w:val="2D2D2D"/>
          <w:sz w:val="21"/>
        </w:rPr>
        <w:t>Like-for-like comparison:</w:t>
      </w:r>
      <w:r>
        <w:rPr>
          <w:rFonts w:ascii="Cambria" w:hAnsi="Cambria" w:cs="Cambria" w:eastAsia="Cambria"/>
          <w:b w:val="0"/>
          <w:i w:val="0"/>
          <w:color w:val="2D2D2D"/>
          <w:sz w:val="21"/>
        </w:rPr>
        <w:t xml:space="preserve"> the effective per-facility price must compare </w:t>
      </w:r>
      <w:r>
        <w:rPr>
          <w:rFonts w:ascii="Cambria" w:hAnsi="Cambria" w:cs="Cambria" w:eastAsia="Cambria"/>
          <w:b/>
          <w:color w:val="2D2D2D"/>
          <w:sz w:val="21"/>
        </w:rPr>
        <w:t>comparable scope</w:t>
      </w:r>
      <w:r>
        <w:rPr>
          <w:rFonts w:ascii="Cambria" w:hAnsi="Cambria" w:cs="Cambria" w:eastAsia="Cambria"/>
          <w:b w:val="0"/>
          <w:i w:val="0"/>
          <w:color w:val="2D2D2D"/>
          <w:sz w:val="21"/>
        </w:rPr>
        <w:t xml:space="preserve"> (same product tier, same services, same term length, same geography, same volume) — the crude "total fees ÷ facilities" metric is unworkable and should be replaced or heavily qualified.</w:t>
      </w:r>
    </w:p>
    <w:p>
      <w:pPr>
        <w:spacing w:before="0" w:after="60" w:line="264" w:lineRule="auto"/>
        <w:ind w:left="461" w:hanging="317"/>
      </w:pPr>
      <w:r>
        <w:rPr>
          <w:rFonts w:ascii="Cambria" w:hAnsi="Cambria" w:cs="Cambria" w:eastAsia="Cambria"/>
          <w:b/>
          <w:color w:val="15284E"/>
          <w:sz w:val="21"/>
        </w:rPr>
        <w:t xml:space="preserve">5.  </w:t>
      </w:r>
      <w:r>
        <w:rPr>
          <w:rFonts w:ascii="Cambria" w:hAnsi="Cambria" w:cs="Cambria" w:eastAsia="Cambria"/>
          <w:b/>
          <w:color w:val="2D2D2D"/>
          <w:sz w:val="21"/>
        </w:rPr>
        <w:t>Floor:</w:t>
      </w:r>
      <w:r>
        <w:rPr>
          <w:rFonts w:ascii="Cambria" w:hAnsi="Cambria" w:cs="Cambria" w:eastAsia="Cambria"/>
          <w:b w:val="0"/>
          <w:i w:val="0"/>
          <w:color w:val="2D2D2D"/>
          <w:sz w:val="21"/>
        </w:rPr>
        <w:t xml:space="preserve"> MFC adjustments subject to a stated minimum price floor.</w:t>
      </w:r>
    </w:p>
    <w:p>
      <w:pPr>
        <w:spacing w:before="0" w:after="60" w:line="264" w:lineRule="auto"/>
        <w:ind w:left="461" w:hanging="317"/>
      </w:pPr>
      <w:r>
        <w:rPr>
          <w:rFonts w:ascii="Cambria" w:hAnsi="Cambria" w:cs="Cambria" w:eastAsia="Cambria"/>
          <w:b/>
          <w:color w:val="15284E"/>
          <w:sz w:val="21"/>
        </w:rPr>
        <w:t xml:space="preserve">6.  </w:t>
      </w:r>
      <w:r>
        <w:rPr>
          <w:rFonts w:ascii="Cambria" w:hAnsi="Cambria" w:cs="Cambria" w:eastAsia="Cambria"/>
          <w:b/>
          <w:color w:val="2D2D2D"/>
          <w:sz w:val="21"/>
        </w:rPr>
        <w:t>Audit:</w:t>
      </w:r>
      <w:r>
        <w:rPr>
          <w:rFonts w:ascii="Cambria" w:hAnsi="Cambria" w:cs="Cambria" w:eastAsia="Cambria"/>
          <w:b w:val="0"/>
          <w:i w:val="0"/>
          <w:color w:val="2D2D2D"/>
          <w:sz w:val="21"/>
        </w:rPr>
        <w:t xml:space="preserve"> narrow scope, robust confidentiality protections, and a higher cost-shift threshold (e.g., Whitmore bears audit costs only on a discrepancy of 10%+, not 5%).</w:t>
      </w:r>
    </w:p>
    <w:p>
      <w:pPr>
        <w:spacing w:before="0" w:after="60" w:line="264" w:lineRule="auto"/>
        <w:ind w:left="461" w:hanging="317"/>
      </w:pPr>
      <w:r>
        <w:rPr>
          <w:rFonts w:ascii="Cambria" w:hAnsi="Cambria" w:cs="Cambria" w:eastAsia="Cambria"/>
          <w:b/>
          <w:color w:val="15284E"/>
          <w:sz w:val="21"/>
        </w:rPr>
        <w:t xml:space="preserve">7.  </w:t>
      </w:r>
      <w:r>
        <w:rPr>
          <w:rFonts w:ascii="Cambria" w:hAnsi="Cambria" w:cs="Cambria" w:eastAsia="Cambria"/>
          <w:b/>
          <w:color w:val="2D2D2D"/>
          <w:sz w:val="21"/>
        </w:rPr>
        <w:t>Notice and cure:</w:t>
      </w:r>
      <w:r>
        <w:rPr>
          <w:rFonts w:ascii="Cambria" w:hAnsi="Cambria" w:cs="Cambria" w:eastAsia="Cambria"/>
          <w:b w:val="0"/>
          <w:i w:val="0"/>
          <w:color w:val="2D2D2D"/>
          <w:sz w:val="21"/>
        </w:rPr>
        <w:t xml:space="preserve"> Whitmore may contest an alleged discrepancy and cure before any credit issues.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Engage EU competition counsel</w:t>
      </w:r>
      <w:r>
        <w:rPr>
          <w:rFonts w:ascii="Cambria" w:hAnsi="Cambria" w:cs="Cambria" w:eastAsia="Cambria"/>
          <w:b w:val="0"/>
          <w:i w:val="0"/>
          <w:color w:val="2D2D2D"/>
          <w:sz w:val="21"/>
        </w:rPr>
        <w:t xml:space="preserve"> on MFC scrutiny before agreeing to any form of the clause.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Frame the negotiation to reflect that anchor-customer value runs </w:t>
      </w:r>
      <w:r>
        <w:rPr>
          <w:rFonts w:ascii="Cambria" w:hAnsi="Cambria" w:cs="Cambria" w:eastAsia="Cambria"/>
          <w:b/>
          <w:color w:val="2D2D2D"/>
          <w:sz w:val="21"/>
        </w:rPr>
        <w:t>both ways</w:t>
      </w:r>
      <w:r>
        <w:rPr>
          <w:rFonts w:ascii="Cambria" w:hAnsi="Cambria" w:cs="Cambria" w:eastAsia="Cambria"/>
          <w:b w:val="0"/>
          <w:i w:val="0"/>
          <w:color w:val="2D2D2D"/>
          <w:sz w:val="21"/>
        </w:rPr>
        <w:t>: KBI needs Whitmore's technology and reference relationship as much as Whitmore needs KBI's footprint.</w:t>
      </w:r>
    </w:p>
    <w:p>
      <w:pPr>
        <w:keepNext/>
        <w:spacing w:before="180" w:after="60" w:line="240" w:lineRule="auto"/>
      </w:pPr>
      <w:r>
        <w:rPr>
          <w:rFonts w:ascii="Cambria" w:hAnsi="Cambria" w:cs="Cambria" w:eastAsia="Cambria"/>
          <w:b/>
          <w:color w:val="15284E"/>
          <w:sz w:val="22"/>
        </w:rPr>
        <w:t>7.4  IP indemnification and liability cap (§§9, 10)  [RED LINE on uncapped indemnity]</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Cap the IP indemnity</w:t>
      </w:r>
      <w:r>
        <w:rPr>
          <w:rFonts w:ascii="Cambria" w:hAnsi="Cambria" w:cs="Cambria" w:eastAsia="Cambria"/>
          <w:b w:val="0"/>
          <w:i w:val="0"/>
          <w:color w:val="2D2D2D"/>
          <w:sz w:val="21"/>
        </w:rPr>
        <w:t xml:space="preserve"> — at the general liability cap or a dedicated IP-indemnity cap (e.g., $15M–$25M) — or, at minimum, cap defense costs. An uncapped indemnity in an uncertain ML/AI patent landscape is disproportionate.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Add </w:t>
      </w:r>
      <w:r>
        <w:rPr>
          <w:rFonts w:ascii="Cambria" w:hAnsi="Cambria" w:cs="Cambria" w:eastAsia="Cambria"/>
          <w:b/>
          <w:color w:val="2D2D2D"/>
          <w:sz w:val="21"/>
        </w:rPr>
        <w:t>standard IP-indemnity exclusions</w:t>
      </w:r>
      <w:r>
        <w:rPr>
          <w:rFonts w:ascii="Cambria" w:hAnsi="Cambria" w:cs="Cambria" w:eastAsia="Cambria"/>
          <w:b w:val="0"/>
          <w:i w:val="0"/>
          <w:color w:val="2D2D2D"/>
          <w:sz w:val="21"/>
        </w:rPr>
        <w:t>: KBI's unauthorized use; KBI's modifications or derivatives; combination with third-party products; designs or specifications supplied by KBI; and open-source components KBI introduces.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Retain the §9.2 cure/modify/replace remedies (favorable to Whitmore) and add a covenant not to sue and first-in-time defense coordination.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Consider </w:t>
      </w:r>
      <w:r>
        <w:rPr>
          <w:rFonts w:ascii="Cambria" w:hAnsi="Cambria" w:cs="Cambria" w:eastAsia="Cambria"/>
          <w:b/>
          <w:color w:val="2D2D2D"/>
          <w:sz w:val="21"/>
        </w:rPr>
        <w:t>IP infringement insurance</w:t>
      </w:r>
      <w:r>
        <w:rPr>
          <w:rFonts w:ascii="Cambria" w:hAnsi="Cambria" w:cs="Cambria" w:eastAsia="Cambria"/>
          <w:b w:val="0"/>
          <w:i w:val="0"/>
          <w:color w:val="2D2D2D"/>
          <w:sz w:val="21"/>
        </w:rPr>
        <w:t xml:space="preserve"> to backstop the indemnity.</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Re-examine the §10.1 cap: because it declines to $15M in steady state, consider a </w:t>
      </w:r>
      <w:r>
        <w:rPr>
          <w:rFonts w:ascii="Cambria" w:hAnsi="Cambria" w:cs="Cambria" w:eastAsia="Cambria"/>
          <w:b/>
          <w:color w:val="2D2D2D"/>
          <w:sz w:val="21"/>
        </w:rPr>
        <w:t>fixed cap</w:t>
      </w:r>
      <w:r>
        <w:rPr>
          <w:rFonts w:ascii="Cambria" w:hAnsi="Cambria" w:cs="Cambria" w:eastAsia="Cambria"/>
          <w:b w:val="0"/>
          <w:i w:val="0"/>
          <w:color w:val="2D2D2D"/>
          <w:sz w:val="21"/>
        </w:rPr>
        <w:t xml:space="preserve"> or a multiple that does not erode as one-time fees roll off.</w:t>
      </w:r>
    </w:p>
    <w:p>
      <w:pPr>
        <w:keepNext/>
        <w:spacing w:before="180" w:after="60" w:line="240" w:lineRule="auto"/>
      </w:pPr>
      <w:r>
        <w:rPr>
          <w:rFonts w:ascii="Cambria" w:hAnsi="Cambria" w:cs="Cambria" w:eastAsia="Cambria"/>
          <w:b/>
          <w:color w:val="15284E"/>
          <w:sz w:val="22"/>
        </w:rPr>
        <w:t>7.5  Performance warranty (§§8.2–8.3)</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Negotiate the 92% threshold down or restructure it as an </w:t>
      </w:r>
      <w:r>
        <w:rPr>
          <w:rFonts w:ascii="Cambria" w:hAnsi="Cambria" w:cs="Cambria" w:eastAsia="Cambria"/>
          <w:b/>
          <w:color w:val="2D2D2D"/>
          <w:sz w:val="21"/>
        </w:rPr>
        <w:t>aspirational target</w:t>
      </w:r>
      <w:r>
        <w:rPr>
          <w:rFonts w:ascii="Cambria" w:hAnsi="Cambria" w:cs="Cambria" w:eastAsia="Cambria"/>
          <w:b w:val="0"/>
          <w:i w:val="0"/>
          <w:color w:val="2D2D2D"/>
          <w:sz w:val="21"/>
        </w:rPr>
        <w:t xml:space="preserve"> with credits only below a lower floor.</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Tighten the measurement definition: specify </w:t>
      </w:r>
      <w:r>
        <w:rPr>
          <w:rFonts w:ascii="Cambria" w:hAnsi="Cambria" w:cs="Cambria" w:eastAsia="Cambria"/>
          <w:b/>
          <w:color w:val="2D2D2D"/>
          <w:sz w:val="21"/>
        </w:rPr>
        <w:t>data-quality prerequisites</w:t>
      </w:r>
      <w:r>
        <w:rPr>
          <w:rFonts w:ascii="Cambria" w:hAnsi="Cambria" w:cs="Cambria" w:eastAsia="Cambria"/>
          <w:b w:val="0"/>
          <w:i w:val="0"/>
          <w:color w:val="2D2D2D"/>
          <w:sz w:val="21"/>
        </w:rPr>
        <w:t xml:space="preserve"> (sensor calibration, complete and timely logs), KBI's obligations to maintain data quality, a </w:t>
      </w:r>
      <w:r>
        <w:rPr>
          <w:rFonts w:ascii="Cambria" w:hAnsi="Cambria" w:cs="Cambria" w:eastAsia="Cambria"/>
          <w:b/>
          <w:color w:val="2D2D2D"/>
          <w:sz w:val="21"/>
        </w:rPr>
        <w:t>mutually agreed measurement methodology</w:t>
      </w:r>
      <w:r>
        <w:rPr>
          <w:rFonts w:ascii="Cambria" w:hAnsi="Cambria" w:cs="Cambria" w:eastAsia="Cambria"/>
          <w:b w:val="0"/>
          <w:i w:val="0"/>
          <w:color w:val="2D2D2D"/>
          <w:sz w:val="21"/>
        </w:rPr>
        <w:t>, and an independent measurement mechanism rather than reliance on KBI's maintenance logs alone.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Shift measurement to a </w:t>
      </w:r>
      <w:r>
        <w:rPr>
          <w:rFonts w:ascii="Cambria" w:hAnsi="Cambria" w:cs="Cambria" w:eastAsia="Cambria"/>
          <w:b/>
          <w:color w:val="2D2D2D"/>
          <w:sz w:val="21"/>
        </w:rPr>
        <w:t>defined test set / holdout</w:t>
      </w:r>
      <w:r>
        <w:rPr>
          <w:rFonts w:ascii="Cambria" w:hAnsi="Cambria" w:cs="Cambria" w:eastAsia="Cambria"/>
          <w:b w:val="0"/>
          <w:i w:val="0"/>
          <w:color w:val="2D2D2D"/>
          <w:sz w:val="21"/>
        </w:rPr>
        <w:t xml:space="preserve"> rather than live operational logs.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Cap aggregate credits</w:t>
      </w:r>
      <w:r>
        <w:rPr>
          <w:rFonts w:ascii="Cambria" w:hAnsi="Cambria" w:cs="Cambria" w:eastAsia="Cambria"/>
          <w:b w:val="0"/>
          <w:i w:val="0"/>
          <w:color w:val="2D2D2D"/>
          <w:sz w:val="21"/>
        </w:rPr>
        <w:t xml:space="preserve"> per year and </w:t>
      </w:r>
      <w:r>
        <w:rPr>
          <w:rFonts w:ascii="Cambria" w:hAnsi="Cambria" w:cs="Cambria" w:eastAsia="Cambria"/>
          <w:b/>
          <w:color w:val="2D2D2D"/>
          <w:sz w:val="21"/>
        </w:rPr>
        <w:t>remove or raise</w:t>
      </w:r>
      <w:r>
        <w:rPr>
          <w:rFonts w:ascii="Cambria" w:hAnsi="Cambria" w:cs="Cambria" w:eastAsia="Cambria"/>
          <w:b w:val="0"/>
          <w:i w:val="0"/>
          <w:color w:val="2D2D2D"/>
          <w:sz w:val="21"/>
        </w:rPr>
        <w:t xml:space="preserve"> the termination trigger (85% for two consecutive quarters is aggressive; consider 80% or a longer measurement window).</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Add </w:t>
      </w:r>
      <w:r>
        <w:rPr>
          <w:rFonts w:ascii="Cambria" w:hAnsi="Cambria" w:cs="Cambria" w:eastAsia="Cambria"/>
          <w:b/>
          <w:color w:val="2D2D2D"/>
          <w:sz w:val="21"/>
        </w:rPr>
        <w:t>force-majeure and KBI-caused data-quality carve-outs</w:t>
      </w:r>
      <w:r>
        <w:rPr>
          <w:rFonts w:ascii="Cambria" w:hAnsi="Cambria" w:cs="Cambria" w:eastAsia="Cambria"/>
          <w:b w:val="0"/>
          <w:i w:val="0"/>
          <w:color w:val="2D2D2D"/>
          <w:sz w:val="21"/>
        </w:rPr>
        <w:t xml:space="preserve"> from the accuracy calculation.</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Make the maintenance SLAs (§7.2) </w:t>
      </w:r>
      <w:r>
        <w:rPr>
          <w:rFonts w:ascii="Cambria" w:hAnsi="Cambria" w:cs="Cambria" w:eastAsia="Cambria"/>
          <w:b/>
          <w:color w:val="2D2D2D"/>
          <w:sz w:val="21"/>
        </w:rPr>
        <w:t>consistent</w:t>
      </w:r>
      <w:r>
        <w:rPr>
          <w:rFonts w:ascii="Cambria" w:hAnsi="Cambria" w:cs="Cambria" w:eastAsia="Cambria"/>
          <w:b w:val="0"/>
          <w:i w:val="0"/>
          <w:color w:val="2D2D2D"/>
          <w:sz w:val="21"/>
        </w:rPr>
        <w:t xml:space="preserve"> with the performance warranty: either both carry credits or neither does.</w:t>
      </w:r>
    </w:p>
    <w:p>
      <w:pPr>
        <w:keepNext/>
        <w:spacing w:before="180" w:after="60" w:line="240" w:lineRule="auto"/>
      </w:pPr>
      <w:r>
        <w:rPr>
          <w:rFonts w:ascii="Cambria" w:hAnsi="Cambria" w:cs="Cambria" w:eastAsia="Cambria"/>
          <w:b/>
          <w:color w:val="15284E"/>
          <w:sz w:val="22"/>
        </w:rPr>
        <w:t>7.6  Derivative works, feedback, and improvements (§§2, 3.3–3.5)</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Replace joint ownership</w:t>
      </w:r>
      <w:r>
        <w:rPr>
          <w:rFonts w:ascii="Cambria" w:hAnsi="Cambria" w:cs="Cambria" w:eastAsia="Cambria"/>
          <w:b w:val="0"/>
          <w:i w:val="0"/>
          <w:color w:val="2D2D2D"/>
          <w:sz w:val="21"/>
        </w:rPr>
        <w:t xml:space="preserve"> with a clearer split: KBI owns its integration code that does </w:t>
      </w:r>
      <w:r>
        <w:rPr>
          <w:rFonts w:ascii="Cambria" w:hAnsi="Cambria" w:cs="Cambria" w:eastAsia="Cambria"/>
          <w:b/>
          <w:color w:val="2D2D2D"/>
          <w:sz w:val="21"/>
        </w:rPr>
        <w:t>not</w:t>
      </w:r>
      <w:r>
        <w:rPr>
          <w:rFonts w:ascii="Cambria" w:hAnsi="Cambria" w:cs="Cambria" w:eastAsia="Cambria"/>
          <w:b w:val="0"/>
          <w:i w:val="0"/>
          <w:color w:val="2D2D2D"/>
          <w:sz w:val="21"/>
        </w:rPr>
        <w:t xml:space="preserve"> incorporate Whitmore IP; Whitmore retains </w:t>
      </w:r>
      <w:r>
        <w:rPr>
          <w:rFonts w:ascii="Cambria" w:hAnsi="Cambria" w:cs="Cambria" w:eastAsia="Cambria"/>
          <w:b/>
          <w:color w:val="2D2D2D"/>
          <w:sz w:val="21"/>
        </w:rPr>
        <w:t>sole ownership</w:t>
      </w:r>
      <w:r>
        <w:rPr>
          <w:rFonts w:ascii="Cambria" w:hAnsi="Cambria" w:cs="Cambria" w:eastAsia="Cambria"/>
          <w:b w:val="0"/>
          <w:i w:val="0"/>
          <w:color w:val="2D2D2D"/>
          <w:sz w:val="21"/>
        </w:rPr>
        <w:t xml:space="preserve"> of any derivative work that incorporates PredictIQ IP; grant KBI a </w:t>
      </w:r>
      <w:r>
        <w:rPr>
          <w:rFonts w:ascii="Cambria" w:hAnsi="Cambria" w:cs="Cambria" w:eastAsia="Cambria"/>
          <w:b/>
          <w:color w:val="2D2D2D"/>
          <w:sz w:val="21"/>
        </w:rPr>
        <w:t>limited license</w:t>
      </w:r>
      <w:r>
        <w:rPr>
          <w:rFonts w:ascii="Cambria" w:hAnsi="Cambria" w:cs="Cambria" w:eastAsia="Cambria"/>
          <w:b w:val="0"/>
          <w:i w:val="0"/>
          <w:color w:val="2D2D2D"/>
          <w:sz w:val="21"/>
        </w:rPr>
        <w:t xml:space="preserve"> to use such integration code for its internal operations.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Remove KBI's "unrestricted right to sublicense and exploit" derivative works.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Harmonize §3.4 and §3.5:</w:t>
      </w:r>
      <w:r>
        <w:rPr>
          <w:rFonts w:ascii="Cambria" w:hAnsi="Cambria" w:cs="Cambria" w:eastAsia="Cambria"/>
          <w:b w:val="0"/>
          <w:i w:val="0"/>
          <w:color w:val="2D2D2D"/>
          <w:sz w:val="21"/>
        </w:rPr>
        <w:t xml:space="preserve"> confirm that general model improvements from aggregated/anonymized data are Whitmore's exclusive IP; limit KBI's §3.5 license to improvements specific to KBI's environment and exclude general model weights/parameters.</w:t>
      </w:r>
    </w:p>
    <w:p>
      <w:pPr>
        <w:keepNext/>
        <w:spacing w:before="180" w:after="60" w:line="240" w:lineRule="auto"/>
      </w:pPr>
      <w:r>
        <w:rPr>
          <w:rFonts w:ascii="Cambria" w:hAnsi="Cambria" w:cs="Cambria" w:eastAsia="Cambria"/>
          <w:b/>
          <w:color w:val="15284E"/>
          <w:sz w:val="22"/>
        </w:rPr>
        <w:t>7.7  Source code escrow (§11)</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Narrow the release triggers:</w:t>
      </w:r>
      <w:r>
        <w:rPr>
          <w:rFonts w:ascii="Cambria" w:hAnsi="Cambria" w:cs="Cambria" w:eastAsia="Cambria"/>
          <w:b w:val="0"/>
          <w:i w:val="0"/>
          <w:color w:val="2D2D2D"/>
          <w:sz w:val="21"/>
        </w:rPr>
        <w:t xml:space="preserve"> remove or tighten the "material breach" trigger — require a material breach </w:t>
      </w:r>
      <w:r>
        <w:rPr>
          <w:rFonts w:ascii="Cambria" w:hAnsi="Cambria" w:cs="Cambria" w:eastAsia="Cambria"/>
          <w:b/>
          <w:color w:val="2D2D2D"/>
          <w:sz w:val="21"/>
        </w:rPr>
        <w:t>specifically relating to source code or support</w:t>
      </w:r>
      <w:r>
        <w:rPr>
          <w:rFonts w:ascii="Cambria" w:hAnsi="Cambria" w:cs="Cambria" w:eastAsia="Cambria"/>
          <w:b w:val="0"/>
          <w:i w:val="0"/>
          <w:color w:val="2D2D2D"/>
          <w:sz w:val="21"/>
        </w:rPr>
        <w:t xml:space="preserve">, with a longer cure period and a </w:t>
      </w:r>
      <w:r>
        <w:rPr>
          <w:rFonts w:ascii="Cambria" w:hAnsi="Cambria" w:cs="Cambria" w:eastAsia="Cambria"/>
          <w:b/>
          <w:color w:val="2D2D2D"/>
          <w:sz w:val="21"/>
        </w:rPr>
        <w:t>final arbitral determination</w:t>
      </w:r>
      <w:r>
        <w:rPr>
          <w:rFonts w:ascii="Cambria" w:hAnsi="Cambria" w:cs="Cambria" w:eastAsia="Cambria"/>
          <w:b w:val="0"/>
          <w:i w:val="0"/>
          <w:color w:val="2D2D2D"/>
          <w:sz w:val="21"/>
        </w:rPr>
        <w:t xml:space="preserve"> before release (no self-help).</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Lengthen the support-gap trigger and add a cure period.</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Limit the post-release license to </w:t>
      </w:r>
      <w:r>
        <w:rPr>
          <w:rFonts w:ascii="Cambria" w:hAnsi="Cambria" w:cs="Cambria" w:eastAsia="Cambria"/>
          <w:b/>
          <w:color w:val="2D2D2D"/>
          <w:sz w:val="21"/>
        </w:rPr>
        <w:t>internal use for a defined wind-down period</w:t>
      </w:r>
      <w:r>
        <w:rPr>
          <w:rFonts w:ascii="Cambria" w:hAnsi="Cambria" w:cs="Cambria" w:eastAsia="Cambria"/>
          <w:b w:val="0"/>
          <w:i w:val="0"/>
          <w:color w:val="2D2D2D"/>
          <w:sz w:val="21"/>
        </w:rPr>
        <w:t xml:space="preserve"> (e.g., 12–24 months), not a perpetual royalty-free license, and </w:t>
      </w:r>
      <w:r>
        <w:rPr>
          <w:rFonts w:ascii="Cambria" w:hAnsi="Cambria" w:cs="Cambria" w:eastAsia="Cambria"/>
          <w:b/>
          <w:color w:val="2D2D2D"/>
          <w:sz w:val="21"/>
        </w:rPr>
        <w:t>prohibit reverse engineering and competitive use</w:t>
      </w:r>
      <w:r>
        <w:rPr>
          <w:rFonts w:ascii="Cambria" w:hAnsi="Cambria" w:cs="Cambria" w:eastAsia="Cambria"/>
          <w:b w:val="0"/>
          <w:i w:val="0"/>
          <w:color w:val="2D2D2D"/>
          <w:sz w:val="21"/>
        </w:rPr>
        <w: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Add </w:t>
      </w:r>
      <w:r>
        <w:rPr>
          <w:rFonts w:ascii="Cambria" w:hAnsi="Cambria" w:cs="Cambria" w:eastAsia="Cambria"/>
          <w:b/>
          <w:color w:val="2D2D2D"/>
          <w:sz w:val="21"/>
        </w:rPr>
        <w:t>confidentiality and non-use obligations</w:t>
      </w:r>
      <w:r>
        <w:rPr>
          <w:rFonts w:ascii="Cambria" w:hAnsi="Cambria" w:cs="Cambria" w:eastAsia="Cambria"/>
          <w:b w:val="0"/>
          <w:i w:val="0"/>
          <w:color w:val="2D2D2D"/>
          <w:sz w:val="21"/>
        </w:rPr>
        <w:t xml:space="preserve"> specifically applicable to escrowed materials, and require KBI to bear verification costs.</w:t>
      </w:r>
    </w:p>
    <w:p>
      <w:pPr>
        <w:keepNext/>
        <w:spacing w:before="180" w:after="60" w:line="240" w:lineRule="auto"/>
      </w:pPr>
      <w:r>
        <w:rPr>
          <w:rFonts w:ascii="Cambria" w:hAnsi="Cambria" w:cs="Cambria" w:eastAsia="Cambria"/>
          <w:b/>
          <w:color w:val="15284E"/>
          <w:sz w:val="22"/>
        </w:rPr>
        <w:t>7.8  Wind-down license and termination (§§13.3, 13.5)</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Convert the perpetual wind-down license to a time-limited transition license</w:t>
      </w:r>
      <w:r>
        <w:rPr>
          <w:rFonts w:ascii="Cambria" w:hAnsi="Cambria" w:cs="Cambria" w:eastAsia="Cambria"/>
          <w:b w:val="0"/>
          <w:i w:val="0"/>
          <w:color w:val="2D2D2D"/>
          <w:sz w:val="21"/>
        </w:rPr>
        <w:t xml:space="preserve"> (e.g., 12 months) at then-current fees, for the </w:t>
      </w:r>
      <w:r>
        <w:rPr>
          <w:rFonts w:ascii="Cambria" w:hAnsi="Cambria" w:cs="Cambria" w:eastAsia="Cambria"/>
          <w:b/>
          <w:color w:val="2D2D2D"/>
          <w:sz w:val="21"/>
        </w:rPr>
        <w:t>sole purpose of transitioning off</w:t>
      </w:r>
      <w:r>
        <w:rPr>
          <w:rFonts w:ascii="Cambria" w:hAnsi="Cambria" w:cs="Cambria" w:eastAsia="Cambria"/>
          <w:b w:val="0"/>
          <w:i w:val="0"/>
          <w:color w:val="2D2D2D"/>
          <w:sz w:val="21"/>
        </w:rPr>
        <w:t xml:space="preserve"> PredictIQ.</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Eliminate the wind-down license on KBI's convenience termination</w:t>
      </w:r>
      <w:r>
        <w:rPr>
          <w:rFonts w:ascii="Cambria" w:hAnsi="Cambria" w:cs="Cambria" w:eastAsia="Cambria"/>
          <w:b w:val="0"/>
          <w:i w:val="0"/>
          <w:color w:val="2D2D2D"/>
          <w:sz w:val="21"/>
        </w:rPr>
        <w:t xml:space="preserve"> — KBI should not obtain perpetual use after walking away.</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Add a </w:t>
      </w:r>
      <w:r>
        <w:rPr>
          <w:rFonts w:ascii="Cambria" w:hAnsi="Cambria" w:cs="Cambria" w:eastAsia="Cambria"/>
          <w:b/>
          <w:color w:val="2D2D2D"/>
          <w:sz w:val="21"/>
        </w:rPr>
        <w:t>mutual termination-for-convenience right</w:t>
      </w:r>
      <w:r>
        <w:rPr>
          <w:rFonts w:ascii="Cambria" w:hAnsi="Cambria" w:cs="Cambria" w:eastAsia="Cambria"/>
          <w:b w:val="0"/>
          <w:i w:val="0"/>
          <w:color w:val="2D2D2D"/>
          <w:sz w:val="21"/>
        </w:rPr>
        <w:t xml:space="preserve"> (or at least a Whitmore exit right after a defined term on notice), and confirm that wind-down does not include new features, updates, or source code.</w:t>
      </w:r>
    </w:p>
    <w:p>
      <w:pPr>
        <w:keepNext/>
        <w:spacing w:before="180" w:after="60" w:line="240" w:lineRule="auto"/>
      </w:pPr>
      <w:r>
        <w:rPr>
          <w:rFonts w:ascii="Cambria" w:hAnsi="Cambria" w:cs="Cambria" w:eastAsia="Cambria"/>
          <w:b/>
          <w:color w:val="15284E"/>
          <w:sz w:val="22"/>
        </w:rPr>
        <w:t>7.9  Implementation cash flow (§§5, 6)</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Restructure the license fee to 40/30/30</w:t>
      </w:r>
      <w:r>
        <w:rPr>
          <w:rFonts w:ascii="Cambria" w:hAnsi="Cambria" w:cs="Cambria" w:eastAsia="Cambria"/>
          <w:b w:val="0"/>
          <w:i w:val="0"/>
          <w:color w:val="2D2D2D"/>
          <w:sz w:val="21"/>
        </w:rPr>
        <w:t xml:space="preserve"> (signing $1.68M / Phase 1 completion $1.26M / Phase 2 go-live $1.26M) to front-load cash and better match Whitmore's cost profile.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Front-load implementation fees</w:t>
      </w:r>
      <w:r>
        <w:rPr>
          <w:rFonts w:ascii="Cambria" w:hAnsi="Cambria" w:cs="Cambria" w:eastAsia="Cambria"/>
          <w:b w:val="0"/>
          <w:i w:val="0"/>
          <w:color w:val="2D2D2D"/>
          <w:sz w:val="21"/>
        </w:rPr>
        <w:t xml:space="preserve"> (e.g., 40% in the first 6 months) or move to milestone-based payments.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Consider a </w:t>
      </w:r>
      <w:r>
        <w:rPr>
          <w:rFonts w:ascii="Cambria" w:hAnsi="Cambria" w:cs="Cambria" w:eastAsia="Cambria"/>
          <w:b/>
          <w:color w:val="2D2D2D"/>
          <w:sz w:val="21"/>
        </w:rPr>
        <w:t>separate implementation Statement of Work</w:t>
      </w:r>
      <w:r>
        <w:rPr>
          <w:rFonts w:ascii="Cambria" w:hAnsi="Cambria" w:cs="Cambria" w:eastAsia="Cambria"/>
          <w:b w:val="0"/>
          <w:i w:val="0"/>
          <w:color w:val="2D2D2D"/>
          <w:sz w:val="21"/>
        </w:rPr>
        <w:t xml:space="preserve"> with its own milestone-based payment schedule (per the General Counsel's suggestion) — this better matches cash to resource expenditure and yields cleaner ASC 606 treatment.</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Flag ASC 606 revenue-recognition questions</w:t>
      </w:r>
      <w:r>
        <w:rPr>
          <w:rFonts w:ascii="Cambria" w:hAnsi="Cambria" w:cs="Cambria" w:eastAsia="Cambria"/>
          <w:b w:val="0"/>
          <w:i w:val="0"/>
          <w:color w:val="2D2D2D"/>
          <w:sz w:val="21"/>
        </w:rPr>
        <w:t xml:space="preserve"> to Lakeshore Accounting Group LLP early, and add milestone-based acceptance gates to align payment with delivery.</w:t>
      </w:r>
    </w:p>
    <w:p>
      <w:pPr>
        <w:keepNext/>
        <w:spacing w:before="180" w:after="60" w:line="240" w:lineRule="auto"/>
      </w:pPr>
      <w:r>
        <w:rPr>
          <w:rFonts w:ascii="Cambria" w:hAnsi="Cambria" w:cs="Cambria" w:eastAsia="Cambria"/>
          <w:b/>
          <w:color w:val="15284E"/>
          <w:sz w:val="22"/>
        </w:rPr>
        <w:t>7.10  Governing law and dispute resolution (§14)</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Push for Washington State law</w:t>
      </w:r>
      <w:r>
        <w:rPr>
          <w:rFonts w:ascii="Cambria" w:hAnsi="Cambria" w:cs="Cambria" w:eastAsia="Cambria"/>
          <w:b w:val="0"/>
          <w:i w:val="0"/>
          <w:color w:val="2D2D2D"/>
          <w:sz w:val="21"/>
        </w:rPr>
        <w:t xml:space="preserve"> (Whitmore's domicile; predictable for Whitmore) or a </w:t>
      </w:r>
      <w:r>
        <w:rPr>
          <w:rFonts w:ascii="Cambria" w:hAnsi="Cambria" w:cs="Cambria" w:eastAsia="Cambria"/>
          <w:b/>
          <w:color w:val="2D2D2D"/>
          <w:sz w:val="21"/>
        </w:rPr>
        <w:t>neutral jurisdiction</w:t>
      </w:r>
      <w:r>
        <w:rPr>
          <w:rFonts w:ascii="Cambria" w:hAnsi="Cambria" w:cs="Cambria" w:eastAsia="Cambria"/>
          <w:b w:val="0"/>
          <w:i w:val="0"/>
          <w:color w:val="2D2D2D"/>
          <w:sz w:val="21"/>
        </w:rPr>
        <w:t xml:space="preserve"> (England &amp; Wales, or Switzerland) as a fallback.</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If German law is retained, </w:t>
      </w:r>
      <w:r>
        <w:rPr>
          <w:rFonts w:ascii="Cambria" w:hAnsi="Cambria" w:cs="Cambria" w:eastAsia="Cambria"/>
          <w:b/>
          <w:color w:val="2D2D2D"/>
          <w:sz w:val="21"/>
        </w:rPr>
        <w:t>obtain German-law specialist advice</w:t>
      </w:r>
      <w:r>
        <w:rPr>
          <w:rFonts w:ascii="Cambria" w:hAnsi="Cambria" w:cs="Cambria" w:eastAsia="Cambria"/>
          <w:b w:val="0"/>
          <w:i w:val="0"/>
          <w:color w:val="2D2D2D"/>
          <w:sz w:val="21"/>
        </w:rPr>
        <w:t xml:space="preserve"> on: enforceability of liability caps (§§309, 444 BGB); penalty clauses (Vertragsstrafe) and the performance credits; the uncapped indemnity; and mandatory statutory protections.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Retain ICC arbitration in Zurich (relatively neutral) but consider the seat/language; note that German law does not recognize punitive damages, so the performance credits should be carefully framed as liquidated damages/Vertragsstrafe.</w:t>
      </w:r>
    </w:p>
    <w:p>
      <w:pPr>
        <w:keepNext/>
        <w:spacing w:before="180" w:after="60" w:line="240" w:lineRule="auto"/>
      </w:pPr>
      <w:r>
        <w:rPr>
          <w:rFonts w:ascii="Cambria" w:hAnsi="Cambria" w:cs="Cambria" w:eastAsia="Cambria"/>
          <w:b/>
          <w:color w:val="15284E"/>
          <w:sz w:val="22"/>
        </w:rPr>
        <w:t>7.11  Assignment (§16.6)</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Make assignment </w:t>
      </w:r>
      <w:r>
        <w:rPr>
          <w:rFonts w:ascii="Cambria" w:hAnsi="Cambria" w:cs="Cambria" w:eastAsia="Cambria"/>
          <w:b/>
          <w:color w:val="2D2D2D"/>
          <w:sz w:val="21"/>
        </w:rPr>
        <w:t>mutual</w:t>
      </w:r>
      <w:r>
        <w:rPr>
          <w:rFonts w:ascii="Cambria" w:hAnsi="Cambria" w:cs="Cambria" w:eastAsia="Cambria"/>
          <w:b w:val="0"/>
          <w:i w:val="0"/>
          <w:color w:val="2D2D2D"/>
          <w:sz w:val="21"/>
        </w:rPr>
        <w:t xml:space="preserve"> (consent required for both parties) or add reciprocal affiliate/M&amp;A rights.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Add a </w:t>
      </w:r>
      <w:r>
        <w:rPr>
          <w:rFonts w:ascii="Cambria" w:hAnsi="Cambria" w:cs="Cambria" w:eastAsia="Cambria"/>
          <w:b/>
          <w:color w:val="2D2D2D"/>
          <w:sz w:val="21"/>
        </w:rPr>
        <w:t>change-of-control carve-out</w:t>
      </w:r>
      <w:r>
        <w:rPr>
          <w:rFonts w:ascii="Cambria" w:hAnsi="Cambria" w:cs="Cambria" w:eastAsia="Cambria"/>
          <w:b w:val="0"/>
          <w:i w:val="0"/>
          <w:color w:val="2D2D2D"/>
          <w:sz w:val="21"/>
        </w:rPr>
        <w:t>: if KBI is acquired by or acquires a Direct Competitor, Whitmore may terminate and/or the exclusivity ceases; address change-of-control implications for the MFC and exclusivity.</w:t>
      </w:r>
    </w:p>
    <w:p>
      <w:pPr>
        <w:keepNext/>
        <w:spacing w:before="180" w:after="60" w:line="240" w:lineRule="auto"/>
      </w:pPr>
      <w:r>
        <w:rPr>
          <w:rFonts w:ascii="Cambria" w:hAnsi="Cambria" w:cs="Cambria" w:eastAsia="Cambria"/>
          <w:b/>
          <w:color w:val="15284E"/>
          <w:sz w:val="22"/>
        </w:rPr>
        <w:t>7.12  GDPR and EU-to-US data transfer (§4.5)</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Add a </w:t>
      </w:r>
      <w:r>
        <w:rPr>
          <w:rFonts w:ascii="Cambria" w:hAnsi="Cambria" w:cs="Cambria" w:eastAsia="Cambria"/>
          <w:b/>
          <w:color w:val="2D2D2D"/>
          <w:sz w:val="21"/>
        </w:rPr>
        <w:t>data processing agreement (DPA)</w:t>
      </w:r>
      <w:r>
        <w:rPr>
          <w:rFonts w:ascii="Cambria" w:hAnsi="Cambria" w:cs="Cambria" w:eastAsia="Cambria"/>
          <w:b w:val="0"/>
          <w:i w:val="0"/>
          <w:color w:val="2D2D2D"/>
          <w:sz w:val="21"/>
        </w:rPr>
        <w:t xml:space="preserve"> and </w:t>
      </w:r>
      <w:r>
        <w:rPr>
          <w:rFonts w:ascii="Cambria" w:hAnsi="Cambria" w:cs="Cambria" w:eastAsia="Cambria"/>
          <w:b/>
          <w:color w:val="2D2D2D"/>
          <w:sz w:val="21"/>
        </w:rPr>
        <w:t>Standard Contractual Clauses (SCCs)</w:t>
      </w:r>
      <w:r>
        <w:rPr>
          <w:rFonts w:ascii="Cambria" w:hAnsi="Cambria" w:cs="Cambria" w:eastAsia="Cambria"/>
          <w:b w:val="0"/>
          <w:i w:val="0"/>
          <w:color w:val="2D2D2D"/>
          <w:sz w:val="21"/>
        </w:rPr>
        <w:t xml:space="preserve"> for EU-to-US transfers, and conduct a </w:t>
      </w:r>
      <w:r>
        <w:rPr>
          <w:rFonts w:ascii="Cambria" w:hAnsi="Cambria" w:cs="Cambria" w:eastAsia="Cambria"/>
          <w:b/>
          <w:color w:val="2D2D2D"/>
          <w:sz w:val="21"/>
        </w:rPr>
        <w:t>transfer impact assessment</w:t>
      </w:r>
      <w:r>
        <w:rPr>
          <w:rFonts w:ascii="Cambria" w:hAnsi="Cambria" w:cs="Cambria" w:eastAsia="Cambria"/>
          <w:b w:val="0"/>
          <w:i w:val="0"/>
          <w:color w:val="2D2D2D"/>
          <w:sz w:val="21"/>
        </w:rPr>
        <w:t xml:space="preserve"> (Schrems II).</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Clarify controller/processor roles, data-subject rights, breach-notification timelines, and sub-processor terms, and address German federal/state data-protection-law (BDSG) specifics.</w:t>
      </w:r>
    </w:p>
    <w:p>
      <w:pPr>
        <w:keepNext/>
        <w:spacing w:before="280" w:after="100" w:line="240" w:lineRule="auto"/>
        <w:pBdr>
          <w:bottom w:val="single" w:sz="6" w:space="3" w:color="1F3864"/>
        </w:pBdr>
      </w:pPr>
      <w:r>
        <w:rPr>
          <w:rFonts w:ascii="Cambria" w:hAnsi="Cambria" w:cs="Cambria" w:eastAsia="Cambria"/>
          <w:b/>
          <w:color w:val="1F3864"/>
          <w:sz w:val="26"/>
        </w:rPr>
        <w:t xml:space="preserve">8.  </w:t>
      </w:r>
      <w:r>
        <w:rPr>
          <w:rFonts w:ascii="Cambria" w:hAnsi="Cambria" w:cs="Cambria" w:eastAsia="Cambria"/>
          <w:b/>
          <w:color w:val="1F3864"/>
          <w:sz w:val="26"/>
        </w:rPr>
        <w:t>Recommended Negotiation Posture and Red Lines</w:t>
      </w:r>
    </w:p>
    <w:p>
      <w:pPr>
        <w:spacing w:before="0" w:after="120" w:line="269" w:lineRule="auto"/>
      </w:pPr>
      <w:r>
        <w:rPr>
          <w:rFonts w:ascii="Cambria" w:hAnsi="Cambria" w:cs="Cambria" w:eastAsia="Cambria"/>
          <w:b w:val="0"/>
          <w:i w:val="0"/>
          <w:color w:val="2D2D2D"/>
          <w:sz w:val="21"/>
        </w:rPr>
        <w:t>Consistent with the CEO's stated framing, Whitmore should pursue the deal aggressively but not at the cost of its core IP or business model. We recommend the Board approve the following posture:</w:t>
      </w:r>
    </w:p>
    <w:p>
      <w:pPr>
        <w:keepNext/>
        <w:spacing w:before="180" w:after="60" w:line="240" w:lineRule="auto"/>
      </w:pPr>
      <w:r>
        <w:rPr>
          <w:rFonts w:ascii="Cambria" w:hAnsi="Cambria" w:cs="Cambria" w:eastAsia="Cambria"/>
          <w:b/>
          <w:color w:val="15284E"/>
          <w:sz w:val="22"/>
        </w:rPr>
        <w:t>8.1  Absolute red lines (do not concede)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Whitmore's right to use </w:t>
      </w:r>
      <w:r>
        <w:rPr>
          <w:rFonts w:ascii="Cambria" w:hAnsi="Cambria" w:cs="Cambria" w:eastAsia="Cambria"/>
          <w:b/>
          <w:color w:val="2D2D2D"/>
          <w:sz w:val="21"/>
        </w:rPr>
        <w:t>anonymized and aggregated KBI data</w:t>
      </w:r>
      <w:r>
        <w:rPr>
          <w:rFonts w:ascii="Cambria" w:hAnsi="Cambria" w:cs="Cambria" w:eastAsia="Cambria"/>
          <w:b w:val="0"/>
          <w:i w:val="0"/>
          <w:color w:val="2D2D2D"/>
          <w:sz w:val="21"/>
        </w:rPr>
        <w:t xml:space="preserve"> to train and improve its general ML models (R-02).</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"Output Data" must </w:t>
      </w:r>
      <w:r>
        <w:rPr>
          <w:rFonts w:ascii="Cambria" w:hAnsi="Cambria" w:cs="Cambria" w:eastAsia="Cambria"/>
          <w:b/>
          <w:color w:val="2D2D2D"/>
          <w:sz w:val="21"/>
        </w:rPr>
        <w:t>not</w:t>
      </w:r>
      <w:r>
        <w:rPr>
          <w:rFonts w:ascii="Cambria" w:hAnsi="Cambria" w:cs="Cambria" w:eastAsia="Cambria"/>
          <w:b w:val="0"/>
          <w:i w:val="0"/>
          <w:color w:val="2D2D2D"/>
          <w:sz w:val="21"/>
        </w:rPr>
        <w:t xml:space="preserve"> include model weights, parameters, or training artifacts (R-02).</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The </w:t>
      </w:r>
      <w:r>
        <w:rPr>
          <w:rFonts w:ascii="Cambria" w:hAnsi="Cambria" w:cs="Cambria" w:eastAsia="Cambria"/>
          <w:b/>
          <w:color w:val="2D2D2D"/>
          <w:sz w:val="21"/>
        </w:rPr>
        <w:t>open-ended 30% exclusivity definition must be removed</w:t>
      </w:r>
      <w:r>
        <w:rPr>
          <w:rFonts w:ascii="Cambria" w:hAnsi="Cambria" w:cs="Cambria" w:eastAsia="Cambria"/>
          <w:b w:val="0"/>
          <w:i w:val="0"/>
          <w:color w:val="2D2D2D"/>
          <w:sz w:val="21"/>
        </w:rPr>
        <w:t xml:space="preserve"> (R-01).</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The </w:t>
      </w:r>
      <w:r>
        <w:rPr>
          <w:rFonts w:ascii="Cambria" w:hAnsi="Cambria" w:cs="Cambria" w:eastAsia="Cambria"/>
          <w:b/>
          <w:color w:val="2D2D2D"/>
          <w:sz w:val="21"/>
        </w:rPr>
        <w:t>MFC Side Letter as drafted</w:t>
      </w:r>
      <w:r>
        <w:rPr>
          <w:rFonts w:ascii="Cambria" w:hAnsi="Cambria" w:cs="Cambria" w:eastAsia="Cambria"/>
          <w:b w:val="0"/>
          <w:i w:val="0"/>
          <w:color w:val="2D2D2D"/>
          <w:sz w:val="21"/>
        </w:rPr>
        <w:t xml:space="preserve"> (no carve-outs, no sunset, retroactive) is unacceptable; require the guardrails in §7.3 (R-03).</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Uncapped IP indemnification</w:t>
      </w:r>
      <w:r>
        <w:rPr>
          <w:rFonts w:ascii="Cambria" w:hAnsi="Cambria" w:cs="Cambria" w:eastAsia="Cambria"/>
          <w:b w:val="0"/>
          <w:i w:val="0"/>
          <w:color w:val="2D2D2D"/>
          <w:sz w:val="21"/>
        </w:rPr>
        <w:t xml:space="preserve"> is unacceptable; require a cap and standard exclusions (R-04).</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 xml:space="preserve">The </w:t>
      </w:r>
      <w:r>
        <w:rPr>
          <w:rFonts w:ascii="Cambria" w:hAnsi="Cambria" w:cs="Cambria" w:eastAsia="Cambria"/>
          <w:b/>
          <w:color w:val="2D2D2D"/>
          <w:sz w:val="21"/>
        </w:rPr>
        <w:t>perpetual wind-down license</w:t>
      </w:r>
      <w:r>
        <w:rPr>
          <w:rFonts w:ascii="Cambria" w:hAnsi="Cambria" w:cs="Cambria" w:eastAsia="Cambria"/>
          <w:b w:val="0"/>
          <w:i w:val="0"/>
          <w:color w:val="2D2D2D"/>
          <w:sz w:val="21"/>
        </w:rPr>
        <w:t xml:space="preserve"> must be converted to a time-limited transition license (R-09).</w:t>
      </w:r>
    </w:p>
    <w:p>
      <w:pPr>
        <w:keepNext/>
        <w:spacing w:before="180" w:after="60" w:line="240" w:lineRule="auto"/>
      </w:pPr>
      <w:r>
        <w:rPr>
          <w:rFonts w:ascii="Cambria" w:hAnsi="Cambria" w:cs="Cambria" w:eastAsia="Cambria"/>
          <w:b/>
          <w:color w:val="15284E"/>
          <w:sz w:val="22"/>
        </w:rPr>
        <w:t>8.2  High-priority negotiable items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Exclusivity: a narrow, named, time-limited (18-month) restriction may be acceptable (R-01).</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Performance warranty: recalibrate threshold, measurement, credits, and termination trigger (R-05).</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Source code escrow: tighten triggers and limit the post-release license (R-08).</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Payment restructuring: 40/30/30 license split and front-loaded/separate-SOW implementation fees (R-10).</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Governing law: Washington State or neutral jurisdiction; German-law specialist review if retained (R-11).</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Derivative-works/feedback/improvements: replace joint ownership and harmonize §§3.3–3.5 (R-06, R-07).</w:t>
      </w:r>
    </w:p>
    <w:p>
      <w:pPr>
        <w:keepNext/>
        <w:spacing w:before="180" w:after="60" w:line="240" w:lineRule="auto"/>
      </w:pPr>
      <w:r>
        <w:rPr>
          <w:rFonts w:ascii="Cambria" w:hAnsi="Cambria" w:cs="Cambria" w:eastAsia="Cambria"/>
          <w:b/>
          <w:color w:val="15284E"/>
          <w:sz w:val="22"/>
        </w:rPr>
        <w:t>8.3  Leverage points to emphasize</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KBI needs Whitmore's technology and the anchor-customer/reference relationship as much as Whitmore needs KBI's footprint; the MFC and exclusivity are negotiation points, not ultimatums.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Whitmore's standard terms (anonymized data use, capped indemnity, time-limited wind-down) are industry-standard; KBI's positions are outliers.</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val="0"/>
          <w:i w:val="0"/>
          <w:color w:val="2D2D2D"/>
          <w:sz w:val="21"/>
        </w:rPr>
        <w:t>The deal's strategic value to KBI (40% downtime reduction across 43 facilities) and to Whitmore (flagship European reference, Series C catalyst) supports a collaborative but firm negotiation.</w:t>
      </w:r>
    </w:p>
    <w:p>
      <w:pPr>
        <w:keepNext/>
        <w:spacing w:before="280" w:after="100" w:line="240" w:lineRule="auto"/>
        <w:pBdr>
          <w:bottom w:val="single" w:sz="6" w:space="3" w:color="1F3864"/>
        </w:pBdr>
      </w:pPr>
      <w:r>
        <w:rPr>
          <w:rFonts w:ascii="Cambria" w:hAnsi="Cambria" w:cs="Cambria" w:eastAsia="Cambria"/>
          <w:b/>
          <w:color w:val="1F3864"/>
          <w:sz w:val="26"/>
        </w:rPr>
        <w:t xml:space="preserve">9.  </w:t>
      </w:r>
      <w:r>
        <w:rPr>
          <w:rFonts w:ascii="Cambria" w:hAnsi="Cambria" w:cs="Cambria" w:eastAsia="Cambria"/>
          <w:b/>
          <w:color w:val="1F3864"/>
          <w:sz w:val="26"/>
        </w:rPr>
        <w:t>Process and Timeline</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1944"/>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Date</w:t>
            </w:r>
          </w:p>
        </w:tc>
        <w:tc>
          <w:tcPr>
            <w:tcW w:type="dxa" w:w="5832"/>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Milestone / Action</w:t>
            </w:r>
          </w:p>
        </w:tc>
        <w:tc>
          <w:tcPr>
            <w:tcW w:type="dxa" w:w="2016"/>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Owner</w:t>
            </w:r>
          </w:p>
        </w:tc>
      </w:tr>
      <w:tr>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16, 2025</w:t>
            </w:r>
          </w:p>
        </w:tc>
        <w:tc>
          <w:tcPr>
            <w:tcW w:type="dxa" w:w="583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This board-ready memo delivered to Whitmore</w:t>
            </w:r>
          </w:p>
        </w:tc>
        <w:tc>
          <w:tcPr>
            <w:tcW w:type="dxa" w:w="2016"/>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Ferndale Hale &amp; Seward LLP</w:t>
            </w:r>
          </w:p>
        </w:tc>
      </w:tr>
      <w:tr>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18, 2025</w:t>
            </w:r>
          </w:p>
        </w:tc>
        <w:tc>
          <w:tcPr>
            <w:tcW w:type="dxa" w:w="5832"/>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Board meeting: approve negotiation framework and red lines</w:t>
            </w:r>
          </w:p>
        </w:tc>
        <w:tc>
          <w:tcPr>
            <w:tcW w:type="dxa" w:w="2016"/>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Board / Rajesh Malhotra</w:t>
            </w:r>
          </w:p>
        </w:tc>
      </w:tr>
      <w:tr>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18, 2025</w:t>
            </w:r>
          </w:p>
        </w:tc>
        <w:tc>
          <w:tcPr>
            <w:tcW w:type="dxa" w:w="583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Engage German-law and EU competition-law specialists</w:t>
            </w:r>
          </w:p>
        </w:tc>
        <w:tc>
          <w:tcPr>
            <w:tcW w:type="dxa" w:w="2016"/>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Sarah Yin</w:t>
            </w:r>
          </w:p>
        </w:tc>
      </w:tr>
      <w:tr>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18–22, 2025</w:t>
            </w:r>
          </w:p>
        </w:tc>
        <w:tc>
          <w:tcPr>
            <w:tcW w:type="dxa" w:w="5832"/>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Finalize counter-proposal and redline Term Sheet/Side Letter</w:t>
            </w:r>
          </w:p>
        </w:tc>
        <w:tc>
          <w:tcPr>
            <w:tcW w:type="dxa" w:w="2016"/>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Sarah Yin / Ferndale Hale</w:t>
            </w:r>
          </w:p>
        </w:tc>
      </w:tr>
      <w:tr>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23, 2025</w:t>
            </w:r>
          </w:p>
        </w:tc>
        <w:tc>
          <w:tcPr>
            <w:tcW w:type="dxa" w:w="583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Respond to KBI (Term Sheet and Side Letter response deadline)</w:t>
            </w:r>
          </w:p>
        </w:tc>
        <w:tc>
          <w:tcPr>
            <w:tcW w:type="dxa" w:w="2016"/>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Whitmore</w:t>
            </w:r>
          </w:p>
        </w:tc>
      </w:tr>
      <w:tr>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June 23 – Aug 15, 2025</w:t>
            </w:r>
          </w:p>
        </w:tc>
        <w:tc>
          <w:tcPr>
            <w:tcW w:type="dxa" w:w="5832"/>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Negotiate definitive agreement; target execution August 15, 2025</w:t>
            </w:r>
          </w:p>
        </w:tc>
        <w:tc>
          <w:tcPr>
            <w:tcW w:type="dxa" w:w="2016"/>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Both parties</w:t>
            </w:r>
          </w:p>
        </w:tc>
      </w:tr>
      <w:tr>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Sept 15, 2025</w:t>
            </w:r>
          </w:p>
        </w:tc>
        <w:tc>
          <w:tcPr>
            <w:tcW w:type="dxa" w:w="5832"/>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Phase 1 implementation start (10 pilot facilities)</w:t>
            </w:r>
          </w:p>
        </w:tc>
        <w:tc>
          <w:tcPr>
            <w:tcW w:type="dxa" w:w="2016"/>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9"/>
              </w:rPr>
              <w:t>Whitmore / KBI</w:t>
            </w:r>
          </w:p>
        </w:tc>
      </w:tr>
    </w:tbl>
    <w:p>
      <w:pPr>
        <w:spacing w:before="0" w:after="40" w:line="269" w:lineRule="auto"/>
      </w:pP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Immediate actions before responding to KBI:</w:t>
      </w:r>
      <w:r>
        <w:rPr>
          <w:rFonts w:ascii="Cambria" w:hAnsi="Cambria" w:cs="Cambria" w:eastAsia="Cambria"/>
          <w:b w:val="0"/>
          <w:i w:val="0"/>
          <w:color w:val="2D2D2D"/>
          <w:sz w:val="21"/>
        </w:rPr>
        <w:t xml:space="preserve"> (i) do not sign the Term Sheet's binding-provisions acknowledgment until the 60-day no-shop (§16.2) is assessed; (ii) commission German-law and EU competition-law opinions; (iii) model the revised payment structure and ASC 606 treatment with finance and auditors; (iv) prepare the European pipeline-impact summary for the board deck (per the VP, Sales).</w:t>
      </w:r>
    </w:p>
    <w:p>
      <w:r>
        <w:br w:type="page"/>
      </w:r>
    </w:p>
    <w:p>
      <w:pPr>
        <w:keepNext/>
        <w:spacing w:before="280" w:after="100" w:line="240" w:lineRule="auto"/>
        <w:pBdr>
          <w:bottom w:val="single" w:sz="6" w:space="3" w:color="1F3864"/>
        </w:pBdr>
      </w:pPr>
      <w:r>
        <w:rPr>
          <w:rFonts w:ascii="Cambria" w:hAnsi="Cambria" w:cs="Cambria" w:eastAsia="Cambria"/>
          <w:b/>
          <w:color w:val="1F3864"/>
          <w:sz w:val="26"/>
        </w:rPr>
        <w:t xml:space="preserve">A.  </w:t>
      </w:r>
      <w:r>
        <w:rPr>
          <w:rFonts w:ascii="Cambria" w:hAnsi="Cambria" w:cs="Cambria" w:eastAsia="Cambria"/>
          <w:b/>
          <w:color w:val="1F3864"/>
          <w:sz w:val="26"/>
        </w:rPr>
        <w:t>Appendix A — Key Terms at a Glance</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880"/>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Term</w:t>
            </w:r>
          </w:p>
        </w:tc>
        <w:tc>
          <w:tcPr>
            <w:tcW w:type="dxa" w:w="5328"/>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As drafted</w:t>
            </w:r>
          </w:p>
        </w:tc>
        <w:tc>
          <w:tcPr>
            <w:tcW w:type="dxa" w:w="1584"/>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9"/>
              </w:rPr>
              <w:t>Severity</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License grant (§2)</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Perpetual, non-exclusive, worldwide; SaaS + on-prem edge; 5-yr expansion right</w:t>
            </w:r>
          </w:p>
        </w:tc>
        <w:tc>
          <w:tcPr>
            <w:tcW w:type="dxa" w:w="158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8"/>
              </w:rPr>
              <w:t>Low</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Derivative works (§2, 3.3)</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Jointly owned; unrestricted exploitation by both parties</w:t>
            </w:r>
          </w:p>
        </w:tc>
        <w:tc>
          <w:tcPr>
            <w:tcW w:type="dxa" w:w="158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8"/>
              </w:rPr>
              <w:t>High</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Feedback (§3.4)</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Whitmore sole owner (favorable)</w:t>
            </w:r>
          </w:p>
        </w:tc>
        <w:tc>
          <w:tcPr>
            <w:tcW w:type="dxa" w:w="158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8"/>
              </w:rPr>
              <w:t>Low</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KBI-Inspired Improvements (§3.5)</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Perpetual, royalty-free license back to KBI</w:t>
            </w:r>
          </w:p>
        </w:tc>
        <w:tc>
          <w:tcPr>
            <w:tcW w:type="dxa" w:w="158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8"/>
              </w:rPr>
              <w:t>High</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KBI Data / Output Data (§4.1–4.2)</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KBI owns Output Data incl. model weights/parameters</w:t>
            </w:r>
          </w:p>
        </w:tc>
        <w:tc>
          <w:tcPr>
            <w:tcW w:type="dxa" w:w="158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8"/>
              </w:rPr>
              <w:t>Critical</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Training restriction (§4.3)</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No anonymized/aggregated use without KBI consent (sole discretion)</w:t>
            </w:r>
          </w:p>
        </w:tc>
        <w:tc>
          <w:tcPr>
            <w:tcW w:type="dxa" w:w="158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8"/>
              </w:rPr>
              <w:t>Critical</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Fees (§5)</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$4.2M license + $2.85M/yr SaaS + $1.75M impl. + $0.756M/yr maint.</w:t>
            </w:r>
          </w:p>
        </w:tc>
        <w:tc>
          <w:tcPr>
            <w:tcW w:type="dxa" w:w="158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8"/>
              </w:rPr>
              <w:t>Medium</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Payment timing (§5)</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30/40/30 license; linear implementation → cash shortfall</w:t>
            </w:r>
          </w:p>
        </w:tc>
        <w:tc>
          <w:tcPr>
            <w:tcW w:type="dxa" w:w="158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8"/>
              </w:rPr>
              <w:t>High</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Implementation (§6)</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43 facilities, 12 countries; 18 months; 30-day deemed UAT</w:t>
            </w:r>
          </w:p>
        </w:tc>
        <w:tc>
          <w:tcPr>
            <w:tcW w:type="dxa" w:w="158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8"/>
              </w:rPr>
              <w:t>Medium</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Maintenance SLAs (§7)</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"Commercially reasonable efforts" targets; no credits</w:t>
            </w:r>
          </w:p>
        </w:tc>
        <w:tc>
          <w:tcPr>
            <w:tcW w:type="dxa" w:w="158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8"/>
              </w:rPr>
              <w:t>Low</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Performance warranty (§8.2–8.3)</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92% accuracy; credits + termination at &lt;85%/2 qtrs</w:t>
            </w:r>
          </w:p>
        </w:tc>
        <w:tc>
          <w:tcPr>
            <w:tcW w:type="dxa" w:w="158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8"/>
              </w:rPr>
              <w:t>High</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IP indemnity (§9.1)</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Uncapped; carved out of cap and consequential exclusion</w:t>
            </w:r>
          </w:p>
        </w:tc>
        <w:tc>
          <w:tcPr>
            <w:tcW w:type="dxa" w:w="158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8"/>
              </w:rPr>
              <w:t>Critical</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Liability cap (§10)</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Greater of 2× trailing fees or $15M; declines to $15M steady-state</w:t>
            </w:r>
          </w:p>
        </w:tc>
        <w:tc>
          <w:tcPr>
            <w:tcW w:type="dxa" w:w="158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8"/>
              </w:rPr>
              <w:t>Medium</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Source code escrow (§11)</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Broad release triggers; perpetual royalty-free source license</w:t>
            </w:r>
          </w:p>
        </w:tc>
        <w:tc>
          <w:tcPr>
            <w:tcW w:type="dxa" w:w="158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8"/>
              </w:rPr>
              <w:t>High</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Exclusivity (§12)</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3-yr; 12 named + open-ended 30% test; survives termination; injunctive</w:t>
            </w:r>
          </w:p>
        </w:tc>
        <w:tc>
          <w:tcPr>
            <w:tcW w:type="dxa" w:w="158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8"/>
              </w:rPr>
              <w:t>Critical</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Wind-down license (§13.5)</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Perpetual, irrevocable; even on convenience termination</w:t>
            </w:r>
          </w:p>
        </w:tc>
        <w:tc>
          <w:tcPr>
            <w:tcW w:type="dxa" w:w="158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8"/>
              </w:rPr>
              <w:t>High</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Governing law (§14)</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German law; ICC arbitration, Zurich, 3 arbitrators</w:t>
            </w:r>
          </w:p>
        </w:tc>
        <w:tc>
          <w:tcPr>
            <w:tcW w:type="dxa" w:w="158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8"/>
              </w:rPr>
              <w:t>Medium</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Confidentiality (§15)</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Mutual; 5-yr survival</w:t>
            </w:r>
          </w:p>
        </w:tc>
        <w:tc>
          <w:tcPr>
            <w:tcW w:type="dxa" w:w="158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8"/>
              </w:rPr>
              <w:t>Low</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No-shop (§16.2)</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60-day exclusive negotiations (binding if Term Sheet signed)</w:t>
            </w:r>
          </w:p>
        </w:tc>
        <w:tc>
          <w:tcPr>
            <w:tcW w:type="dxa" w:w="158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8"/>
              </w:rPr>
              <w:t>Low</w:t>
            </w:r>
          </w:p>
        </w:tc>
      </w:tr>
      <w:tr>
        <w:tc>
          <w:tcPr>
            <w:tcW w:type="dxa" w:w="288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Assignment (§16.6)</w:t>
            </w:r>
          </w:p>
        </w:tc>
        <w:tc>
          <w:tcPr>
            <w:tcW w:type="dxa" w:w="53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KBI may assign to affiliate/in M&amp;A; Whitmore may not</w:t>
            </w:r>
          </w:p>
        </w:tc>
        <w:tc>
          <w:tcPr>
            <w:tcW w:type="dxa" w:w="158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8"/>
              </w:rPr>
              <w:t>Medium</w:t>
            </w:r>
          </w:p>
        </w:tc>
      </w:tr>
      <w:tr>
        <w:tc>
          <w:tcPr>
            <w:tcW w:type="dxa" w:w="288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MFC Side Letter</w:t>
            </w:r>
          </w:p>
        </w:tc>
        <w:tc>
          <w:tcPr>
            <w:tcW w:type="dxa" w:w="53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No carve-outs/sunset; retroactive; through wind-down; conditions deal</w:t>
            </w:r>
          </w:p>
        </w:tc>
        <w:tc>
          <w:tcPr>
            <w:tcW w:type="dxa" w:w="158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8"/>
              </w:rPr>
              <w:t>Critical</w:t>
            </w:r>
          </w:p>
        </w:tc>
      </w:tr>
    </w:tbl>
    <w:p>
      <w:pPr>
        <w:keepNext/>
        <w:spacing w:before="280" w:after="100" w:line="240" w:lineRule="auto"/>
        <w:pBdr>
          <w:bottom w:val="single" w:sz="6" w:space="3" w:color="1F3864"/>
        </w:pBdr>
      </w:pPr>
      <w:r>
        <w:rPr>
          <w:rFonts w:ascii="Cambria" w:hAnsi="Cambria" w:cs="Cambria" w:eastAsia="Cambria"/>
          <w:b/>
          <w:color w:val="1F3864"/>
          <w:sz w:val="26"/>
        </w:rPr>
        <w:t xml:space="preserve">B.  </w:t>
      </w:r>
      <w:r>
        <w:rPr>
          <w:rFonts w:ascii="Cambria" w:hAnsi="Cambria" w:cs="Cambria" w:eastAsia="Cambria"/>
          <w:b/>
          <w:color w:val="1F3864"/>
          <w:sz w:val="26"/>
        </w:rPr>
        <w:t>Appendix B — Five-Year Economics</w:t>
      </w:r>
    </w:p>
    <w:p>
      <w:pPr>
        <w:spacing w:before="0" w:after="80" w:line="269" w:lineRule="auto"/>
      </w:pPr>
      <w:r>
        <w:rPr>
          <w:rFonts w:ascii="Cambria" w:hAnsi="Cambria" w:cs="Cambria" w:eastAsia="Cambria"/>
          <w:b w:val="0"/>
          <w:i/>
          <w:color w:val="595959"/>
          <w:sz w:val="18"/>
        </w:rPr>
        <w:t>Implementation services are reflected in Year 1 for consistency with management's headline first-year figure; cash timing differs (see R-10). Figures in USD.</w:t>
      </w:r>
    </w:p>
    <w:tbl>
      <w:tblPr>
        <w:tblStyle w:val="TableGrid"/>
        <w:tblW w:type="auto" w:w="0"/>
        <w:jc w:val="center"/>
        <w:tblLayout w:type="fixed"/>
        <w:tblLook w:firstColumn="1" w:firstRow="1" w:lastColumn="0" w:lastRow="0" w:noHBand="0" w:noVBand="1" w:val="04A0"/>
        <w:tblLayout w:type="fixed"/>
      </w:tblPr>
      <w:tblGrid>
        <w:gridCol w:w="1608"/>
        <w:gridCol w:w="1608"/>
        <w:gridCol w:w="1608"/>
        <w:gridCol w:w="1608"/>
        <w:gridCol w:w="1608"/>
        <w:gridCol w:w="1608"/>
      </w:tblGrid>
      <w:tr>
        <w:tc>
          <w:tcPr>
            <w:tcW w:type="dxa" w:w="1296"/>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Year</w:t>
            </w:r>
          </w:p>
        </w:tc>
        <w:tc>
          <w:tcPr>
            <w:tcW w:type="dxa" w:w="1800"/>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License fee</w:t>
            </w:r>
          </w:p>
        </w:tc>
        <w:tc>
          <w:tcPr>
            <w:tcW w:type="dxa" w:w="1944"/>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SaaS subscription</w:t>
            </w:r>
          </w:p>
        </w:tc>
        <w:tc>
          <w:tcPr>
            <w:tcW w:type="dxa" w:w="1800"/>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Implementation</w:t>
            </w:r>
          </w:p>
        </w:tc>
        <w:tc>
          <w:tcPr>
            <w:tcW w:type="dxa" w:w="1728"/>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Maintenance</w:t>
            </w:r>
          </w:p>
        </w:tc>
        <w:tc>
          <w:tcPr>
            <w:tcW w:type="dxa" w:w="1800"/>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Annual total</w:t>
            </w:r>
          </w:p>
        </w:tc>
      </w:tr>
      <w:tr>
        <w:tc>
          <w:tcPr>
            <w:tcW w:type="dxa" w:w="1296"/>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Year 1</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$4,200,000</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$2,850,000</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$1,750,000</w:t>
            </w:r>
          </w:p>
        </w:tc>
        <w:tc>
          <w:tcPr>
            <w:tcW w:type="dxa" w:w="17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$756,000</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$9,556,000</w:t>
            </w:r>
          </w:p>
        </w:tc>
      </w:tr>
      <w:tr>
        <w:tc>
          <w:tcPr>
            <w:tcW w:type="dxa" w:w="1296"/>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Year 2</w:t>
            </w:r>
          </w:p>
        </w:tc>
        <w:tc>
          <w:tcPr>
            <w:tcW w:type="dxa" w:w="18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$2,850,000</w:t>
            </w:r>
          </w:p>
        </w:tc>
        <w:tc>
          <w:tcPr>
            <w:tcW w:type="dxa" w:w="18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t>
            </w:r>
          </w:p>
        </w:tc>
        <w:tc>
          <w:tcPr>
            <w:tcW w:type="dxa" w:w="17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$786,240</w:t>
            </w:r>
          </w:p>
        </w:tc>
        <w:tc>
          <w:tcPr>
            <w:tcW w:type="dxa" w:w="18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$3,636,240</w:t>
            </w:r>
          </w:p>
        </w:tc>
      </w:tr>
      <w:tr>
        <w:tc>
          <w:tcPr>
            <w:tcW w:type="dxa" w:w="1296"/>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Year 3</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$2,850,000</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t>
            </w:r>
          </w:p>
        </w:tc>
        <w:tc>
          <w:tcPr>
            <w:tcW w:type="dxa" w:w="17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$817,690</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$3,667,690</w:t>
            </w:r>
          </w:p>
        </w:tc>
      </w:tr>
      <w:tr>
        <w:tc>
          <w:tcPr>
            <w:tcW w:type="dxa" w:w="1296"/>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Year 4</w:t>
            </w:r>
          </w:p>
        </w:tc>
        <w:tc>
          <w:tcPr>
            <w:tcW w:type="dxa" w:w="18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$2,935,500</w:t>
            </w:r>
          </w:p>
        </w:tc>
        <w:tc>
          <w:tcPr>
            <w:tcW w:type="dxa" w:w="18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t>
            </w:r>
          </w:p>
        </w:tc>
        <w:tc>
          <w:tcPr>
            <w:tcW w:type="dxa" w:w="172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$850,397</w:t>
            </w:r>
          </w:p>
        </w:tc>
        <w:tc>
          <w:tcPr>
            <w:tcW w:type="dxa" w:w="180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$3,785,897</w:t>
            </w:r>
          </w:p>
        </w:tc>
      </w:tr>
      <w:tr>
        <w:tc>
          <w:tcPr>
            <w:tcW w:type="dxa" w:w="1296"/>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Year 5</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$3,023,565</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w:t>
            </w:r>
          </w:p>
        </w:tc>
        <w:tc>
          <w:tcPr>
            <w:tcW w:type="dxa" w:w="17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$884,413</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8"/>
              </w:rPr>
              <w:t>$3,907,978</w:t>
            </w:r>
          </w:p>
        </w:tc>
      </w:tr>
      <w:tr>
        <w:tc>
          <w:tcPr>
            <w:tcW w:type="dxa" w:w="1296"/>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8"/>
              </w:rPr>
              <w:t>5-year total</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8"/>
              </w:rPr>
              <w:t>$4,200,000</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8"/>
              </w:rPr>
              <w:t>$14,509,065</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8"/>
              </w:rPr>
              <w:t>$1,750,000</w:t>
            </w:r>
          </w:p>
        </w:tc>
        <w:tc>
          <w:tcPr>
            <w:tcW w:type="dxa" w:w="172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8"/>
              </w:rPr>
              <w:t>$4,094,740</w:t>
            </w:r>
          </w:p>
        </w:tc>
        <w:tc>
          <w:tcPr>
            <w:tcW w:type="dxa" w:w="180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1F3864"/>
                <w:sz w:val="18"/>
              </w:rPr>
              <w:t>$24,553,805</w:t>
            </w:r>
          </w:p>
        </w:tc>
      </w:tr>
    </w:tbl>
    <w:p>
      <w:pPr>
        <w:spacing w:before="0" w:after="40" w:line="269" w:lineRule="auto"/>
      </w:pP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Recurring revenue (SaaS + maintenance), 5 years:</w:t>
      </w:r>
      <w:r>
        <w:rPr>
          <w:rFonts w:ascii="Cambria" w:hAnsi="Cambria" w:cs="Cambria" w:eastAsia="Cambria"/>
          <w:b w:val="0"/>
          <w:i w:val="0"/>
          <w:color w:val="2D2D2D"/>
          <w:sz w:val="21"/>
        </w:rPr>
        <w:t xml:space="preserve"> ~$18.6M.  </w:t>
      </w:r>
      <w:r>
        <w:rPr>
          <w:rFonts w:ascii="Cambria" w:hAnsi="Cambria" w:cs="Cambria" w:eastAsia="Cambria"/>
          <w:b/>
          <w:color w:val="2D2D2D"/>
          <w:sz w:val="21"/>
        </w:rPr>
        <w:t>One-time fees (license + implementation):</w:t>
      </w:r>
      <w:r>
        <w:rPr>
          <w:rFonts w:ascii="Cambria" w:hAnsi="Cambria" w:cs="Cambria" w:eastAsia="Cambria"/>
          <w:b w:val="0"/>
          <w:i w:val="0"/>
          <w:color w:val="2D2D2D"/>
          <w:sz w:val="21"/>
        </w:rPr>
        <w:t xml:space="preserve"> $5.95M.</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First-year revenue:</w:t>
      </w:r>
      <w:r>
        <w:rPr>
          <w:rFonts w:ascii="Cambria" w:hAnsi="Cambria" w:cs="Cambria" w:eastAsia="Cambria"/>
          <w:b w:val="0"/>
          <w:i w:val="0"/>
          <w:color w:val="2D2D2D"/>
          <w:sz w:val="21"/>
        </w:rPr>
        <w:t xml:space="preserve"> ~$9.56M (≈20% of FY 2024 revenue of $47.3M).</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Per-facility (Year 1, incl. one-time):</w:t>
      </w:r>
      <w:r>
        <w:rPr>
          <w:rFonts w:ascii="Cambria" w:hAnsi="Cambria" w:cs="Cambria" w:eastAsia="Cambria"/>
          <w:b w:val="0"/>
          <w:i w:val="0"/>
          <w:color w:val="2D2D2D"/>
          <w:sz w:val="21"/>
        </w:rPr>
        <w:t xml:space="preserve"> ~$222,232.  </w:t>
      </w:r>
      <w:r>
        <w:rPr>
          <w:rFonts w:ascii="Cambria" w:hAnsi="Cambria" w:cs="Cambria" w:eastAsia="Cambria"/>
          <w:b/>
          <w:color w:val="2D2D2D"/>
          <w:sz w:val="21"/>
        </w:rPr>
        <w:t>Per-facility recurring (Year 3 run-rate):</w:t>
      </w:r>
      <w:r>
        <w:rPr>
          <w:rFonts w:ascii="Cambria" w:hAnsi="Cambria" w:cs="Cambria" w:eastAsia="Cambria"/>
          <w:b w:val="0"/>
          <w:i w:val="0"/>
          <w:color w:val="2D2D2D"/>
          <w:sz w:val="21"/>
        </w:rPr>
        <w:t xml:space="preserve"> ~$85,295/yr.</w:t>
      </w:r>
    </w:p>
    <w:p>
      <w:pPr>
        <w:spacing w:before="0" w:after="60" w:line="264" w:lineRule="auto"/>
        <w:ind w:left="461" w:hanging="259"/>
      </w:pPr>
      <w:r>
        <w:rPr>
          <w:rFonts w:ascii="Cambria" w:hAnsi="Cambria" w:cs="Cambria" w:eastAsia="Cambria"/>
          <w:b/>
          <w:color w:val="15284E"/>
          <w:sz w:val="21"/>
        </w:rPr>
        <w:t xml:space="preserve">•  </w:t>
      </w:r>
      <w:r>
        <w:rPr>
          <w:rFonts w:ascii="Cambria" w:hAnsi="Cambria" w:cs="Cambria" w:eastAsia="Cambria"/>
          <w:b/>
          <w:color w:val="2D2D2D"/>
          <w:sz w:val="21"/>
        </w:rPr>
        <w:t>Steady-state liability cap (§10.1):</w:t>
      </w:r>
      <w:r>
        <w:rPr>
          <w:rFonts w:ascii="Cambria" w:hAnsi="Cambria" w:cs="Cambria" w:eastAsia="Cambria"/>
          <w:b w:val="0"/>
          <w:i w:val="0"/>
          <w:color w:val="2D2D2D"/>
          <w:sz w:val="21"/>
        </w:rPr>
        <w:t xml:space="preserve"> trailing-12-month fees ≈ $3.67M → 2× = $7.3M &lt; $15M floor → cap effectively </w:t>
      </w:r>
      <w:r>
        <w:rPr>
          <w:rFonts w:ascii="Cambria" w:hAnsi="Cambria" w:cs="Cambria" w:eastAsia="Cambria"/>
          <w:b/>
          <w:color w:val="2D2D2D"/>
          <w:sz w:val="21"/>
        </w:rPr>
        <w:t>$15M</w:t>
      </w:r>
      <w:r>
        <w:rPr>
          <w:rFonts w:ascii="Cambria" w:hAnsi="Cambria" w:cs="Cambria" w:eastAsia="Cambria"/>
          <w:b w:val="0"/>
          <w:i w:val="0"/>
          <w:color w:val="2D2D2D"/>
          <w:sz w:val="21"/>
        </w:rPr>
        <w:t xml:space="preserve"> (uncapped IP indemnity sits on top).</w:t>
      </w:r>
    </w:p>
    <w:p>
      <w:pPr>
        <w:keepNext/>
        <w:spacing w:before="280" w:after="100" w:line="240" w:lineRule="auto"/>
        <w:pBdr>
          <w:bottom w:val="single" w:sz="6" w:space="3" w:color="1F3864"/>
        </w:pBdr>
      </w:pPr>
      <w:r>
        <w:rPr>
          <w:rFonts w:ascii="Cambria" w:hAnsi="Cambria" w:cs="Cambria" w:eastAsia="Cambria"/>
          <w:b/>
          <w:color w:val="1F3864"/>
          <w:sz w:val="26"/>
        </w:rPr>
        <w:t xml:space="preserve">C.  </w:t>
      </w:r>
      <w:r>
        <w:rPr>
          <w:rFonts w:ascii="Cambria" w:hAnsi="Cambria" w:cs="Cambria" w:eastAsia="Cambria"/>
          <w:b/>
          <w:color w:val="1F3864"/>
          <w:sz w:val="26"/>
        </w:rPr>
        <w:t>Appendix C — Risk Register</w:t>
      </w:r>
    </w:p>
    <w:tbl>
      <w:tblPr>
        <w:tblStyle w:val="TableGrid"/>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648"/>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ID</w:t>
            </w:r>
          </w:p>
        </w:tc>
        <w:tc>
          <w:tcPr>
            <w:tcW w:type="dxa" w:w="1944"/>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Provision</w:t>
            </w:r>
          </w:p>
        </w:tc>
        <w:tc>
          <w:tcPr>
            <w:tcW w:type="dxa" w:w="4824"/>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Issue (summary)</w:t>
            </w:r>
          </w:p>
        </w:tc>
        <w:tc>
          <w:tcPr>
            <w:tcW w:type="dxa" w:w="1224"/>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Severity</w:t>
            </w:r>
          </w:p>
        </w:tc>
        <w:tc>
          <w:tcPr>
            <w:tcW w:type="dxa" w:w="720"/>
            <w:shd w:val="clear" w:color="auto" w:fill="1F386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FFFFFF"/>
                <w:sz w:val="18"/>
              </w:rPr>
              <w:t>Rec.</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R-01</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§12 Exclusivity</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3-yr market lockout; open-ended 30% test; 25–30 cos + 3 prospects ($4–5M); monitoring burden; survives termination; injunctive; EU competition risk</w:t>
            </w:r>
          </w:p>
        </w:tc>
        <w:tc>
          <w:tcPr>
            <w:tcW w:type="dxa" w:w="122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7"/>
              </w:rPr>
              <w:t>Critical</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§7.1</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R-02</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§§4.2–4.3 Data/Output</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Blanket training prohibition + KBI ownership of model weights/parameters; threatens core IP and product improvement</w:t>
            </w:r>
          </w:p>
        </w:tc>
        <w:tc>
          <w:tcPr>
            <w:tcW w:type="dxa" w:w="122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7"/>
              </w:rPr>
              <w:t>Critical</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§7.2</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R-03</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MFC Side Letter</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No carve-outs/sunset; open-ended retroactivity; through wind-down; conditions deal; constrains pricing; competition risk</w:t>
            </w:r>
          </w:p>
        </w:tc>
        <w:tc>
          <w:tcPr>
            <w:tcW w:type="dxa" w:w="122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7"/>
              </w:rPr>
              <w:t>Critical</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§7.3</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R-04</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§9.1 IP indemnity</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Uncapped IP indemnity carved out of cap and consequential exclusion; ML/AI patent-landscape risk</w:t>
            </w:r>
          </w:p>
        </w:tc>
        <w:tc>
          <w:tcPr>
            <w:tcW w:type="dxa" w:w="1224"/>
            <w:shd w:val="clear" w:color="auto" w:fill="F4CC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9C0006"/>
                <w:sz w:val="17"/>
              </w:rPr>
              <w:t>Critical</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§7.4</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R-05</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§§8.2–8.3 Performance</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92% accuracy SLA w/ financial penalties + termination trigger; metric depends on KBI-controlled data/conditions</w:t>
            </w:r>
          </w:p>
        </w:tc>
        <w:tc>
          <w:tcPr>
            <w:tcW w:type="dxa" w:w="122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7"/>
              </w:rPr>
              <w:t>High</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§7.5</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R-06</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§§2, 3.3 Derivatives</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Joint ownership of API-layer derivatives w/ unrestricted KBI exploitation; IP leakage risk</w:t>
            </w:r>
          </w:p>
        </w:tc>
        <w:tc>
          <w:tcPr>
            <w:tcW w:type="dxa" w:w="122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7"/>
              </w:rPr>
              <w:t>High</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§7.6</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R-07</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§§3.4–3.5 Feedback</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Tension between feedback (Whitmore-owned) and KBI-Inspired Improvements (KBI-licensed) and joint ownership</w:t>
            </w:r>
          </w:p>
        </w:tc>
        <w:tc>
          <w:tcPr>
            <w:tcW w:type="dxa" w:w="122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7"/>
              </w:rPr>
              <w:t>High</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§7.6</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R-08</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§11 Escrow</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Broad release triggers + perpetual royalty-free source license to KBI; significant IP exposure</w:t>
            </w:r>
          </w:p>
        </w:tc>
        <w:tc>
          <w:tcPr>
            <w:tcW w:type="dxa" w:w="122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7"/>
              </w:rPr>
              <w:t>High</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§7.7</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R-09</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§13.5 Wind-down</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Perpetual, irrevocable wind-down license (even on convenience termination); undermines termination remedy</w:t>
            </w:r>
          </w:p>
        </w:tc>
        <w:tc>
          <w:tcPr>
            <w:tcW w:type="dxa" w:w="122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7"/>
              </w:rPr>
              <w:t>High</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§7.8</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R-10</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§§5, 6 Cash flow</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30/40/30 split + linear implementation → ~$0.7–1.2M first-6-mo shortfall; ASC 606 questions</w:t>
            </w:r>
          </w:p>
        </w:tc>
        <w:tc>
          <w:tcPr>
            <w:tcW w:type="dxa" w:w="1224"/>
            <w:shd w:val="clear" w:color="auto" w:fill="FCE5CD"/>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BF5000"/>
                <w:sz w:val="17"/>
              </w:rPr>
              <w:t>High</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§7.9</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R-11</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§14 Governing law</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German law; liability/penalty exposure; recommend neutral/WA law + specialist review</w:t>
            </w:r>
          </w:p>
        </w:tc>
        <w:tc>
          <w:tcPr>
            <w:tcW w:type="dxa" w:w="122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7"/>
              </w:rPr>
              <w:t>Medium</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§7.10</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R-12</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§10 Liability cap</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Cap declines to $15M steady-state; uncapped IP indemnity dwarfs cap</w:t>
            </w:r>
          </w:p>
        </w:tc>
        <w:tc>
          <w:tcPr>
            <w:tcW w:type="dxa" w:w="122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7"/>
              </w:rPr>
              <w:t>Medium</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§7.4</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R-13</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§13.3 Termination</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Only KBI has convenience termination; Whitmore locked in (perpetual term)</w:t>
            </w:r>
          </w:p>
        </w:tc>
        <w:tc>
          <w:tcPr>
            <w:tcW w:type="dxa" w:w="122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7"/>
              </w:rPr>
              <w:t>Medium</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§7.8</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R-14</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§16.6 Assignment</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KBI may assign in M&amp;A w/o consent (incl. to a Direct Competitor)</w:t>
            </w:r>
          </w:p>
        </w:tc>
        <w:tc>
          <w:tcPr>
            <w:tcW w:type="dxa" w:w="122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7"/>
              </w:rPr>
              <w:t>Medium</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§7.11</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R-15</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§4.5 GDPR</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EU→US transfer of operational data (possible personal data) requires SCCs + TIA + DPA</w:t>
            </w:r>
          </w:p>
        </w:tc>
        <w:tc>
          <w:tcPr>
            <w:tcW w:type="dxa" w:w="122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7"/>
              </w:rPr>
              <w:t>Medium</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§7.12</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R-16</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§§2, 5.7 Expansion</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5-yr pricing lock + MFC interaction could freeze pricing below market</w:t>
            </w:r>
          </w:p>
        </w:tc>
        <w:tc>
          <w:tcPr>
            <w:tcW w:type="dxa" w:w="1224"/>
            <w:shd w:val="clear" w:color="auto" w:fill="FFF2CC"/>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8F650C"/>
                <w:sz w:val="17"/>
              </w:rPr>
              <w:t>Medium</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§7.3</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R-17</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§7.2 SLAs</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"Commercially reasonable efforts" targets; no credits (inconsistent w/ performance warranty)</w:t>
            </w:r>
          </w:p>
        </w:tc>
        <w:tc>
          <w:tcPr>
            <w:tcW w:type="dxa" w:w="122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7"/>
              </w:rPr>
              <w:t>Low</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§7.5</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R-18</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§16.2 No-shop</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60-day exclusive-negotiation obligation (binding if Term Sheet signed)</w:t>
            </w:r>
          </w:p>
        </w:tc>
        <w:tc>
          <w:tcPr>
            <w:tcW w:type="dxa" w:w="122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7"/>
              </w:rPr>
              <w:t>Low</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§9</w:t>
            </w:r>
          </w:p>
        </w:tc>
      </w:tr>
      <w:tr>
        <w:tc>
          <w:tcPr>
            <w:tcW w:type="dxa" w:w="648"/>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R-19</w:t>
            </w:r>
          </w:p>
        </w:tc>
        <w:tc>
          <w:tcPr>
            <w:tcW w:type="dxa" w:w="194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§5.5 Late interest</w:t>
            </w:r>
          </w:p>
        </w:tc>
        <w:tc>
          <w:tcPr>
            <w:tcW w:type="dxa" w:w="4824"/>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1.5%/mo (~18% APR) may be unenforceable/usurious</w:t>
            </w:r>
          </w:p>
        </w:tc>
        <w:tc>
          <w:tcPr>
            <w:tcW w:type="dxa" w:w="122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7"/>
              </w:rPr>
              <w:t>Low</w:t>
            </w:r>
          </w:p>
        </w:tc>
        <w:tc>
          <w:tcPr>
            <w:tcW w:type="dxa" w:w="720"/>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w:t>
            </w:r>
          </w:p>
        </w:tc>
      </w:tr>
      <w:tr>
        <w:tc>
          <w:tcPr>
            <w:tcW w:type="dxa" w:w="648"/>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R-20</w:t>
            </w:r>
          </w:p>
        </w:tc>
        <w:tc>
          <w:tcPr>
            <w:tcW w:type="dxa" w:w="194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§13.7 No refunds</w:t>
            </w:r>
          </w:p>
        </w:tc>
        <w:tc>
          <w:tcPr>
            <w:tcW w:type="dxa" w:w="4824"/>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Non-refundable fees (favorable, but interacts w/ penalties/termination)</w:t>
            </w:r>
          </w:p>
        </w:tc>
        <w:tc>
          <w:tcPr>
            <w:tcW w:type="dxa" w:w="1224"/>
            <w:shd w:val="clear" w:color="auto" w:fill="D9EAD3"/>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i w:val="0"/>
                <w:color w:val="006100"/>
                <w:sz w:val="17"/>
              </w:rPr>
              <w:t>Low</w:t>
            </w:r>
          </w:p>
        </w:tc>
        <w:tc>
          <w:tcPr>
            <w:tcW w:type="dxa" w:w="720"/>
            <w:shd w:val="clear" w:color="auto" w:fill="EAF0F7"/>
            <w:tcMar>
              <w:top w:w="40" w:type="dxa"/>
              <w:bottom w:w="40" w:type="dxa"/>
              <w:start w:w="80" w:type="dxa"/>
              <w:end w:w="80" w:type="dxa"/>
              <w:left w:w="80" w:type="dxa"/>
              <w:right w:w="80" w:type="dxa"/>
            </w:tcMar>
            <w:vAlign w:val="center"/>
          </w:tcPr>
          <w:p>
            <w:pPr>
              <w:spacing w:before="0" w:after="0" w:line="240" w:lineRule="auto"/>
              <w:jc w:val="left"/>
            </w:pPr>
            <w:r>
              <w:rPr>
                <w:rFonts w:ascii="Calibri" w:hAnsi="Calibri" w:cs="Calibri" w:eastAsia="Calibri"/>
                <w:b w:val="0"/>
                <w:i w:val="0"/>
                <w:color w:val="2D2D2D"/>
                <w:sz w:val="17"/>
              </w:rPr>
              <w:t>—</w:t>
            </w:r>
          </w:p>
        </w:tc>
      </w:tr>
    </w:tbl>
    <w:p>
      <w:pPr>
        <w:spacing w:before="0" w:after="120" w:line="269" w:lineRule="auto"/>
      </w:pPr>
    </w:p>
    <w:p>
      <w:pPr>
        <w:spacing w:before="40" w:after="80" w:line="240" w:lineRule="auto"/>
        <w:pBdr>
          <w:bottom w:val="single" w:sz="6" w:space="1" w:color="1F3864"/>
        </w:pBdr>
      </w:pPr>
    </w:p>
    <w:p>
      <w:pPr>
        <w:spacing w:before="0" w:after="80" w:line="269" w:lineRule="auto"/>
      </w:pPr>
      <w:r>
        <w:rPr>
          <w:rFonts w:ascii="Cambria" w:hAnsi="Cambria" w:cs="Cambria" w:eastAsia="Cambria"/>
          <w:b w:val="0"/>
          <w:i/>
          <w:color w:val="595959"/>
          <w:sz w:val="17"/>
        </w:rPr>
        <w:t>This memorandum is privileged and confidential, prepared by Ferndale Hale &amp; Seward LLP at the request of Whitmore Analytics Inc.'s General Counsel for the Board of Directors. It reflects a preliminary analysis of non-binding term sheet and side-letter terms and does not constitute a final legal opinion. Definitive-agreement negotiation and execution will require further review, including by German-law and EU competition-law specialists.</w:t>
      </w:r>
    </w:p>
    <w:p>
      <w:pPr>
        <w:spacing w:before="0" w:after="200" w:line="269" w:lineRule="auto"/>
      </w:pPr>
      <w:r>
        <w:rPr>
          <w:rFonts w:ascii="Cambria" w:hAnsi="Cambria" w:cs="Cambria" w:eastAsia="Cambria"/>
          <w:b w:val="0"/>
          <w:i w:val="0"/>
          <w:color w:val="2D2D2D"/>
          <w:sz w:val="20"/>
        </w:rPr>
        <w:t>Respectfully submitted,</w:t>
      </w:r>
    </w:p>
    <w:p>
      <w:pPr>
        <w:spacing w:before="0" w:after="0" w:line="240" w:lineRule="auto"/>
      </w:pPr>
      <w:r>
        <w:rPr>
          <w:rFonts w:ascii="Cambria" w:hAnsi="Cambria" w:cs="Cambria" w:eastAsia="Cambria"/>
          <w:b/>
          <w:i w:val="0"/>
          <w:color w:val="1F3864"/>
          <w:sz w:val="21"/>
        </w:rPr>
        <w:t>Daniel Cortez</w:t>
      </w:r>
    </w:p>
    <w:p>
      <w:pPr>
        <w:spacing w:before="0" w:after="160" w:line="240" w:lineRule="auto"/>
      </w:pPr>
      <w:r>
        <w:rPr>
          <w:rFonts w:ascii="Cambria" w:hAnsi="Cambria" w:cs="Cambria" w:eastAsia="Cambria"/>
          <w:b w:val="0"/>
          <w:i w:val="0"/>
          <w:color w:val="595959"/>
          <w:sz w:val="18"/>
        </w:rPr>
        <w:t>Partner, Ferndale Hale &amp; Seward LLP</w:t>
      </w:r>
    </w:p>
    <w:p>
      <w:pPr>
        <w:spacing w:before="0" w:after="0" w:line="240" w:lineRule="auto"/>
      </w:pPr>
      <w:r>
        <w:rPr>
          <w:rFonts w:ascii="Cambria" w:hAnsi="Cambria" w:cs="Cambria" w:eastAsia="Cambria"/>
          <w:b/>
          <w:i w:val="0"/>
          <w:color w:val="1F3864"/>
          <w:sz w:val="21"/>
        </w:rPr>
        <w:t>Priya Venkatesh</w:t>
      </w:r>
    </w:p>
    <w:p>
      <w:pPr>
        <w:spacing w:before="0" w:after="40" w:line="240" w:lineRule="auto"/>
      </w:pPr>
      <w:r>
        <w:rPr>
          <w:rFonts w:ascii="Cambria" w:hAnsi="Cambria" w:cs="Cambria" w:eastAsia="Cambria"/>
          <w:b w:val="0"/>
          <w:i w:val="0"/>
          <w:color w:val="595959"/>
          <w:sz w:val="18"/>
        </w:rPr>
        <w:t>Partner, Ferndale Hale &amp; Seward LLP</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s="Calibri" w:eastAsia="Calibri"/>
        <w:color w:val="595959"/>
        <w:sz w:val="16"/>
      </w:rPr>
      <w:t xml:space="preserve">PRIVILEGED &amp; CONFIDENTIAL  •  Attorney-Client Communication / Attorney Work Product  •  Ferndale Hale &amp; Seward LLP  •  Page </w:t>
    </w:r>
    <w:r>
      <w:rPr>
        <w:rFonts w:ascii="Calibri" w:hAnsi="Calibri" w:cs="Calibri" w:eastAsia="Calibri"/>
        <w:color w:val="595959"/>
        <w:sz w:val="16"/>
      </w:rPr>
      <w:fldChar w:fldCharType="begin"/>
      <w:instrText xml:space="preserve">PAGE</w:instrText>
      <w:fldChar w:fldCharType="end"/>
    </w:r>
    <w:r>
      <w:rPr>
        <w:rFonts w:ascii="Calibri" w:hAnsi="Calibri" w:cs="Calibri" w:eastAsia="Calibri"/>
        <w:color w:val="595959"/>
        <w:sz w:val="16"/>
      </w:rPr>
      <w:t xml:space="preserve"> of </w:t>
    </w:r>
    <w:r>
      <w:rPr>
        <w:rFonts w:ascii="Calibri" w:hAnsi="Calibri" w:cs="Calibri" w:eastAsia="Calibri"/>
        <w:color w:val="595959"/>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