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Key-Terms</w:t>
      </w:r>
      <w:r>
        <w:t xml:space="preserve"> </w:t>
      </w:r>
      <w:r>
        <w:t xml:space="preserve">Extraction,</w:t>
      </w:r>
      <w:r>
        <w:t xml:space="preserve"> </w:t>
      </w:r>
      <w:r>
        <w:t xml:space="preserve">Risk</w:t>
      </w:r>
      <w:r>
        <w:t xml:space="preserve"> </w:t>
      </w:r>
      <w:r>
        <w:t xml:space="preserve">Flags</w:t>
      </w:r>
      <w:r>
        <w:t xml:space="preserve"> </w:t>
      </w:r>
      <w:r>
        <w:t xml:space="preserve">&amp;</w:t>
      </w:r>
      <w:r>
        <w:t xml:space="preserve"> </w:t>
      </w:r>
      <w:r>
        <w:t xml:space="preserve">Negotiation</w:t>
      </w:r>
      <w:r>
        <w:t xml:space="preserve"> </w:t>
      </w:r>
      <w:r>
        <w:t xml:space="preserve">Recommendations</w:t>
      </w:r>
    </w:p>
    <w:p>
      <w:pPr>
        <w:pStyle w:val="Subtitle"/>
      </w:pPr>
      <w:r>
        <w:t xml:space="preserve">Proposed</w:t>
      </w:r>
      <w:r>
        <w:t xml:space="preserve"> </w:t>
      </w:r>
      <w:r>
        <w:t xml:space="preserve">PredictIQ</w:t>
      </w:r>
      <w:r>
        <w:t xml:space="preserve"> </w:t>
      </w:r>
      <w:r>
        <w:t xml:space="preserve">Technology</w:t>
      </w:r>
      <w:r>
        <w:t xml:space="preserve"> </w:t>
      </w:r>
      <w:r>
        <w:t xml:space="preserve">License</w:t>
      </w:r>
      <w:r>
        <w:t xml:space="preserve"> </w:t>
      </w:r>
      <w:r>
        <w:t xml:space="preserve">Agreement</w:t>
      </w:r>
      <w:r>
        <w:t xml:space="preserve"> </w:t>
      </w:r>
      <w:r>
        <w:t xml:space="preserve">with</w:t>
      </w:r>
      <w:r>
        <w:t xml:space="preserve"> </w:t>
      </w:r>
      <w:r>
        <w:t xml:space="preserve">Kessler-Brandt</w:t>
      </w:r>
      <w:r>
        <w:t xml:space="preserve"> </w:t>
      </w:r>
      <w:r>
        <w:t xml:space="preserve">Industrial</w:t>
      </w:r>
      <w:r>
        <w:t xml:space="preserve"> </w:t>
      </w:r>
      <w:r>
        <w:t xml:space="preserve">GmbH</w:t>
      </w:r>
    </w:p>
    <w:bookmarkStart w:id="20" w:name="Xb00a8ce9f01252ee933d31ffed2c10f1672bce1"/>
    <w:p>
      <w:pPr>
        <w:pStyle w:val="Heading1"/>
      </w:pPr>
      <w:r>
        <w:t xml:space="preserve">PRIVILEGED &amp; CONFIDENTIAL — ATTORNEY-CLIENT COMMUNICATION / ATTORNEY WORK PRODUCT</w:t>
      </w:r>
    </w:p>
    <w:p>
      <w:pPr>
        <w:pStyle w:val="FirstParagraph"/>
      </w:pPr>
      <w:r>
        <w:rPr>
          <w:b/>
          <w:bCs/>
        </w:rPr>
        <w:t xml:space="preserve">Prepared at the direction of Sarah Yin, General Counsel, Whitmore Analytics Inc., in anticipation of the June 18, 2025 meeting of the Board of Directors. Distribution is limited to the Whitmore Board and senior management. Do not forward, copy, or distribute.</w:t>
      </w:r>
    </w:p>
    <w:bookmarkEnd w:id="20"/>
    <w:bookmarkStart w:id="41"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Board of Directors, Whitmore Analytics Inc.</w:t>
            </w:r>
          </w:p>
        </w:tc>
      </w:tr>
      <w:tr>
        <w:tc>
          <w:tcPr/>
          <w:p>
            <w:pPr>
              <w:pStyle w:val="Compact"/>
              <w:jc w:val="left"/>
            </w:pPr>
            <w:r>
              <w:rPr>
                <w:b/>
                <w:bCs/>
              </w:rPr>
              <w:t xml:space="preserve">FROM:</w:t>
            </w:r>
          </w:p>
        </w:tc>
        <w:tc>
          <w:tcPr/>
          <w:p>
            <w:pPr>
              <w:pStyle w:val="Compact"/>
              <w:jc w:val="left"/>
            </w:pPr>
            <w:r>
              <w:t xml:space="preserve">Ferndale Hale &amp; Seward LLP — Daniel Cortez, Partner; Priya Venkatesh, Partner</w:t>
            </w:r>
          </w:p>
        </w:tc>
      </w:tr>
      <w:tr>
        <w:tc>
          <w:tcPr/>
          <w:p>
            <w:pPr>
              <w:pStyle w:val="Compact"/>
              <w:jc w:val="left"/>
            </w:pPr>
            <w:r>
              <w:rPr>
                <w:b/>
                <w:bCs/>
              </w:rPr>
              <w:t xml:space="preserve">CC:</w:t>
            </w:r>
          </w:p>
        </w:tc>
        <w:tc>
          <w:tcPr/>
          <w:p>
            <w:pPr>
              <w:pStyle w:val="Compact"/>
              <w:jc w:val="left"/>
            </w:pPr>
            <w:r>
              <w:t xml:space="preserve">Rajesh Malhotra, Chief Executive Officer; Sarah Yin, General Counsel; Tom Kendrick, Vice President, Sales</w:t>
            </w:r>
          </w:p>
        </w:tc>
      </w:tr>
      <w:tr>
        <w:tc>
          <w:tcPr/>
          <w:p>
            <w:pPr>
              <w:pStyle w:val="Compact"/>
              <w:jc w:val="left"/>
            </w:pPr>
            <w:r>
              <w:rPr>
                <w:b/>
                <w:bCs/>
              </w:rPr>
              <w:t xml:space="preserve">DATE:</w:t>
            </w:r>
          </w:p>
        </w:tc>
        <w:tc>
          <w:tcPr/>
          <w:p>
            <w:pPr>
              <w:pStyle w:val="Compact"/>
              <w:jc w:val="left"/>
            </w:pPr>
            <w:r>
              <w:t xml:space="preserve">June 16, 2025</w:t>
            </w:r>
          </w:p>
        </w:tc>
      </w:tr>
      <w:tr>
        <w:tc>
          <w:tcPr/>
          <w:p>
            <w:pPr>
              <w:pStyle w:val="Compact"/>
              <w:jc w:val="left"/>
            </w:pPr>
            <w:r>
              <w:rPr>
                <w:b/>
                <w:bCs/>
              </w:rPr>
              <w:t xml:space="preserve">RE:</w:t>
            </w:r>
          </w:p>
        </w:tc>
        <w:tc>
          <w:tcPr/>
          <w:p>
            <w:pPr>
              <w:pStyle w:val="Compact"/>
              <w:jc w:val="left"/>
            </w:pPr>
            <w:r>
              <w:t xml:space="preserve">Key-Terms Extraction, Risk Flags, and Negotiation Recommendations — Proposed PredictIQ Technology License Agreement with Kessler-Brandt Industrial GmbH (the</w:t>
            </w:r>
            <w:r>
              <w:t xml:space="preserve"> </w:t>
            </w:r>
            <w:r>
              <w:t xml:space="preserve">“</w:t>
            </w:r>
            <w:r>
              <w:t xml:space="preserve">KBI Transaction</w:t>
            </w:r>
            <w:r>
              <w:t xml:space="preserve">”</w:t>
            </w:r>
            <w:r>
              <w:t xml:space="preserve">)</w:t>
            </w:r>
          </w:p>
        </w:tc>
      </w:tr>
    </w:tbl>
    <w:bookmarkStart w:id="21" w:name="i.-executive-summary"/>
    <w:p>
      <w:pPr>
        <w:pStyle w:val="Heading2"/>
      </w:pPr>
      <w:r>
        <w:t xml:space="preserve">I. Executive Summary</w:t>
      </w:r>
    </w:p>
    <w:p>
      <w:pPr>
        <w:pStyle w:val="FirstParagraph"/>
      </w:pPr>
      <w:r>
        <w:t xml:space="preserve">Whitmore Analytics Inc. (</w:t>
      </w:r>
      <w:r>
        <w:t xml:space="preserve">“</w:t>
      </w:r>
      <w:r>
        <w:t xml:space="preserve">Whitmore</w:t>
      </w:r>
      <w:r>
        <w:t xml:space="preserve">”</w:t>
      </w:r>
      <w:r>
        <w:t xml:space="preserve">) has received a non-binding term sheet dated</w:t>
      </w:r>
      <w:r>
        <w:t xml:space="preserve"> </w:t>
      </w:r>
      <w:r>
        <w:rPr>
          <w:b/>
          <w:bCs/>
        </w:rPr>
        <w:t xml:space="preserve">May 29, 2025</w:t>
      </w:r>
      <w:r>
        <w:t xml:space="preserve">, together with a separate most-favored-customer (</w:t>
      </w:r>
      <w:r>
        <w:t xml:space="preserve">“</w:t>
      </w:r>
      <w:r>
        <w:t xml:space="preserve">MFC</w:t>
      </w:r>
      <w:r>
        <w:t xml:space="preserve">”</w:t>
      </w:r>
      <w:r>
        <w:t xml:space="preserve">) side letter of the same date, from Kessler-Brandt Industrial GmbH (</w:t>
      </w:r>
      <w:r>
        <w:t xml:space="preserve">“</w:t>
      </w:r>
      <w:r>
        <w:t xml:space="preserve">KBI</w:t>
      </w:r>
      <w:r>
        <w:t xml:space="preserve">”</w:t>
      </w:r>
      <w:r>
        <w:t xml:space="preserve">). Both documents were prepared by KBI’s outside counsel, Bergström Hecht Rechtsanwälte (Dr. Luisa Trautmann, lead partner), and propose a perpetual, non-exclusive license of Whitmore’s PredictIQ platform for deployment across KBI’s 43 manufacturing facilities in 12 European countries as part of KBI’s</w:t>
      </w:r>
      <w:r>
        <w:t xml:space="preserve"> </w:t>
      </w:r>
      <w:r>
        <w:t xml:space="preserve">“</w:t>
      </w:r>
      <w:r>
        <w:t xml:space="preserve">SmartFactory 2030</w:t>
      </w:r>
      <w:r>
        <w:t xml:space="preserve">”</w:t>
      </w:r>
      <w:r>
        <w:t xml:space="preserve"> </w:t>
      </w:r>
      <w:r>
        <w:t xml:space="preserve">initiative. KBI has requested a written response by</w:t>
      </w:r>
      <w:r>
        <w:t xml:space="preserve"> </w:t>
      </w:r>
      <w:r>
        <w:rPr>
          <w:b/>
          <w:bCs/>
        </w:rPr>
        <w:t xml:space="preserve">June 23, 2025</w:t>
      </w:r>
      <w:r>
        <w:t xml:space="preserve">, with a targeted definitive-agreement execution date of</w:t>
      </w:r>
      <w:r>
        <w:t xml:space="preserve"> </w:t>
      </w:r>
      <w:r>
        <w:rPr>
          <w:b/>
          <w:bCs/>
        </w:rPr>
        <w:t xml:space="preserve">August 15, 2025</w:t>
      </w:r>
      <w:r>
        <w:t xml:space="preserve"> </w:t>
      </w:r>
      <w:r>
        <w:t xml:space="preserve">and a Phase 1 implementation start of</w:t>
      </w:r>
      <w:r>
        <w:t xml:space="preserve"> </w:t>
      </w:r>
      <w:r>
        <w:rPr>
          <w:b/>
          <w:bCs/>
        </w:rPr>
        <w:t xml:space="preserve">September 15, 2025</w:t>
      </w:r>
      <w:r>
        <w:t xml:space="preserve">.</w:t>
      </w:r>
    </w:p>
    <w:p>
      <w:pPr>
        <w:pStyle w:val="BodyText"/>
      </w:pPr>
      <w:r>
        <w:rPr>
          <w:b/>
          <w:bCs/>
        </w:rPr>
        <w:t xml:space="preserve">Commercial significance.</w:t>
      </w:r>
      <w:r>
        <w:t xml:space="preserve"> </w:t>
      </w:r>
      <w:r>
        <w:t xml:space="preserve">The transaction would generate approximately</w:t>
      </w:r>
      <w:r>
        <w:t xml:space="preserve"> </w:t>
      </w:r>
      <w:r>
        <w:rPr>
          <w:b/>
          <w:bCs/>
        </w:rPr>
        <w:t xml:space="preserve">$9.556 million in first-year revenue</w:t>
      </w:r>
      <w:r>
        <w:t xml:space="preserve"> </w:t>
      </w:r>
      <w:r>
        <w:t xml:space="preserve">to Whitmore — roughly</w:t>
      </w:r>
      <w:r>
        <w:t xml:space="preserve"> </w:t>
      </w:r>
      <w:r>
        <w:rPr>
          <w:b/>
          <w:bCs/>
        </w:rPr>
        <w:t xml:space="preserve">20% of Whitmore’s FY 2024 revenue of $47.3 million</w:t>
      </w:r>
      <w:r>
        <w:t xml:space="preserve"> </w:t>
      </w:r>
      <w:r>
        <w:t xml:space="preserve">— including a recurring SaaS subscription of</w:t>
      </w:r>
      <w:r>
        <w:t xml:space="preserve"> </w:t>
      </w:r>
      <w:r>
        <w:rPr>
          <w:b/>
          <w:bCs/>
        </w:rPr>
        <w:t xml:space="preserve">$2.85 million per year</w:t>
      </w:r>
      <w:r>
        <w:t xml:space="preserve">, which would be Whitmore’s largest single SaaS contract by a factor of three. KBI would be a flagship European reference account and a centerpiece of any Series C narrative to Hollcroft Ventures and other investors. The opportunity is, on the commercial merits, the most significant Whitmore has seen since founding.</w:t>
      </w:r>
    </w:p>
    <w:p>
      <w:pPr>
        <w:pStyle w:val="BodyText"/>
      </w:pPr>
      <w:r>
        <w:rPr>
          <w:b/>
          <w:bCs/>
        </w:rPr>
        <w:t xml:space="preserve">Overall legal assessment.</w:t>
      </w:r>
      <w:r>
        <w:t xml:space="preserve"> </w:t>
      </w:r>
      <w:r>
        <w:t xml:space="preserve">The term sheet is, however,</w:t>
      </w:r>
      <w:r>
        <w:t xml:space="preserve"> </w:t>
      </w:r>
      <w:r>
        <w:rPr>
          <w:b/>
          <w:bCs/>
        </w:rPr>
        <w:t xml:space="preserve">heavily one-sided and KBI-favorable</w:t>
      </w:r>
      <w:r>
        <w:t xml:space="preserve">. It was drafted by KBI’s counsel and reflects KBI’s preferred positions throughout. Several provisions pose</w:t>
      </w:r>
      <w:r>
        <w:t xml:space="preserve"> </w:t>
      </w:r>
      <w:r>
        <w:rPr>
          <w:b/>
          <w:bCs/>
        </w:rPr>
        <w:t xml:space="preserve">fundamental threats to Whitmore’s core intellectual property, its machine-learning business model, and its European growth trajectory</w:t>
      </w:r>
      <w:r>
        <w:t xml:space="preserve">. Our recommendation is that Whitmore</w:t>
      </w:r>
      <w:r>
        <w:t xml:space="preserve"> </w:t>
      </w:r>
      <w:r>
        <w:rPr>
          <w:b/>
          <w:bCs/>
        </w:rPr>
        <w:t xml:space="preserve">pursue the transaction aggressively, but not on the current terms</w:t>
      </w:r>
      <w:r>
        <w:t xml:space="preserve">. The board should authorize management to negotiate toward a definitive agreement on a framework that (i) preserves the commercial opportunity and (ii) establishes firm red lines on the issues identified below.</w:t>
      </w:r>
    </w:p>
    <w:p>
      <w:pPr>
        <w:pStyle w:val="BodyText"/>
      </w:pPr>
      <w:r>
        <w:rPr>
          <w:b/>
          <w:bCs/>
        </w:rPr>
        <w:t xml:space="preserve">Five critical (potential dealbreaker) issues:</w:t>
      </w:r>
    </w:p>
    <w:p>
      <w:pPr>
        <w:numPr>
          <w:ilvl w:val="0"/>
          <w:numId w:val="1001"/>
        </w:numPr>
      </w:pPr>
      <w:r>
        <w:rPr>
          <w:b/>
          <w:bCs/>
        </w:rPr>
        <w:t xml:space="preserve">Exclusivity / non-compete (Section 12).</w:t>
      </w:r>
      <w:r>
        <w:t xml:space="preserve"> </w:t>
      </w:r>
      <w:r>
        <w:t xml:space="preserve">A three-year exclusivity barring Whitmore from licensing PredictIQ (or any</w:t>
      </w:r>
      <w:r>
        <w:t xml:space="preserve"> </w:t>
      </w:r>
      <w:r>
        <w:t xml:space="preserve">“</w:t>
      </w:r>
      <w:r>
        <w:t xml:space="preserve">substantially similar</w:t>
      </w:r>
      <w:r>
        <w:t xml:space="preserve">”</w:t>
      </w:r>
      <w:r>
        <w:t xml:space="preserve"> </w:t>
      </w:r>
      <w:r>
        <w:t xml:space="preserve">successor product) to any</w:t>
      </w:r>
      <w:r>
        <w:t xml:space="preserve"> </w:t>
      </w:r>
      <w:r>
        <w:t xml:space="preserve">“</w:t>
      </w:r>
      <w:r>
        <w:t xml:space="preserve">Direct Competitor</w:t>
      </w:r>
      <w:r>
        <w:t xml:space="preserve">”</w:t>
      </w:r>
      <w:r>
        <w:t xml:space="preserve"> </w:t>
      </w:r>
      <w:r>
        <w:t xml:space="preserve">of KBI in European automotive and heavy-machinery manufacturing — defined to include 12 named companies</w:t>
      </w:r>
      <w:r>
        <w:t xml:space="preserve"> </w:t>
      </w:r>
      <w:r>
        <w:rPr>
          <w:i/>
          <w:iCs/>
        </w:rPr>
        <w:t xml:space="preserve">plus</w:t>
      </w:r>
      <w:r>
        <w:t xml:space="preserve"> </w:t>
      </w:r>
      <w:r>
        <w:t xml:space="preserve">an open-ended catch-all for any entity deriving more than 30% of revenue from those sectors across the EEA, UK, and Switzerland. Internal analysis indicates this could capture 25–30 additional companies, including three active late-stage European prospects representing</w:t>
      </w:r>
      <w:r>
        <w:t xml:space="preserve"> </w:t>
      </w:r>
      <w:r>
        <w:rPr>
          <w:b/>
          <w:bCs/>
        </w:rPr>
        <w:t xml:space="preserve">$4–5 million in potential recurring SaaS revenue</w:t>
      </w:r>
      <w:r>
        <w:t xml:space="preserve">. The obligation survives termination and is backed by injunctive relief without a bond or irreparable-harm showing.</w:t>
      </w:r>
    </w:p>
    <w:p>
      <w:pPr>
        <w:numPr>
          <w:ilvl w:val="0"/>
          <w:numId w:val="1001"/>
        </w:numPr>
      </w:pPr>
      <w:r>
        <w:rPr>
          <w:b/>
          <w:bCs/>
        </w:rPr>
        <w:t xml:space="preserve">Data-training restriction (Section 4.3).</w:t>
      </w:r>
      <w:r>
        <w:t xml:space="preserve"> </w:t>
      </w:r>
      <w:r>
        <w:t xml:space="preserve">Whitmore is barred from using KBI Data — even in anonymized or aggregated form — to train or improve PredictIQ’s general ML models without KBI’s consent (which may be withheld in KBI’s sole discretion). KBI’s 43-facility, 12-country deployment would be Whitmore’s largest and most diverse data source; accepting this restriction would deprive PredictIQ of its most valuable training inputs and degrade the product for all other customers.</w:t>
      </w:r>
    </w:p>
    <w:p>
      <w:pPr>
        <w:numPr>
          <w:ilvl w:val="0"/>
          <w:numId w:val="1001"/>
        </w:numPr>
      </w:pPr>
      <w:r>
        <w:rPr>
          <w:b/>
          <w:bCs/>
        </w:rPr>
        <w:t xml:space="preserve">Output Data ownership (Section 4.2).</w:t>
      </w:r>
      <w:r>
        <w:t xml:space="preserve"> </w:t>
      </w:r>
      <w:r>
        <w:t xml:space="preserve">“</w:t>
      </w:r>
      <w:r>
        <w:t xml:space="preserve">Output Data</w:t>
      </w:r>
      <w:r>
        <w:t xml:space="preserve">”</w:t>
      </w:r>
      <w:r>
        <w:t xml:space="preserve"> </w:t>
      </w:r>
      <w:r>
        <w:t xml:space="preserve">is defined to include</w:t>
      </w:r>
      <w:r>
        <w:t xml:space="preserve"> </w:t>
      </w:r>
      <w:r>
        <w:rPr>
          <w:b/>
          <w:bCs/>
        </w:rPr>
        <w:t xml:space="preserve">model weights, parameters, and training artifacts derived from KBI Data</w:t>
      </w:r>
      <w:r>
        <w:t xml:space="preserve">, and is declared the</w:t>
      </w:r>
      <w:r>
        <w:t xml:space="preserve"> </w:t>
      </w:r>
      <w:r>
        <w:rPr>
          <w:b/>
          <w:bCs/>
        </w:rPr>
        <w:t xml:space="preserve">sole and exclusive property of KBI</w:t>
      </w:r>
      <w:r>
        <w:t xml:space="preserve">. Read together with the data-training restriction, this could transfer ownership of model state generated in the ordinary course of service to KBI — i.e., every customer interaction makes PredictIQ</w:t>
      </w:r>
      <w:r>
        <w:t xml:space="preserve"> </w:t>
      </w:r>
      <w:r>
        <w:t xml:space="preserve">“</w:t>
      </w:r>
      <w:r>
        <w:t xml:space="preserve">less ours.</w:t>
      </w:r>
      <w:r>
        <w:t xml:space="preserve">”</w:t>
      </w:r>
    </w:p>
    <w:p>
      <w:pPr>
        <w:numPr>
          <w:ilvl w:val="0"/>
          <w:numId w:val="1001"/>
        </w:numPr>
      </w:pPr>
      <w:r>
        <w:rPr>
          <w:b/>
          <w:bCs/>
        </w:rPr>
        <w:t xml:space="preserve">MFC pricing side letter.</w:t>
      </w:r>
      <w:r>
        <w:t xml:space="preserve"> </w:t>
      </w:r>
      <w:r>
        <w:t xml:space="preserve">A most-favored-customer pricing commitment that, because the license term is perpetual and the post-termination wind-down license is also perpetual, has</w:t>
      </w:r>
      <w:r>
        <w:t xml:space="preserve"> </w:t>
      </w:r>
      <w:r>
        <w:rPr>
          <w:b/>
          <w:bCs/>
        </w:rPr>
        <w:t xml:space="preserve">no sunset</w:t>
      </w:r>
      <w:r>
        <w:t xml:space="preserve">; contains</w:t>
      </w:r>
      <w:r>
        <w:t xml:space="preserve"> </w:t>
      </w:r>
      <w:r>
        <w:rPr>
          <w:b/>
          <w:bCs/>
        </w:rPr>
        <w:t xml:space="preserve">no carve-outs</w:t>
      </w:r>
      <w:r>
        <w:t xml:space="preserve"> </w:t>
      </w:r>
      <w:r>
        <w:t xml:space="preserve">(e.g., for volume, product mix, government, distressed, or pilot pricing); imposes a</w:t>
      </w:r>
      <w:r>
        <w:t xml:space="preserve"> </w:t>
      </w:r>
      <w:r>
        <w:rPr>
          <w:b/>
          <w:bCs/>
        </w:rPr>
        <w:t xml:space="preserve">retroactive</w:t>
      </w:r>
      <w:r>
        <w:t xml:space="preserve"> </w:t>
      </w:r>
      <w:r>
        <w:t xml:space="preserve">pricing adjustment and credit obligation; and grants KBI an</w:t>
      </w:r>
      <w:r>
        <w:t xml:space="preserve"> </w:t>
      </w:r>
      <w:r>
        <w:rPr>
          <w:b/>
          <w:bCs/>
        </w:rPr>
        <w:t xml:space="preserve">annual audit right</w:t>
      </w:r>
      <w:r>
        <w:t xml:space="preserve"> </w:t>
      </w:r>
      <w:r>
        <w:t xml:space="preserve">over Whitmore’s entire PredictIQ licensing book. KBI states its willingness to proceed is</w:t>
      </w:r>
      <w:r>
        <w:t xml:space="preserve"> </w:t>
      </w:r>
      <w:r>
        <w:t xml:space="preserve">“</w:t>
      </w:r>
      <w:r>
        <w:t xml:space="preserve">expressly conditioned</w:t>
      </w:r>
      <w:r>
        <w:t xml:space="preserve">”</w:t>
      </w:r>
      <w:r>
        <w:t xml:space="preserve"> </w:t>
      </w:r>
      <w:r>
        <w:t xml:space="preserve">on acceptance.</w:t>
      </w:r>
    </w:p>
    <w:p>
      <w:pPr>
        <w:numPr>
          <w:ilvl w:val="0"/>
          <w:numId w:val="1001"/>
        </w:numPr>
      </w:pPr>
      <w:r>
        <w:rPr>
          <w:b/>
          <w:bCs/>
        </w:rPr>
        <w:t xml:space="preserve">Uncapped IP indemnification (Section 9.1).</w:t>
      </w:r>
      <w:r>
        <w:t xml:space="preserve"> </w:t>
      </w:r>
      <w:r>
        <w:t xml:space="preserve">Whitmore is required to defend and indemnify KBI against any third-party IP-infringement claim arising from KBI’s authorized use of PredictIQ,</w:t>
      </w:r>
      <w:r>
        <w:t xml:space="preserve"> </w:t>
      </w:r>
      <w:r>
        <w:rPr>
          <w:b/>
          <w:bCs/>
        </w:rPr>
        <w:t xml:space="preserve">expressly outside any limitation of liability or damages cap</w:t>
      </w:r>
      <w:r>
        <w:t xml:space="preserve">. Given the complexity and volume of ML/AI patent litigation, this is significant uncapped exposure with no corresponding carve-out for KBI modifications, combinations, or derivative works.</w:t>
      </w:r>
    </w:p>
    <w:p>
      <w:pPr>
        <w:pStyle w:val="FirstParagraph"/>
      </w:pPr>
      <w:r>
        <w:rPr>
          <w:b/>
          <w:bCs/>
        </w:rPr>
        <w:t xml:space="preserve">Additional high-priority issues</w:t>
      </w:r>
      <w:r>
        <w:t xml:space="preserve"> </w:t>
      </w:r>
      <w:r>
        <w:t xml:space="preserve">include the 92% prediction-accuracy performance warranty with financial penalties and a termination trigger (Section 8.2–8.3); broad source-code escrow with low release thresholds and a perpetual royalty-free post-release license (Section 11); a perpetual post-termination wind-down license (Section 13.5); German governing law (Section 14.1); joint ownership of derivative works with unrestricted exploitation rights (Sections 2 and 3.3); a cash-flow–mismatched payment structure (Section 5); uncapped SaaS/maintenance fee escalations compounding over a perpetual term (Sections 5.2, 5.4, 13.1); one-sided termination for convenience available only to KBI (Section 13.3); and one-sided assignment rights available only to KBI (Section 16.6). Numerous</w:t>
      </w:r>
      <w:r>
        <w:t xml:space="preserve"> </w:t>
      </w:r>
      <w:r>
        <w:rPr>
          <w:b/>
          <w:bCs/>
        </w:rPr>
        <w:t xml:space="preserve">missing provisions</w:t>
      </w:r>
      <w:r>
        <w:t xml:space="preserve"> </w:t>
      </w:r>
      <w:r>
        <w:t xml:space="preserve">(data-processing/security terms, cross-border data-transfer mechanics, open-source disclosure, export controls, insurance, no-hire, force majeure, and KBI warranties as to the lawfulness of its data) must be added in the definitive agreement.</w:t>
      </w:r>
    </w:p>
    <w:p>
      <w:pPr>
        <w:pStyle w:val="BodyText"/>
      </w:pPr>
      <w:r>
        <w:t xml:space="preserve">A prioritized risk register and issue-by-issue negotiation recommendations follow.</w:t>
      </w:r>
    </w:p>
    <w:bookmarkEnd w:id="21"/>
    <w:bookmarkStart w:id="22" w:name="ii.-documents-reviewed"/>
    <w:p>
      <w:pPr>
        <w:pStyle w:val="Heading2"/>
      </w:pPr>
      <w:r>
        <w:t xml:space="preserve">II. Documents Reviewed</w:t>
      </w:r>
    </w:p>
    <w:p>
      <w:pPr>
        <w:pStyle w:val="FirstParagraph"/>
      </w:pPr>
      <w:r>
        <w:t xml:space="preserve">This memorandum is based on the following documents provided by Whitmore’s management:</w:t>
      </w:r>
    </w:p>
    <w:p>
      <w:pPr>
        <w:pStyle w:val="Compact"/>
        <w:numPr>
          <w:ilvl w:val="0"/>
          <w:numId w:val="1002"/>
        </w:numPr>
      </w:pPr>
      <w:r>
        <w:rPr>
          <w:b/>
          <w:bCs/>
        </w:rPr>
        <w:t xml:space="preserve">Term Sheet</w:t>
      </w:r>
      <w:r>
        <w:t xml:space="preserve"> </w:t>
      </w:r>
      <w:r>
        <w:t xml:space="preserve">—</w:t>
      </w:r>
      <w:r>
        <w:t xml:space="preserve"> </w:t>
      </w:r>
      <w:r>
        <w:t xml:space="preserve">“</w:t>
      </w:r>
      <w:r>
        <w:t xml:space="preserve">Non-Binding Term Sheet — Technology License Agreement, PredictIQ Platform License and Related Services,</w:t>
      </w:r>
      <w:r>
        <w:t xml:space="preserve">”</w:t>
      </w:r>
      <w:r>
        <w:t xml:space="preserve"> </w:t>
      </w:r>
      <w:r>
        <w:t xml:space="preserve">dated May 29, 2025, prepared by Bergström Hecht Rechtsanwälte on behalf of KBI (16 numbered sections plus Exhibits A and B).</w:t>
      </w:r>
    </w:p>
    <w:p>
      <w:pPr>
        <w:pStyle w:val="Compact"/>
        <w:numPr>
          <w:ilvl w:val="0"/>
          <w:numId w:val="1002"/>
        </w:numPr>
      </w:pPr>
      <w:r>
        <w:rPr>
          <w:b/>
          <w:bCs/>
        </w:rPr>
        <w:t xml:space="preserve">Side Letter</w:t>
      </w:r>
      <w:r>
        <w:t xml:space="preserve"> </w:t>
      </w:r>
      <w:r>
        <w:t xml:space="preserve">—</w:t>
      </w:r>
      <w:r>
        <w:t xml:space="preserve"> </w:t>
      </w:r>
      <w:r>
        <w:t xml:space="preserve">“</w:t>
      </w:r>
      <w:r>
        <w:t xml:space="preserve">Most-Favored-Customer Pricing Terms,</w:t>
      </w:r>
      <w:r>
        <w:t xml:space="preserve">”</w:t>
      </w:r>
      <w:r>
        <w:t xml:space="preserve"> </w:t>
      </w:r>
      <w:r>
        <w:t xml:space="preserve">dated May 29, 2025, from Annika Solberg (VP, Digital Transformation, KBI) to Sarah Yin (General Counsel, Whitmore), with an acknowledgment signature block for Whitmore.</w:t>
      </w:r>
    </w:p>
    <w:p>
      <w:pPr>
        <w:pStyle w:val="Compact"/>
        <w:numPr>
          <w:ilvl w:val="0"/>
          <w:numId w:val="1002"/>
        </w:numPr>
      </w:pPr>
      <w:r>
        <w:rPr>
          <w:b/>
          <w:bCs/>
        </w:rPr>
        <w:t xml:space="preserve">Internal emails</w:t>
      </w:r>
      <w:r>
        <w:t xml:space="preserve"> </w:t>
      </w:r>
      <w:r>
        <w:t xml:space="preserve">— Email thread of June 3, 2025 among Tom Kendrick (VP, Sales), Sarah Yin (General Counsel), and Rajesh Malhotra (CEO), containing the internal team’s initial reactions, commercial analysis, and stated negotiation positions.</w:t>
      </w:r>
    </w:p>
    <w:p>
      <w:pPr>
        <w:pStyle w:val="FirstParagraph"/>
      </w:pPr>
      <w:r>
        <w:rPr>
          <w:b/>
          <w:bCs/>
        </w:rPr>
        <w:t xml:space="preserve">Caveat.</w:t>
      </w:r>
      <w:r>
        <w:t xml:space="preserve"> </w:t>
      </w:r>
      <w:r>
        <w:t xml:space="preserve">This is a first-impression review of a non-binding term sheet and an expressly non-binding side letter. Definitive-agreement language will differ, and several issues flagged here will turn on precise drafting. We have not yet reviewed Exhibits A or B in executed form, any technical specification document, or KBI’s standard data-processing terms. Items requiring further diligence are listed in Section IX.</w:t>
      </w:r>
    </w:p>
    <w:p>
      <w:pPr>
        <w:pStyle w:val="BodyText"/>
      </w:pPr>
      <w:r>
        <w:rPr>
          <w:b/>
          <w:bCs/>
        </w:rPr>
        <w:t xml:space="preserve">Signature status.</w:t>
      </w:r>
      <w:r>
        <w:t xml:space="preserve"> </w:t>
      </w:r>
      <w:r>
        <w:t xml:space="preserve">The term sheet is signed by KBI (Dr. Markus Fiedler, CTO, and Annika Solberg, VP of Digital Transformation, both dated May 29, 2025)</w:t>
      </w:r>
      <w:r>
        <w:t xml:space="preserve"> </w:t>
      </w:r>
      <w:r>
        <w:t xml:space="preserve">“</w:t>
      </w:r>
      <w:r>
        <w:t xml:space="preserve">as to the binding provisions of Sections 15 and 16 only</w:t>
      </w:r>
      <w:r>
        <w:t xml:space="preserve">”</w:t>
      </w:r>
      <w:r>
        <w:t xml:space="preserve">; Whitmore’s signature blocks (Rajesh Malhotra, CEO; Sarah Yin, General Counsel) are</w:t>
      </w:r>
      <w:r>
        <w:t xml:space="preserve"> </w:t>
      </w:r>
      <w:r>
        <w:rPr>
          <w:b/>
          <w:bCs/>
        </w:rPr>
        <w:t xml:space="preserve">blank</w:t>
      </w:r>
      <w:r>
        <w:t xml:space="preserve">. The side letter’s Whitmore acknowledgment block (Sarah Yin) is likewise</w:t>
      </w:r>
      <w:r>
        <w:t xml:space="preserve"> </w:t>
      </w:r>
      <w:r>
        <w:rPr>
          <w:b/>
          <w:bCs/>
        </w:rPr>
        <w:t xml:space="preserve">unsigned</w:t>
      </w:r>
      <w:r>
        <w:t xml:space="preserve">. Accordingly, only the confidentiality (Section 15) and miscellaneous (Section 16) provisions of the term sheet are presently binding, the 60-day no-shop (Section 16.2) is binding on Whitmore, and the MFC pricing provision is</w:t>
      </w:r>
      <w:r>
        <w:t xml:space="preserve"> </w:t>
      </w:r>
      <w:r>
        <w:rPr>
          <w:b/>
          <w:bCs/>
        </w:rPr>
        <w:t xml:space="preserve">not yet agreed</w:t>
      </w:r>
      <w:r>
        <w:t xml:space="preserve">.</w:t>
      </w:r>
    </w:p>
    <w:bookmarkEnd w:id="22"/>
    <w:bookmarkStart w:id="23" w:name="iii.-transaction-overview-and-parties"/>
    <w:p>
      <w:pPr>
        <w:pStyle w:val="Heading2"/>
      </w:pPr>
      <w:r>
        <w:t xml:space="preserve">III. Transaction Overview and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Licensor</w:t>
            </w:r>
          </w:p>
        </w:tc>
        <w:tc>
          <w:tcPr/>
          <w:p>
            <w:pPr>
              <w:pStyle w:val="Compact"/>
              <w:jc w:val="left"/>
            </w:pPr>
            <w:r>
              <w:t xml:space="preserve">Whitmore Analytics Inc., a Delaware corporation, Seattle, WA. CEO: Rajesh Malhotra; General Counsel: Sarah Yin.</w:t>
            </w:r>
          </w:p>
        </w:tc>
      </w:tr>
      <w:tr>
        <w:tc>
          <w:tcPr/>
          <w:p>
            <w:pPr>
              <w:pStyle w:val="Compact"/>
              <w:jc w:val="left"/>
            </w:pPr>
            <w:r>
              <w:rPr>
                <w:b/>
                <w:bCs/>
              </w:rPr>
              <w:t xml:space="preserve">Licensee</w:t>
            </w:r>
          </w:p>
        </w:tc>
        <w:tc>
          <w:tcPr/>
          <w:p>
            <w:pPr>
              <w:pStyle w:val="Compact"/>
              <w:jc w:val="left"/>
            </w:pPr>
            <w:r>
              <w:t xml:space="preserve">Kessler-Brandt Industrial GmbH (</w:t>
            </w:r>
            <w:r>
              <w:t xml:space="preserve">“</w:t>
            </w:r>
            <w:r>
              <w:t xml:space="preserve">KBI</w:t>
            </w:r>
            <w:r>
              <w:t xml:space="preserve">”</w:t>
            </w:r>
            <w:r>
              <w:t xml:space="preserve">), a German GmbH, Munich (HRB 247891). CTO: Dr. Markus Fiedler; VP, Digital Transformation: Annika Solberg.</w:t>
            </w:r>
          </w:p>
        </w:tc>
      </w:tr>
      <w:tr>
        <w:tc>
          <w:tcPr/>
          <w:p>
            <w:pPr>
              <w:pStyle w:val="Compact"/>
              <w:jc w:val="left"/>
            </w:pPr>
            <w:r>
              <w:rPr>
                <w:b/>
                <w:bCs/>
              </w:rPr>
              <w:t xml:space="preserve">Licensee’s counsel</w:t>
            </w:r>
          </w:p>
        </w:tc>
        <w:tc>
          <w:tcPr/>
          <w:p>
            <w:pPr>
              <w:pStyle w:val="Compact"/>
              <w:jc w:val="left"/>
            </w:pPr>
            <w:r>
              <w:t xml:space="preserve">Bergström Hecht Rechtsanwälte, Munich (Dr. Luisa Trautmann, lead partner).</w:t>
            </w:r>
          </w:p>
        </w:tc>
      </w:tr>
      <w:tr>
        <w:tc>
          <w:tcPr/>
          <w:p>
            <w:pPr>
              <w:pStyle w:val="Compact"/>
              <w:jc w:val="left"/>
            </w:pPr>
            <w:r>
              <w:rPr>
                <w:b/>
                <w:bCs/>
              </w:rPr>
              <w:t xml:space="preserve">Licensed technology</w:t>
            </w:r>
          </w:p>
        </w:tc>
        <w:tc>
          <w:tcPr/>
          <w:p>
            <w:pPr>
              <w:pStyle w:val="Compact"/>
              <w:jc w:val="left"/>
            </w:pPr>
            <w:r>
              <w:t xml:space="preserve">PredictIQ — cloud-native SaaS platform combining IoT sensor integration with proprietary ML algorithms for predictive maintenance in heavy manufacturing.</w:t>
            </w:r>
          </w:p>
        </w:tc>
      </w:tr>
      <w:tr>
        <w:tc>
          <w:tcPr/>
          <w:p>
            <w:pPr>
              <w:pStyle w:val="Compact"/>
              <w:jc w:val="left"/>
            </w:pPr>
            <w:r>
              <w:rPr>
                <w:b/>
                <w:bCs/>
              </w:rPr>
              <w:t xml:space="preserve">Purpose</w:t>
            </w:r>
          </w:p>
        </w:tc>
        <w:tc>
          <w:tcPr/>
          <w:p>
            <w:pPr>
              <w:pStyle w:val="Compact"/>
              <w:jc w:val="left"/>
            </w:pPr>
            <w:r>
              <w:t xml:space="preserve">Integration into KBI’s</w:t>
            </w:r>
            <w:r>
              <w:t xml:space="preserve"> </w:t>
            </w:r>
            <w:r>
              <w:t xml:space="preserve">“</w:t>
            </w:r>
            <w:r>
              <w:t xml:space="preserve">SmartFactory 2030</w:t>
            </w:r>
            <w:r>
              <w:t xml:space="preserve">”</w:t>
            </w:r>
            <w:r>
              <w:t xml:space="preserve"> </w:t>
            </w:r>
            <w:r>
              <w:t xml:space="preserve">initiative; target 40% reduction in unplanned downtime across European operations.</w:t>
            </w:r>
          </w:p>
        </w:tc>
      </w:tr>
      <w:tr>
        <w:tc>
          <w:tcPr/>
          <w:p>
            <w:pPr>
              <w:pStyle w:val="Compact"/>
              <w:jc w:val="left"/>
            </w:pPr>
            <w:r>
              <w:rPr>
                <w:b/>
                <w:bCs/>
              </w:rPr>
              <w:t xml:space="preserve">Structure</w:t>
            </w:r>
          </w:p>
        </w:tc>
        <w:tc>
          <w:tcPr/>
          <w:p>
            <w:pPr>
              <w:pStyle w:val="Compact"/>
              <w:jc w:val="left"/>
            </w:pPr>
            <w:r>
              <w:t xml:space="preserve">(i) Perpetual, non-exclusive technology license; (ii) 18-month implementation; (iii) SaaS subscription for the cloud analytics engine; (iv) on-premises edge-deployment license.</w:t>
            </w:r>
          </w:p>
        </w:tc>
      </w:tr>
      <w:tr>
        <w:tc>
          <w:tcPr/>
          <w:p>
            <w:pPr>
              <w:pStyle w:val="Compact"/>
              <w:jc w:val="left"/>
            </w:pPr>
            <w:r>
              <w:rPr>
                <w:b/>
                <w:bCs/>
              </w:rPr>
              <w:t xml:space="preserve">Deployment scope</w:t>
            </w:r>
          </w:p>
        </w:tc>
        <w:tc>
          <w:tcPr/>
          <w:p>
            <w:pPr>
              <w:pStyle w:val="Compact"/>
              <w:jc w:val="left"/>
            </w:pPr>
            <w:r>
              <w:t xml:space="preserve">Up to 43 manufacturing facilities across 12 European countries, with a 5-year right to expand to newly acquired facilities on the same per-facility terms.</w:t>
            </w:r>
          </w:p>
        </w:tc>
      </w:tr>
      <w:tr>
        <w:tc>
          <w:tcPr/>
          <w:p>
            <w:pPr>
              <w:pStyle w:val="Compact"/>
              <w:jc w:val="left"/>
            </w:pPr>
            <w:r>
              <w:rPr>
                <w:b/>
                <w:bCs/>
              </w:rPr>
              <w:t xml:space="preserve">Whitmore IP backdrop</w:t>
            </w:r>
          </w:p>
        </w:tc>
        <w:tc>
          <w:tcPr/>
          <w:p>
            <w:pPr>
              <w:pStyle w:val="Compact"/>
              <w:jc w:val="left"/>
            </w:pPr>
            <w:r>
              <w:t xml:space="preserve">14 issued U.S. utility patents and 3 pending PCT applications covering PredictIQ’s core algorithms.</w:t>
            </w:r>
          </w:p>
        </w:tc>
      </w:tr>
      <w:tr>
        <w:tc>
          <w:tcPr/>
          <w:p>
            <w:pPr>
              <w:pStyle w:val="Compact"/>
              <w:jc w:val="left"/>
            </w:pPr>
            <w:r>
              <w:rPr>
                <w:b/>
                <w:bCs/>
              </w:rPr>
              <w:t xml:space="preserve">Whitmore background</w:t>
            </w:r>
          </w:p>
        </w:tc>
        <w:tc>
          <w:tcPr/>
          <w:p>
            <w:pPr>
              <w:pStyle w:val="Compact"/>
              <w:jc w:val="left"/>
            </w:pPr>
            <w:r>
              <w:t xml:space="preserve">Founded 2017 (per CEO); FY 2024 revenue ~$47.3M; potential Series C round with Hollcroft Ventures (per internal emails).</w:t>
            </w:r>
          </w:p>
        </w:tc>
      </w:tr>
      <w:tr>
        <w:tc>
          <w:tcPr/>
          <w:p>
            <w:pPr>
              <w:pStyle w:val="Compact"/>
              <w:jc w:val="left"/>
            </w:pPr>
            <w:r>
              <w:rPr>
                <w:b/>
                <w:bCs/>
              </w:rPr>
              <w:t xml:space="preserve">KBI backdrop</w:t>
            </w:r>
          </w:p>
        </w:tc>
        <w:tc>
          <w:tcPr/>
          <w:p>
            <w:pPr>
              <w:pStyle w:val="Compact"/>
              <w:jc w:val="left"/>
            </w:pPr>
            <w:r>
              <w:t xml:space="preserve">Global industrial conglomerate; €8.2 billion annual revenue; 43 facilities across 12 European countries.</w:t>
            </w:r>
          </w:p>
        </w:tc>
      </w:tr>
      <w:tr>
        <w:tc>
          <w:tcPr/>
          <w:p>
            <w:pPr>
              <w:pStyle w:val="Compact"/>
              <w:jc w:val="left"/>
            </w:pPr>
            <w:r>
              <w:rPr>
                <w:b/>
                <w:bCs/>
              </w:rPr>
              <w:t xml:space="preserve">Targeted execution</w:t>
            </w:r>
          </w:p>
        </w:tc>
        <w:tc>
          <w:tcPr/>
          <w:p>
            <w:pPr>
              <w:pStyle w:val="Compact"/>
              <w:jc w:val="left"/>
            </w:pPr>
            <w:r>
              <w:t xml:space="preserve">August 15, 2025.</w:t>
            </w:r>
          </w:p>
        </w:tc>
      </w:tr>
      <w:tr>
        <w:tc>
          <w:tcPr/>
          <w:p>
            <w:pPr>
              <w:pStyle w:val="Compact"/>
              <w:jc w:val="left"/>
            </w:pPr>
            <w:r>
              <w:rPr>
                <w:b/>
                <w:bCs/>
              </w:rPr>
              <w:t xml:space="preserve">Response deadline</w:t>
            </w:r>
          </w:p>
        </w:tc>
        <w:tc>
          <w:tcPr/>
          <w:p>
            <w:pPr>
              <w:pStyle w:val="Compact"/>
              <w:jc w:val="left"/>
            </w:pPr>
            <w:r>
              <w:t xml:space="preserve">June 23, 2025 (requested by KBI).</w:t>
            </w:r>
          </w:p>
        </w:tc>
      </w:tr>
      <w:tr>
        <w:tc>
          <w:tcPr/>
          <w:p>
            <w:pPr>
              <w:pStyle w:val="Compact"/>
              <w:jc w:val="left"/>
            </w:pPr>
            <w:r>
              <w:rPr>
                <w:b/>
                <w:bCs/>
              </w:rPr>
              <w:t xml:space="preserve">Board meeting</w:t>
            </w:r>
          </w:p>
        </w:tc>
        <w:tc>
          <w:tcPr/>
          <w:p>
            <w:pPr>
              <w:pStyle w:val="Compact"/>
              <w:jc w:val="left"/>
            </w:pPr>
            <w:r>
              <w:t xml:space="preserve">June 18, 2025 (Whitmore).</w:t>
            </w:r>
          </w:p>
        </w:tc>
      </w:tr>
    </w:tbl>
    <w:bookmarkEnd w:id="23"/>
    <w:bookmarkStart w:id="27" w:name="iv.-key-commercial-terms"/>
    <w:p>
      <w:pPr>
        <w:pStyle w:val="Heading2"/>
      </w:pPr>
      <w:r>
        <w:t xml:space="preserve">IV. Key Commercial Terms</w:t>
      </w:r>
    </w:p>
    <w:bookmarkStart w:id="24" w:name="a.-fees-section-5"/>
    <w:p>
      <w:pPr>
        <w:pStyle w:val="Heading3"/>
      </w:pPr>
      <w:r>
        <w:t xml:space="preserve">A. Fees (Section 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Amount</w:t>
            </w:r>
          </w:p>
        </w:tc>
        <w:tc>
          <w:tcPr/>
          <w:p>
            <w:pPr>
              <w:pStyle w:val="Compact"/>
              <w:jc w:val="left"/>
            </w:pPr>
            <w:r>
              <w:t xml:space="preserve">Timing / structure</w:t>
            </w:r>
          </w:p>
        </w:tc>
      </w:tr>
      <w:tr>
        <w:tc>
          <w:tcPr/>
          <w:p>
            <w:pPr>
              <w:pStyle w:val="Compact"/>
              <w:jc w:val="left"/>
            </w:pPr>
            <w:r>
              <w:rPr>
                <w:b/>
                <w:bCs/>
              </w:rPr>
              <w:t xml:space="preserve">Initial License Fee</w:t>
            </w:r>
          </w:p>
        </w:tc>
        <w:tc>
          <w:tcPr/>
          <w:p>
            <w:pPr>
              <w:pStyle w:val="Compact"/>
              <w:jc w:val="left"/>
            </w:pPr>
            <w:r>
              <w:t xml:space="preserve">$4,200,000</w:t>
            </w:r>
          </w:p>
        </w:tc>
        <w:tc>
          <w:tcPr/>
          <w:p>
            <w:pPr>
              <w:pStyle w:val="Compact"/>
              <w:jc w:val="left"/>
            </w:pPr>
            <w:r>
              <w:t xml:space="preserve">30% ($1,260,000) on execution; 40% ($1,680,000) on Phase 1 completion (target Mar. 15, 2026); 30% ($1,260,000) on Phase 2 go-live (target Mar. 15, 2027).</w:t>
            </w:r>
          </w:p>
        </w:tc>
      </w:tr>
      <w:tr>
        <w:tc>
          <w:tcPr/>
          <w:p>
            <w:pPr>
              <w:pStyle w:val="Compact"/>
              <w:jc w:val="left"/>
            </w:pPr>
            <w:r>
              <w:rPr>
                <w:b/>
                <w:bCs/>
              </w:rPr>
              <w:t xml:space="preserve">Annual SaaS Subscription</w:t>
            </w:r>
          </w:p>
        </w:tc>
        <w:tc>
          <w:tcPr/>
          <w:p>
            <w:pPr>
              <w:pStyle w:val="Compact"/>
              <w:jc w:val="left"/>
            </w:pPr>
            <w:r>
              <w:t xml:space="preserve">$2,850,000/yr (Yrs 1–3)</w:t>
            </w:r>
          </w:p>
        </w:tc>
        <w:tc>
          <w:tcPr/>
          <w:p>
            <w:pPr>
              <w:pStyle w:val="Compact"/>
              <w:jc w:val="left"/>
            </w:pPr>
            <w:r>
              <w:t xml:space="preserve">Quarterly in advance ($712,500/qtr). +3% p.a. from Year 4 (Yr 4: $2,935,500; Yr 5: $3,023,565).</w:t>
            </w:r>
          </w:p>
        </w:tc>
      </w:tr>
      <w:tr>
        <w:tc>
          <w:tcPr/>
          <w:p>
            <w:pPr>
              <w:pStyle w:val="Compact"/>
              <w:jc w:val="left"/>
            </w:pPr>
            <w:r>
              <w:rPr>
                <w:b/>
                <w:bCs/>
              </w:rPr>
              <w:t xml:space="preserve">Implementation Services</w:t>
            </w:r>
          </w:p>
        </w:tc>
        <w:tc>
          <w:tcPr/>
          <w:p>
            <w:pPr>
              <w:pStyle w:val="Compact"/>
              <w:jc w:val="left"/>
            </w:pPr>
            <w:r>
              <w:t xml:space="preserve">$1,750,000</w:t>
            </w:r>
          </w:p>
        </w:tc>
        <w:tc>
          <w:tcPr/>
          <w:p>
            <w:pPr>
              <w:pStyle w:val="Compact"/>
              <w:jc w:val="left"/>
            </w:pPr>
            <w:r>
              <w:t xml:space="preserve">Equal monthly installments over 18 months ($97,222.22/month).</w:t>
            </w:r>
          </w:p>
        </w:tc>
      </w:tr>
      <w:tr>
        <w:tc>
          <w:tcPr/>
          <w:p>
            <w:pPr>
              <w:pStyle w:val="Compact"/>
              <w:jc w:val="left"/>
            </w:pPr>
            <w:r>
              <w:rPr>
                <w:b/>
                <w:bCs/>
              </w:rPr>
              <w:t xml:space="preserve">Annual Maintenance &amp; Support</w:t>
            </w:r>
          </w:p>
        </w:tc>
        <w:tc>
          <w:tcPr/>
          <w:p>
            <w:pPr>
              <w:pStyle w:val="Compact"/>
              <w:jc w:val="left"/>
            </w:pPr>
            <w:r>
              <w:t xml:space="preserve">$756,000/yr (Yr 1)</w:t>
            </w:r>
          </w:p>
        </w:tc>
        <w:tc>
          <w:tcPr/>
          <w:p>
            <w:pPr>
              <w:pStyle w:val="Compact"/>
              <w:jc w:val="left"/>
            </w:pPr>
            <w:r>
              <w:t xml:space="preserve">18% of Initial License Fee; +4% p.a. from Year 2 (Yr 2: $786,240; Yr 3: $817,689.60). Payable annually in advance.</w:t>
            </w:r>
          </w:p>
        </w:tc>
      </w:tr>
      <w:tr>
        <w:tc>
          <w:tcPr/>
          <w:p>
            <w:pPr>
              <w:pStyle w:val="Compact"/>
              <w:jc w:val="left"/>
            </w:pPr>
            <w:r>
              <w:rPr>
                <w:b/>
                <w:bCs/>
              </w:rPr>
              <w:t xml:space="preserve">Currency / terms</w:t>
            </w:r>
          </w:p>
        </w:tc>
        <w:tc>
          <w:tcPr/>
          <w:p>
            <w:pPr>
              <w:pStyle w:val="Compact"/>
              <w:jc w:val="left"/>
            </w:pPr>
            <w:r>
              <w:t xml:space="preserve">U.S. Dollars</w:t>
            </w:r>
          </w:p>
        </w:tc>
        <w:tc>
          <w:tcPr/>
          <w:p>
            <w:pPr>
              <w:pStyle w:val="Compact"/>
              <w:jc w:val="left"/>
            </w:pPr>
            <w:r>
              <w:t xml:space="preserve">Net 30 days from invoice; late interest 1.5%/month or the legal maximum, whichever is less.</w:t>
            </w:r>
          </w:p>
        </w:tc>
      </w:tr>
      <w:tr>
        <w:tc>
          <w:tcPr/>
          <w:p>
            <w:pPr>
              <w:pStyle w:val="Compact"/>
              <w:jc w:val="left"/>
            </w:pPr>
            <w:r>
              <w:rPr>
                <w:b/>
                <w:bCs/>
              </w:rPr>
              <w:t xml:space="preserve">Taxes</w:t>
            </w:r>
          </w:p>
        </w:tc>
        <w:tc>
          <w:tcPr/>
          <w:p>
            <w:pPr>
              <w:pStyle w:val="Compact"/>
              <w:jc w:val="left"/>
            </w:pPr>
            <w:r>
              <w:t xml:space="preserve">Exclusive of taxes</w:t>
            </w:r>
          </w:p>
        </w:tc>
        <w:tc>
          <w:tcPr/>
          <w:p>
            <w:pPr>
              <w:pStyle w:val="Compact"/>
              <w:jc w:val="left"/>
            </w:pPr>
            <w:r>
              <w:t xml:space="preserve">KBI bears sales/use/VAT and similar taxes (excluding Whitmore’s income taxes).</w:t>
            </w:r>
          </w:p>
        </w:tc>
      </w:tr>
      <w:tr>
        <w:tc>
          <w:tcPr/>
          <w:p>
            <w:pPr>
              <w:pStyle w:val="Compact"/>
              <w:jc w:val="left"/>
            </w:pPr>
            <w:r>
              <w:rPr>
                <w:b/>
                <w:bCs/>
              </w:rPr>
              <w:t xml:space="preserve">Expansion pricing</w:t>
            </w:r>
          </w:p>
        </w:tc>
        <w:tc>
          <w:tcPr/>
          <w:p>
            <w:pPr>
              <w:pStyle w:val="Compact"/>
              <w:jc w:val="left"/>
            </w:pPr>
            <w:r>
              <w:t xml:space="preserve">Same per-facility terms</w:t>
            </w:r>
          </w:p>
        </w:tc>
        <w:tc>
          <w:tcPr/>
          <w:p>
            <w:pPr>
              <w:pStyle w:val="Compact"/>
              <w:jc w:val="left"/>
            </w:pPr>
            <w:r>
              <w:t xml:space="preserve">No additional license fee; pro rata based on 43 facilities, for 5 years post-execution.</w:t>
            </w:r>
          </w:p>
        </w:tc>
      </w:tr>
      <w:tr>
        <w:tc>
          <w:tcPr/>
          <w:p>
            <w:pPr>
              <w:pStyle w:val="Compact"/>
              <w:jc w:val="left"/>
            </w:pPr>
            <w:r>
              <w:rPr>
                <w:b/>
                <w:bCs/>
              </w:rPr>
              <w:t xml:space="preserve">First-year total</w:t>
            </w:r>
          </w:p>
        </w:tc>
        <w:tc>
          <w:tcPr/>
          <w:p>
            <w:pPr>
              <w:pStyle w:val="Compact"/>
              <w:jc w:val="left"/>
            </w:pPr>
            <w:r>
              <w:rPr>
                <w:b/>
                <w:bCs/>
              </w:rPr>
              <w:t xml:space="preserve">~$9,556,000</w:t>
            </w:r>
          </w:p>
        </w:tc>
        <w:tc>
          <w:tcPr/>
          <w:p>
            <w:pPr>
              <w:pStyle w:val="Compact"/>
              <w:jc w:val="left"/>
            </w:pPr>
            <w:r>
              <w:t xml:space="preserve">Sum of the four components above (~20% of Whitmore’s FY 2024 revenue of $47.3M).</w:t>
            </w:r>
          </w:p>
        </w:tc>
      </w:tr>
    </w:tbl>
    <w:bookmarkEnd w:id="24"/>
    <w:bookmarkStart w:id="25" w:name="b.-key-milestones-sections-1-6"/>
    <w:p>
      <w:pPr>
        <w:pStyle w:val="Heading3"/>
      </w:pPr>
      <w:r>
        <w:t xml:space="preserve">B. Key Milestones (Sections 1,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Definitive agreement execution</w:t>
            </w:r>
          </w:p>
        </w:tc>
        <w:tc>
          <w:tcPr/>
          <w:p>
            <w:pPr>
              <w:pStyle w:val="Compact"/>
              <w:jc w:val="left"/>
            </w:pPr>
            <w:r>
              <w:t xml:space="preserve">August 15, 2025</w:t>
            </w:r>
          </w:p>
        </w:tc>
      </w:tr>
      <w:tr>
        <w:tc>
          <w:tcPr/>
          <w:p>
            <w:pPr>
              <w:pStyle w:val="Compact"/>
              <w:jc w:val="left"/>
            </w:pPr>
            <w:r>
              <w:t xml:space="preserve">Phase 1 implementation start</w:t>
            </w:r>
          </w:p>
        </w:tc>
        <w:tc>
          <w:tcPr/>
          <w:p>
            <w:pPr>
              <w:pStyle w:val="Compact"/>
              <w:jc w:val="left"/>
            </w:pPr>
            <w:r>
              <w:t xml:space="preserve">September 15, 2025</w:t>
            </w:r>
          </w:p>
        </w:tc>
      </w:tr>
      <w:tr>
        <w:tc>
          <w:tcPr/>
          <w:p>
            <w:pPr>
              <w:pStyle w:val="Compact"/>
              <w:jc w:val="left"/>
            </w:pPr>
            <w:r>
              <w:t xml:space="preserve">Phase 1 completion (10 pilot facilities)</w:t>
            </w:r>
          </w:p>
        </w:tc>
        <w:tc>
          <w:tcPr/>
          <w:p>
            <w:pPr>
              <w:pStyle w:val="Compact"/>
              <w:jc w:val="left"/>
            </w:pPr>
            <w:r>
              <w:t xml:space="preserve">March 15, 2026 (Month 6)</w:t>
            </w:r>
          </w:p>
        </w:tc>
      </w:tr>
      <w:tr>
        <w:tc>
          <w:tcPr/>
          <w:p>
            <w:pPr>
              <w:pStyle w:val="Compact"/>
              <w:jc w:val="left"/>
            </w:pPr>
            <w:r>
              <w:t xml:space="preserve">Phase 2 go-live (remaining 33 facilities)</w:t>
            </w:r>
          </w:p>
        </w:tc>
        <w:tc>
          <w:tcPr/>
          <w:p>
            <w:pPr>
              <w:pStyle w:val="Compact"/>
              <w:jc w:val="left"/>
            </w:pPr>
            <w:r>
              <w:t xml:space="preserve">March 15, 2027 (Month 18)</w:t>
            </w:r>
          </w:p>
        </w:tc>
      </w:tr>
      <w:tr>
        <w:tc>
          <w:tcPr/>
          <w:p>
            <w:pPr>
              <w:pStyle w:val="Compact"/>
              <w:jc w:val="left"/>
            </w:pPr>
            <w:r>
              <w:t xml:space="preserve">Maintenance &amp; support commencement</w:t>
            </w:r>
          </w:p>
        </w:tc>
        <w:tc>
          <w:tcPr/>
          <w:p>
            <w:pPr>
              <w:pStyle w:val="Compact"/>
              <w:jc w:val="left"/>
            </w:pPr>
            <w:r>
              <w:t xml:space="preserve">Phase 1 go-live</w:t>
            </w:r>
          </w:p>
        </w:tc>
      </w:tr>
    </w:tbl>
    <w:bookmarkEnd w:id="25"/>
    <w:bookmarkStart w:id="26" w:name="c.-term-and-termination-section-13"/>
    <w:p>
      <w:pPr>
        <w:pStyle w:val="Heading3"/>
      </w:pPr>
      <w:r>
        <w:t xml:space="preserve">C. Term and Termination (Section 13)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Term</w:t>
            </w:r>
          </w:p>
        </w:tc>
      </w:tr>
      <w:tr>
        <w:tc>
          <w:tcPr/>
          <w:p>
            <w:pPr>
              <w:pStyle w:val="Compact"/>
              <w:jc w:val="left"/>
            </w:pPr>
            <w:r>
              <w:rPr>
                <w:b/>
                <w:bCs/>
              </w:rPr>
              <w:t xml:space="preserve">Term</w:t>
            </w:r>
          </w:p>
        </w:tc>
        <w:tc>
          <w:tcPr/>
          <w:p>
            <w:pPr>
              <w:pStyle w:val="Compact"/>
              <w:jc w:val="left"/>
            </w:pPr>
            <w:r>
              <w:t xml:space="preserve">Perpetual, subject to termination.</w:t>
            </w:r>
          </w:p>
        </w:tc>
      </w:tr>
      <w:tr>
        <w:tc>
          <w:tcPr/>
          <w:p>
            <w:pPr>
              <w:pStyle w:val="Compact"/>
              <w:jc w:val="left"/>
            </w:pPr>
            <w:r>
              <w:rPr>
                <w:b/>
                <w:bCs/>
              </w:rPr>
              <w:t xml:space="preserve">Termination for cause</w:t>
            </w:r>
          </w:p>
        </w:tc>
        <w:tc>
          <w:tcPr/>
          <w:p>
            <w:pPr>
              <w:pStyle w:val="Compact"/>
              <w:jc w:val="left"/>
            </w:pPr>
            <w:r>
              <w:t xml:space="preserve">90 days’ notice after 60-day uncured material breach.</w:t>
            </w:r>
          </w:p>
        </w:tc>
      </w:tr>
      <w:tr>
        <w:tc>
          <w:tcPr/>
          <w:p>
            <w:pPr>
              <w:pStyle w:val="Compact"/>
              <w:jc w:val="left"/>
            </w:pPr>
            <w:r>
              <w:rPr>
                <w:b/>
                <w:bCs/>
              </w:rPr>
              <w:t xml:space="preserve">Termination for convenience</w:t>
            </w:r>
          </w:p>
        </w:tc>
        <w:tc>
          <w:tcPr/>
          <w:p>
            <w:pPr>
              <w:pStyle w:val="Compact"/>
              <w:jc w:val="left"/>
            </w:pPr>
            <w:r>
              <w:t xml:space="preserve">KBI only — 12 months’ notice, not earlier than the 3rd anniversary.</w:t>
            </w:r>
          </w:p>
        </w:tc>
      </w:tr>
      <w:tr>
        <w:tc>
          <w:tcPr/>
          <w:p>
            <w:pPr>
              <w:pStyle w:val="Compact"/>
              <w:jc w:val="left"/>
            </w:pPr>
            <w:r>
              <w:rPr>
                <w:b/>
                <w:bCs/>
              </w:rPr>
              <w:t xml:space="preserve">Termination for performance failure</w:t>
            </w:r>
          </w:p>
        </w:tc>
        <w:tc>
          <w:tcPr/>
          <w:p>
            <w:pPr>
              <w:pStyle w:val="Compact"/>
              <w:jc w:val="left"/>
            </w:pPr>
            <w:r>
              <w:t xml:space="preserve">KBI only — if prediction accuracy &lt; 85% for 2 consecutive quarters, on 30 days’ notice.</w:t>
            </w:r>
          </w:p>
        </w:tc>
      </w:tr>
      <w:tr>
        <w:tc>
          <w:tcPr/>
          <w:p>
            <w:pPr>
              <w:pStyle w:val="Compact"/>
              <w:jc w:val="left"/>
            </w:pPr>
            <w:r>
              <w:rPr>
                <w:b/>
                <w:bCs/>
              </w:rPr>
              <w:t xml:space="preserve">Wind-down license</w:t>
            </w:r>
          </w:p>
        </w:tc>
        <w:tc>
          <w:tcPr/>
          <w:p>
            <w:pPr>
              <w:pStyle w:val="Compact"/>
              <w:jc w:val="left"/>
            </w:pPr>
            <w:r>
              <w:t xml:space="preserve">On any termination/expiration (including KBI convenience), KBI retains a</w:t>
            </w:r>
            <w:r>
              <w:t xml:space="preserve"> </w:t>
            </w:r>
            <w:r>
              <w:rPr>
                <w:b/>
                <w:bCs/>
              </w:rPr>
              <w:t xml:space="preserve">perpetual, non-exclusive, irrevocable</w:t>
            </w:r>
            <w:r>
              <w:t xml:space="preserve"> </w:t>
            </w:r>
            <w:r>
              <w:t xml:space="preserve">license to the deployed version, subject to continued payment of the Annual Maintenance Fee.</w:t>
            </w:r>
          </w:p>
        </w:tc>
      </w:tr>
      <w:tr>
        <w:tc>
          <w:tcPr/>
          <w:p>
            <w:pPr>
              <w:pStyle w:val="Compact"/>
              <w:jc w:val="left"/>
            </w:pPr>
            <w:r>
              <w:rPr>
                <w:b/>
                <w:bCs/>
              </w:rPr>
              <w:t xml:space="preserve">Refunds</w:t>
            </w:r>
          </w:p>
        </w:tc>
        <w:tc>
          <w:tcPr/>
          <w:p>
            <w:pPr>
              <w:pStyle w:val="Compact"/>
              <w:jc w:val="left"/>
            </w:pPr>
            <w:r>
              <w:t xml:space="preserve">Fees paid are non-refundable.</w:t>
            </w:r>
          </w:p>
        </w:tc>
      </w:tr>
    </w:tbl>
    <w:bookmarkEnd w:id="26"/>
    <w:bookmarkEnd w:id="27"/>
    <w:bookmarkStart w:id="28" w:name="X30e802e166dc5875fb6540127bcf6efcafc99ae"/>
    <w:p>
      <w:pPr>
        <w:pStyle w:val="Heading2"/>
      </w:pPr>
      <w:r>
        <w:t xml:space="preserve">V. Key-Terms Extraction (Section-by-Section)</w:t>
      </w:r>
    </w:p>
    <w:p>
      <w:pPr>
        <w:pStyle w:val="FirstParagraph"/>
      </w:pPr>
      <w:r>
        <w:t xml:space="preserve">The following is a structured extraction of the principal terms of each section of the term sheet and the side letter. Risk flags are cross-referenced to Section VI.</w:t>
      </w:r>
    </w:p>
    <w:p>
      <w:pPr>
        <w:pStyle w:val="BodyText"/>
      </w:pPr>
      <w:r>
        <w:rPr>
          <w:b/>
          <w:bCs/>
        </w:rPr>
        <w:t xml:space="preserve">Section 1 — Transaction Overview.</w:t>
      </w:r>
      <w:r>
        <w:t xml:space="preserve"> </w:t>
      </w:r>
      <w:r>
        <w:t xml:space="preserve">Identifies the parties, the PredictIQ platform (Exhibit A), the SmartFactory 2030 purpose, the four-part transaction structure, deployment at up to 43 facilities in 12 countries, a 5-year expansion right to newly acquired facilities, key milestones, and the parties’ backgrounds.</w:t>
      </w:r>
    </w:p>
    <w:p>
      <w:pPr>
        <w:pStyle w:val="BodyText"/>
      </w:pPr>
      <w:r>
        <w:rPr>
          <w:b/>
          <w:bCs/>
        </w:rPr>
        <w:t xml:space="preserve">Section 2 — License Grant.</w:t>
      </w:r>
      <w:r>
        <w:t xml:space="preserve"> </w:t>
      </w:r>
      <w:r>
        <w:t xml:space="preserve">Perpetual, non-exclusive, worldwide license to use, execute, display, and operate PredictIQ (software, algorithms, documentation, APIs, edge modules) for KBI’s manufacturing operations. Covers both the cloud SaaS engine and on-premises edge modules. Authorized users include KBI employees, contractors, and agents. No sublicensing to third parties, except that KBI’s controlled affiliates and subcontractors performing services at KBI facilities may access PredictIQ.</w:t>
      </w:r>
      <w:r>
        <w:t xml:space="preserve"> </w:t>
      </w:r>
      <w:r>
        <w:rPr>
          <w:b/>
          <w:bCs/>
        </w:rPr>
        <w:t xml:space="preserve">Derivative works:</w:t>
      </w:r>
      <w:r>
        <w:t xml:space="preserve"> </w:t>
      </w:r>
      <w:r>
        <w:t xml:space="preserve">KBI may create derivative works from the API layer for MES/SCADA integration; any such derivative works are</w:t>
      </w:r>
      <w:r>
        <w:t xml:space="preserve"> </w:t>
      </w:r>
      <w:r>
        <w:rPr>
          <w:b/>
          <w:bCs/>
        </w:rPr>
        <w:t xml:space="preserve">jointly owned</w:t>
      </w:r>
      <w:r>
        <w:t xml:space="preserve"> </w:t>
      </w:r>
      <w:r>
        <w:t xml:space="preserve">by KBI and Whitmore, each with the unrestricted right to use, modify, sublicense, and exploit without consent or accounting. 5-year expansion right at the same per-facility terms. Restrictions: no reverse engineering (except as permitted by law), no use for third-party benefit, no removal of proprietary notices.</w:t>
      </w:r>
      <w:r>
        <w:t xml:space="preserve"> </w:t>
      </w:r>
      <w:r>
        <w:rPr>
          <w:i/>
          <w:iCs/>
        </w:rPr>
        <w:t xml:space="preserve">(See Risk Flags M-1, M-4.)</w:t>
      </w:r>
    </w:p>
    <w:p>
      <w:pPr>
        <w:pStyle w:val="BodyText"/>
      </w:pPr>
      <w:r>
        <w:rPr>
          <w:b/>
          <w:bCs/>
        </w:rPr>
        <w:t xml:space="preserve">Section 3 — IP Ownership.</w:t>
      </w:r>
      <w:r>
        <w:t xml:space="preserve"> </w:t>
      </w:r>
      <w:r>
        <w:t xml:space="preserve">(3.1) Whitmore retains all IP in PredictIQ (software, algorithms, models, source/object code, documentation, patents, trade secrets). (3.2) KBI retains IP in its MES, SCADA, and operational data. (3.3) Derivative works from the API layer are jointly owned with unrestricted exploitation by either party. (3.4)</w:t>
      </w:r>
      <w:r>
        <w:t xml:space="preserve"> </w:t>
      </w:r>
      <w:r>
        <w:rPr>
          <w:b/>
          <w:bCs/>
        </w:rPr>
        <w:t xml:space="preserve">Feedback</w:t>
      </w:r>
      <w:r>
        <w:t xml:space="preserve"> </w:t>
      </w:r>
      <w:r>
        <w:t xml:space="preserve">— all suggestions, ideas, enhancement requests, recommendations, and improvements communicated by KBI become the</w:t>
      </w:r>
      <w:r>
        <w:t xml:space="preserve"> </w:t>
      </w:r>
      <w:r>
        <w:rPr>
          <w:b/>
          <w:bCs/>
        </w:rPr>
        <w:t xml:space="preserve">sole and exclusive property of Whitmore</w:t>
      </w:r>
      <w:r>
        <w:t xml:space="preserve">, with KBI assigning all rights. (3.5)</w:t>
      </w:r>
      <w:r>
        <w:t xml:space="preserve"> </w:t>
      </w:r>
      <w:r>
        <w:rPr>
          <w:b/>
          <w:bCs/>
        </w:rPr>
        <w:t xml:space="preserve">KBI-Inspired Improvements</w:t>
      </w:r>
      <w:r>
        <w:t xml:space="preserve"> </w:t>
      </w:r>
      <w:r>
        <w:t xml:space="preserve">— improvements Whitmore develops that are derived from or inspired by KBI’s data, processes, or use are licensed back to KBI on a</w:t>
      </w:r>
      <w:r>
        <w:t xml:space="preserve"> </w:t>
      </w:r>
      <w:r>
        <w:rPr>
          <w:b/>
          <w:bCs/>
        </w:rPr>
        <w:t xml:space="preserve">perpetual, irrevocable, royalty-free, non-exclusive</w:t>
      </w:r>
      <w:r>
        <w:t xml:space="preserve"> </w:t>
      </w:r>
      <w:r>
        <w:t xml:space="preserve">basis for KBI’s manufacturing operations, regardless of whether developed in response to Feedback.</w:t>
      </w:r>
      <w:r>
        <w:t xml:space="preserve"> </w:t>
      </w:r>
      <w:r>
        <w:rPr>
          <w:i/>
          <w:iCs/>
        </w:rPr>
        <w:t xml:space="preserve">(See Risk Flags M-1, M-2.)</w:t>
      </w:r>
    </w:p>
    <w:p>
      <w:pPr>
        <w:pStyle w:val="BodyText"/>
      </w:pPr>
      <w:r>
        <w:rPr>
          <w:b/>
          <w:bCs/>
        </w:rPr>
        <w:t xml:space="preserve">Section 4 — Data Rights.</w:t>
      </w:r>
      <w:r>
        <w:t xml:space="preserve"> </w:t>
      </w:r>
      <w:r>
        <w:t xml:space="preserve">(4.1) KBI Data (all data input into or processed by PredictIQ) is owned by KBI. (4.2)</w:t>
      </w:r>
      <w:r>
        <w:t xml:space="preserve"> </w:t>
      </w:r>
      <w:r>
        <w:rPr>
          <w:b/>
          <w:bCs/>
        </w:rPr>
        <w:t xml:space="preserve">Output Data</w:t>
      </w:r>
      <w:r>
        <w:t xml:space="preserve"> </w:t>
      </w:r>
      <w:r>
        <w:t xml:space="preserve">— defined to include model weights, parameters, training artifacts, feature-importance rankings, and model-configuration data derived from KBI Data — is the</w:t>
      </w:r>
      <w:r>
        <w:t xml:space="preserve"> </w:t>
      </w:r>
      <w:r>
        <w:rPr>
          <w:b/>
          <w:bCs/>
        </w:rPr>
        <w:t xml:space="preserve">sole and exclusive property of KBI</w:t>
      </w:r>
      <w:r>
        <w:t xml:space="preserve">. (4.3) Whitmore may not use KBI Data or derived data to (a) train/tune/improve general-purpose ML models, (b) develop/improve products for third parties, or (c) create anonymized/aggregated/de-identified datasets; no anonymized or aggregated use without KBI’s prior written consent, which may be withheld in KBI’s sole discretion. (4.4) Return/deletion at KBI’s election on termination, with written certification. (4.5) Both parties to comply with GDPR and applicable German data-protection laws.</w:t>
      </w:r>
      <w:r>
        <w:t xml:space="preserve"> </w:t>
      </w:r>
      <w:r>
        <w:rPr>
          <w:i/>
          <w:iCs/>
        </w:rPr>
        <w:t xml:space="preserve">(See Risk Flags C-2, C-3.)</w:t>
      </w:r>
    </w:p>
    <w:p>
      <w:pPr>
        <w:pStyle w:val="BodyText"/>
      </w:pPr>
      <w:r>
        <w:rPr>
          <w:b/>
          <w:bCs/>
        </w:rPr>
        <w:t xml:space="preserve">Section 5 — Fees and Payment.</w:t>
      </w:r>
      <w:r>
        <w:t xml:space="preserve"> </w:t>
      </w:r>
      <w:r>
        <w:t xml:space="preserve">As set out in Section IV.A above. Notable: 30/40/30 license-fee split with the largest installment deferred to Phase 1 completion; linear monthly implementation billing; 4% annual maintenance escalation; 3% SaaS escalation from Year 4; expansion at the same per-facility terms with no additional license fee.</w:t>
      </w:r>
      <w:r>
        <w:t xml:space="preserve"> </w:t>
      </w:r>
      <w:r>
        <w:rPr>
          <w:i/>
          <w:iCs/>
        </w:rPr>
        <w:t xml:space="preserve">(See Risk Flags H-1, M-4, M-11.)</w:t>
      </w:r>
    </w:p>
    <w:p>
      <w:pPr>
        <w:pStyle w:val="BodyText"/>
      </w:pPr>
      <w:r>
        <w:rPr>
          <w:b/>
          <w:bCs/>
        </w:rPr>
        <w:t xml:space="preserve">Section 6 — Implementation Services.</w:t>
      </w:r>
      <w:r>
        <w:t xml:space="preserve"> </w:t>
      </w:r>
      <w:r>
        <w:t xml:space="preserve">Whitmore to deploy edge modules, integrate SCADA/MES, configure data ingestion, calibrate/train models on KBI historical data, train users, and conduct UAT at each facility. Phase 1: 10 pilot facilities (Months 1–6); Phase 2: remaining 33 facilities (Months 7–18). KBI to provide reasonable access, a project manager, and SCADA/MES systems meeting Whitmore’s published minimum requirements. Changes via written change orders.</w:t>
      </w:r>
      <w:r>
        <w:t xml:space="preserve"> </w:t>
      </w:r>
      <w:r>
        <w:rPr>
          <w:b/>
          <w:bCs/>
        </w:rPr>
        <w:t xml:space="preserve">Acceptance:</w:t>
      </w:r>
      <w:r>
        <w:t xml:space="preserve"> </w:t>
      </w:r>
      <w:r>
        <w:t xml:space="preserve">30-day UAT per facility; acceptance deemed granted if KBI does not give written notice of material non-conformance within the UAT period.</w:t>
      </w:r>
      <w:r>
        <w:t xml:space="preserve"> </w:t>
      </w:r>
      <w:r>
        <w:rPr>
          <w:i/>
          <w:iCs/>
        </w:rPr>
        <w:t xml:space="preserve">(See Risk Flag M-5.)</w:t>
      </w:r>
    </w:p>
    <w:p>
      <w:pPr>
        <w:pStyle w:val="BodyText"/>
      </w:pPr>
      <w:r>
        <w:rPr>
          <w:b/>
          <w:bCs/>
        </w:rPr>
        <w:t xml:space="preserve">Section 7 — Maintenance and Support.</w:t>
      </w:r>
      <w:r>
        <w:t xml:space="preserve"> </w:t>
      </w:r>
      <w:r>
        <w:t xml:space="preserve">Bug fixes, updates/patches, 24/7 support, and annual major upgrades. Service-level targets on a</w:t>
      </w:r>
      <w:r>
        <w:t xml:space="preserve"> </w:t>
      </w:r>
      <w:r>
        <w:rPr>
          <w:b/>
          <w:bCs/>
        </w:rPr>
        <w:t xml:space="preserve">“</w:t>
      </w:r>
      <w:r>
        <w:rPr>
          <w:b/>
          <w:bCs/>
        </w:rPr>
        <w:t xml:space="preserve">commercially reasonable efforts</w:t>
      </w:r>
      <w:r>
        <w:rPr>
          <w:b/>
          <w:bCs/>
        </w:rPr>
        <w:t xml:space="preserve">”</w:t>
      </w:r>
      <w:r>
        <w:t xml:space="preserve"> </w:t>
      </w:r>
      <w:r>
        <w:t xml:space="preserve">basis: Critical 4-hour response / 24-hour resolution; High 8-hour / 72-hour; Medium/Low 2 business days /</w:t>
      </w:r>
      <w:r>
        <w:t xml:space="preserve"> </w:t>
      </w:r>
      <w:r>
        <w:t xml:space="preserve">“</w:t>
      </w:r>
      <w:r>
        <w:t xml:space="preserve">as reasonably practicable.</w:t>
      </w:r>
      <w:r>
        <w:t xml:space="preserve">”</w:t>
      </w:r>
      <w:r>
        <w:t xml:space="preserve"> </w:t>
      </w:r>
      <w:r>
        <w:t xml:space="preserve">Fee $756,000/yr (+4% p.a.). Commences at Phase 1 go-live and continues for the license term. Whitmore may suspend for non-payment on 30 days’ notice.</w:t>
      </w:r>
      <w:r>
        <w:t xml:space="preserve"> </w:t>
      </w:r>
      <w:r>
        <w:rPr>
          <w:i/>
          <w:iCs/>
        </w:rPr>
        <w:t xml:space="preserve">(See Risk Flag M-6.)</w:t>
      </w:r>
    </w:p>
    <w:p>
      <w:pPr>
        <w:pStyle w:val="BodyText"/>
      </w:pPr>
      <w:r>
        <w:rPr>
          <w:b/>
          <w:bCs/>
        </w:rPr>
        <w:t xml:space="preserve">Section 8 — Warranties.</w:t>
      </w:r>
      <w:r>
        <w:t xml:space="preserve"> </w:t>
      </w:r>
      <w:r>
        <w:t xml:space="preserve">(8.1) Conformance warranty — PredictIQ performs materially in accordance with documentation for</w:t>
      </w:r>
      <w:r>
        <w:t xml:space="preserve"> </w:t>
      </w:r>
      <w:r>
        <w:rPr>
          <w:b/>
          <w:bCs/>
        </w:rPr>
        <w:t xml:space="preserve">24 months</w:t>
      </w:r>
      <w:r>
        <w:t xml:space="preserve"> </w:t>
      </w:r>
      <w:r>
        <w:t xml:space="preserve">from each facility’s go-live. (8.2)</w:t>
      </w:r>
      <w:r>
        <w:t xml:space="preserve"> </w:t>
      </w:r>
      <w:r>
        <w:rPr>
          <w:b/>
          <w:bCs/>
        </w:rPr>
        <w:t xml:space="preserve">Performance warranty</w:t>
      </w:r>
      <w:r>
        <w:t xml:space="preserve"> </w:t>
      </w:r>
      <w:r>
        <w:t xml:space="preserve">— 92% prediction accuracy on a rolling 90-day basis across all deployed facilities, where</w:t>
      </w:r>
      <w:r>
        <w:t xml:space="preserve"> </w:t>
      </w:r>
      <w:r>
        <w:t xml:space="preserve">“</w:t>
      </w:r>
      <w:r>
        <w:t xml:space="preserve">prediction accuracy</w:t>
      </w:r>
      <w:r>
        <w:t xml:space="preserve">”</w:t>
      </w:r>
      <w:r>
        <w:t xml:space="preserve"> </w:t>
      </w:r>
      <w:r>
        <w:t xml:space="preserve">is the percentage of equipment-failure events correctly predicted at least 48 hours in advance, measured against KBI’s maintenance logs. (8.3) Remedies — a credit of 5% of the quarterly SaaS fee ($35,625) per percentage point below 92%; and a right for KBI to terminate for cause if accuracy falls below 85% for two consecutive quarters. (8.4) IP warranty — Whitmore is owner/authorized licensee; non-infringement</w:t>
      </w:r>
      <w:r>
        <w:t xml:space="preserve"> </w:t>
      </w:r>
      <w:r>
        <w:t xml:space="preserve">“</w:t>
      </w:r>
      <w:r>
        <w:t xml:space="preserve">to Whitmore’s knowledge</w:t>
      </w:r>
      <w:r>
        <w:t xml:space="preserve">”</w:t>
      </w:r>
      <w:r>
        <w:t xml:space="preserve">; full authority to grant. (8.5) Disclaimer of all other warranties (merchantability, fitness, non-infringement).</w:t>
      </w:r>
      <w:r>
        <w:t xml:space="preserve"> </w:t>
      </w:r>
      <w:r>
        <w:rPr>
          <w:i/>
          <w:iCs/>
        </w:rPr>
        <w:t xml:space="preserve">(See Risk Flags H-2, H-3.)</w:t>
      </w:r>
    </w:p>
    <w:p>
      <w:pPr>
        <w:pStyle w:val="BodyText"/>
      </w:pPr>
      <w:r>
        <w:rPr>
          <w:b/>
          <w:bCs/>
        </w:rPr>
        <w:t xml:space="preserve">Section 9 — Indemnification.</w:t>
      </w:r>
      <w:r>
        <w:t xml:space="preserve"> </w:t>
      </w:r>
      <w:r>
        <w:t xml:space="preserve">(9.1)</w:t>
      </w:r>
      <w:r>
        <w:t xml:space="preserve"> </w:t>
      </w:r>
      <w:r>
        <w:rPr>
          <w:b/>
          <w:bCs/>
        </w:rPr>
        <w:t xml:space="preserve">Uncapped</w:t>
      </w:r>
      <w:r>
        <w:t xml:space="preserve"> </w:t>
      </w:r>
      <w:r>
        <w:t xml:space="preserve">IP indemnification by Whitmore for third-party infringement claims arising from KBI’s authorized use, expressly outside any liability cap. (9.2) Infringement remedies at Whitmore’s sole option: procure rights, modify, or replace. (9.3) KBI indemnifies Whitmore for unauthorized use and for KBI Data/proprietary-systems claims not arising from PredictIQ. (9.4) Procedures — prompt notice; sole control of defense and settlement to the indemnifying party; cooperation at the indemnifying party’s expense.</w:t>
      </w:r>
      <w:r>
        <w:t xml:space="preserve"> </w:t>
      </w:r>
      <w:r>
        <w:rPr>
          <w:i/>
          <w:iCs/>
        </w:rPr>
        <w:t xml:space="preserve">(See Risk Flags C-5, M-7.)</w:t>
      </w:r>
    </w:p>
    <w:p>
      <w:pPr>
        <w:pStyle w:val="BodyText"/>
      </w:pPr>
      <w:r>
        <w:rPr>
          <w:b/>
          <w:bCs/>
        </w:rPr>
        <w:t xml:space="preserve">Section 10 — Limitation of Liability.</w:t>
      </w:r>
      <w:r>
        <w:t xml:space="preserve"> </w:t>
      </w:r>
      <w:r>
        <w:t xml:space="preserve">(10.1) General cap — the greater of 2× fees paid in the 12 months preceding the event, or</w:t>
      </w:r>
      <w:r>
        <w:t xml:space="preserve"> </w:t>
      </w:r>
      <w:r>
        <w:rPr>
          <w:b/>
          <w:bCs/>
        </w:rPr>
        <w:t xml:space="preserve">$15,000,000</w:t>
      </w:r>
      <w:r>
        <w:t xml:space="preserve">. (10.2) Mutual exclusion of consequential/incidental/special/punitive damages (including lost profits, data, goodwill, business interruption). (10.3) Exceptions — caps do not apply to (A) Whitmore’s IP indemnification (Section 9.1), (B) confidentiality breaches (Section 15), or (C) willful misconduct/fraud.</w:t>
      </w:r>
      <w:r>
        <w:t xml:space="preserve"> </w:t>
      </w:r>
      <w:r>
        <w:rPr>
          <w:i/>
          <w:iCs/>
        </w:rPr>
        <w:t xml:space="preserve">(See Risk Flag H-4.)</w:t>
      </w:r>
    </w:p>
    <w:p>
      <w:pPr>
        <w:pStyle w:val="BodyText"/>
      </w:pPr>
      <w:r>
        <w:rPr>
          <w:b/>
          <w:bCs/>
        </w:rPr>
        <w:t xml:space="preserve">Section 11 — Source Code Escrow.</w:t>
      </w:r>
      <w:r>
        <w:t xml:space="preserve"> </w:t>
      </w:r>
      <w:r>
        <w:t xml:space="preserve">Within 60 days of execution, Whitmore deposits with Meridian Escrow Services LLC (San Jose, CA): (a) complete source code (all modules, libraries, and dependencies); (b) build tools, compilers, and scripts; (c) complete technical documentation; and (d) updated materials annually and on each major release.</w:t>
      </w:r>
      <w:r>
        <w:t xml:space="preserve"> </w:t>
      </w:r>
      <w:r>
        <w:rPr>
          <w:b/>
          <w:bCs/>
        </w:rPr>
        <w:t xml:space="preserve">Release conditions:</w:t>
      </w:r>
      <w:r>
        <w:t xml:space="preserve"> </w:t>
      </w:r>
      <w:r>
        <w:t xml:space="preserve">(a) Whitmore insolvency/bankruptcy; (b) material breach uncured for 60 days; (c) cessation of business; (d) failure to provide maintenance/support for 90 consecutive days.</w:t>
      </w:r>
      <w:r>
        <w:t xml:space="preserve"> </w:t>
      </w:r>
      <w:r>
        <w:rPr>
          <w:b/>
          <w:bCs/>
        </w:rPr>
        <w:t xml:space="preserve">Post-release license:</w:t>
      </w:r>
      <w:r>
        <w:t xml:space="preserve"> </w:t>
      </w:r>
      <w:r>
        <w:t xml:space="preserve">KBI receives a perpetual, irrevocable, fully paid-up, royalty-free license to use, modify, compile, and deploy the source code for its internal manufacturing operations. Escrow fees borne equally; KBI may request verification once per calendar year.</w:t>
      </w:r>
      <w:r>
        <w:t xml:space="preserve"> </w:t>
      </w:r>
      <w:r>
        <w:rPr>
          <w:i/>
          <w:iCs/>
        </w:rPr>
        <w:t xml:space="preserve">(See Risk Flags H-5, H-6.)</w:t>
      </w:r>
    </w:p>
    <w:p>
      <w:pPr>
        <w:pStyle w:val="BodyText"/>
      </w:pPr>
      <w:r>
        <w:rPr>
          <w:b/>
          <w:bCs/>
        </w:rPr>
        <w:t xml:space="preserve">Section 12 — Exclusivity / Non-Compete.</w:t>
      </w:r>
      <w:r>
        <w:t xml:space="preserve"> </w:t>
      </w:r>
      <w:r>
        <w:t xml:space="preserve">For 3 years from the effective date, Whitmore shall not license/sublicense/sell/make available PredictIQ (or any substantially similar predictive-maintenance technology) to any</w:t>
      </w:r>
      <w:r>
        <w:t xml:space="preserve"> </w:t>
      </w:r>
      <w:r>
        <w:t xml:space="preserve">“</w:t>
      </w:r>
      <w:r>
        <w:t xml:space="preserve">Direct Competitor</w:t>
      </w:r>
      <w:r>
        <w:t xml:space="preserve">”</w:t>
      </w:r>
      <w:r>
        <w:t xml:space="preserve"> </w:t>
      </w:r>
      <w:r>
        <w:t xml:space="preserve">of KBI in European automotive and heavy-machinery manufacturing.</w:t>
      </w:r>
      <w:r>
        <w:t xml:space="preserve"> </w:t>
      </w:r>
      <w:r>
        <w:t xml:space="preserve">“</w:t>
      </w:r>
      <w:r>
        <w:t xml:space="preserve">Direct Competitor</w:t>
      </w:r>
      <w:r>
        <w:t xml:space="preserve">”</w:t>
      </w:r>
      <w:r>
        <w:t xml:space="preserve"> </w:t>
      </w:r>
      <w:r>
        <w:t xml:space="preserve">= (a) the 12 entities listed in Exhibit B, plus (b) any entity deriving more than 30% of annual revenue from the manufacture of automotive vehicles/components, heavy machinery, or heavy industrial equipment in the EEA, UK, or Switzerland. Applies to PredictIQ and any successor/replacement product with substantially similar functionality.</w:t>
      </w:r>
      <w:r>
        <w:t xml:space="preserve"> </w:t>
      </w:r>
      <w:r>
        <w:rPr>
          <w:b/>
          <w:bCs/>
        </w:rPr>
        <w:t xml:space="preserve">Survives termination</w:t>
      </w:r>
      <w:r>
        <w:t xml:space="preserve"> </w:t>
      </w:r>
      <w:r>
        <w:t xml:space="preserve">and continues for the remainder of the Exclusivity Period. Remedies include injunctive relief</w:t>
      </w:r>
      <w:r>
        <w:t xml:space="preserve"> </w:t>
      </w:r>
      <w:r>
        <w:rPr>
          <w:b/>
          <w:bCs/>
        </w:rPr>
        <w:t xml:space="preserve">without a requirement to show irreparable harm or post a bond</w:t>
      </w:r>
      <w:r>
        <w:t xml:space="preserve">.</w:t>
      </w:r>
      <w:r>
        <w:t xml:space="preserve"> </w:t>
      </w:r>
      <w:r>
        <w:rPr>
          <w:i/>
          <w:iCs/>
        </w:rPr>
        <w:t xml:space="preserve">(See Risk Flag C-1.)</w:t>
      </w:r>
    </w:p>
    <w:p>
      <w:pPr>
        <w:pStyle w:val="BodyText"/>
      </w:pPr>
      <w:r>
        <w:rPr>
          <w:b/>
          <w:bCs/>
        </w:rPr>
        <w:t xml:space="preserve">Section 13 — Term and Termination.</w:t>
      </w:r>
      <w:r>
        <w:t xml:space="preserve"> </w:t>
      </w:r>
      <w:r>
        <w:t xml:space="preserve">As set out in Section IV.C. Notable: perpetual term; termination for convenience and for performance failure available</w:t>
      </w:r>
      <w:r>
        <w:t xml:space="preserve"> </w:t>
      </w:r>
      <w:r>
        <w:rPr>
          <w:b/>
          <w:bCs/>
        </w:rPr>
        <w:t xml:space="preserve">only to KBI</w:t>
      </w:r>
      <w:r>
        <w:t xml:space="preserve">; perpetual wind-down license on any termination; no refunds.</w:t>
      </w:r>
      <w:r>
        <w:t xml:space="preserve"> </w:t>
      </w:r>
      <w:r>
        <w:rPr>
          <w:i/>
          <w:iCs/>
        </w:rPr>
        <w:t xml:space="preserve">(See Risk Flags H-7, H-8.)</w:t>
      </w:r>
    </w:p>
    <w:p>
      <w:pPr>
        <w:pStyle w:val="BodyText"/>
      </w:pPr>
      <w:r>
        <w:rPr>
          <w:b/>
          <w:bCs/>
        </w:rPr>
        <w:t xml:space="preserve">Section 14 — Governing Law and Dispute Resolution.</w:t>
      </w:r>
      <w:r>
        <w:t xml:space="preserve"> </w:t>
      </w:r>
      <w:r>
        <w:t xml:space="preserve">German substantive law (no conflicts-of-law). ICC arbitration, three arbitrators, seat in Zurich, English language. Interim/injunctive relief from courts permitted for IP, confidentiality, or status-quo matters. Each party bears its own costs; arbitration costs allocated by the tribunal.</w:t>
      </w:r>
      <w:r>
        <w:t xml:space="preserve"> </w:t>
      </w:r>
      <w:r>
        <w:rPr>
          <w:i/>
          <w:iCs/>
        </w:rPr>
        <w:t xml:space="preserve">(See Risk Flags H-9, M-8.)</w:t>
      </w:r>
    </w:p>
    <w:p>
      <w:pPr>
        <w:pStyle w:val="BodyText"/>
      </w:pPr>
      <w:r>
        <w:rPr>
          <w:b/>
          <w:bCs/>
        </w:rPr>
        <w:t xml:space="preserve">Section 15 — Confidentiality.</w:t>
      </w:r>
      <w:r>
        <w:t xml:space="preserve"> </w:t>
      </w:r>
      <w:r>
        <w:t xml:space="preserve">Mutual; standard exceptions (public, prior knowledge, independent development, rightful third-party receipt). Permitted disclosures to advisors, accountants, and legal counsel, and as required by law. Survives termination for 5 years. Return/destruction on termination subject to archival copies and the wind-down license.</w:t>
      </w:r>
      <w:r>
        <w:t xml:space="preserve"> </w:t>
      </w:r>
      <w:r>
        <w:rPr>
          <w:b/>
          <w:bCs/>
        </w:rPr>
        <w:t xml:space="preserve">Binding</w:t>
      </w:r>
      <w:r>
        <w:t xml:space="preserve"> </w:t>
      </w:r>
      <w:r>
        <w:t xml:space="preserve">(per Section 16.1).</w:t>
      </w:r>
      <w:r>
        <w:t xml:space="preserve"> </w:t>
      </w:r>
      <w:r>
        <w:rPr>
          <w:i/>
          <w:iCs/>
        </w:rPr>
        <w:t xml:space="preserve">(See Risk Flag M-9.)</w:t>
      </w:r>
    </w:p>
    <w:p>
      <w:pPr>
        <w:pStyle w:val="BodyText"/>
      </w:pPr>
      <w:r>
        <w:rPr>
          <w:b/>
          <w:bCs/>
        </w:rPr>
        <w:t xml:space="preserve">Section 16 — Miscellaneous.</w:t>
      </w:r>
      <w:r>
        <w:t xml:space="preserve"> </w:t>
      </w:r>
      <w:r>
        <w:t xml:space="preserve">(16.1) Non-binding except Sections 15 and 16, which are binding. (16.2)</w:t>
      </w:r>
      <w:r>
        <w:t xml:space="preserve"> </w:t>
      </w:r>
      <w:r>
        <w:rPr>
          <w:b/>
          <w:bCs/>
        </w:rPr>
        <w:t xml:space="preserve">60-day no-shop</w:t>
      </w:r>
      <w:r>
        <w:t xml:space="preserve"> </w:t>
      </w:r>
      <w:r>
        <w:t xml:space="preserve">— through July 28, 2025, Whitmore negotiates exclusively with KBI and will not solicit/entertain/accept third-party proposals for a comparable technology-licensing transaction for the European industrial market (binding). (16.3) Entire understanding includes the MFC side letter. (16.4) Each party bears its own expenses. (16.5) Notices to Section 1 addresses. (16.6)</w:t>
      </w:r>
      <w:r>
        <w:t xml:space="preserve"> </w:t>
      </w:r>
      <w:r>
        <w:rPr>
          <w:b/>
          <w:bCs/>
        </w:rPr>
        <w:t xml:space="preserve">Assignment</w:t>
      </w:r>
      <w:r>
        <w:t xml:space="preserve"> </w:t>
      </w:r>
      <w:r>
        <w:t xml:space="preserve">— no assignment without consent, except KBI may assign to an affiliate or in connection with a merger, acquisition, or sale of substantially all assets. (16.7) Response deadline June 23, 2025.</w:t>
      </w:r>
      <w:r>
        <w:t xml:space="preserve"> </w:t>
      </w:r>
      <w:r>
        <w:rPr>
          <w:i/>
          <w:iCs/>
        </w:rPr>
        <w:t xml:space="preserve">(See Risk Flags H-10, M-3.)</w:t>
      </w:r>
    </w:p>
    <w:p>
      <w:pPr>
        <w:pStyle w:val="BodyText"/>
      </w:pPr>
      <w:r>
        <w:rPr>
          <w:b/>
          <w:bCs/>
        </w:rPr>
        <w:t xml:space="preserve">Exhibit A — PredictIQ Description.</w:t>
      </w:r>
      <w:r>
        <w:t xml:space="preserve"> </w:t>
      </w:r>
      <w:r>
        <w:t xml:space="preserve">Cloud analytics engine (SaaS), edge-computing modules (on-premises), RESTful API layer, IoT integration (OPC UA, MQTT, Modbus, proprietary). ML capabilities: failure prediction, anomaly detection, remaining-useful-life estimation, maintenance-scheduling optimization. Documentation set listed. Minimum system requirements to be provided in a separate technical specification document before Phase 1.</w:t>
      </w:r>
    </w:p>
    <w:p>
      <w:pPr>
        <w:pStyle w:val="BodyText"/>
      </w:pPr>
      <w:r>
        <w:rPr>
          <w:b/>
          <w:bCs/>
        </w:rPr>
        <w:t xml:space="preserve">Exhibit B — Direct Competitors (12 named).</w:t>
      </w:r>
      <w:r>
        <w:t xml:space="preserve"> </w:t>
      </w:r>
      <w:r>
        <w:t xml:space="preserve">Voelker-Haas Maschinenbau AG (DE); Duraforge Industries S.p.A. (IT); Nordhaven Automotive Group AB (SE); Castellain Manufacturing S.A. (FR); Ironbridge Heavy Industries plc (UK); Rhenania Precision Components GmbH (DE); Balticore Systems Oy (FI); Vandermeer Werktuigbouw B.V. (NL); Erhardt Industrietechnik AG (AT); Solvena Motors S.L. (ES); Krakowski Maszynowy S.A. (PL); Helvetian Drivetrain AG (CH). Plus the open-ended 30%-revenue catch-all.</w:t>
      </w:r>
    </w:p>
    <w:p>
      <w:pPr>
        <w:pStyle w:val="BodyText"/>
      </w:pPr>
      <w:r>
        <w:rPr>
          <w:b/>
          <w:bCs/>
        </w:rPr>
        <w:t xml:space="preserve">Side Letter — MFC Pricing.</w:t>
      </w:r>
      <w:r>
        <w:t xml:space="preserve"> </w:t>
      </w:r>
      <w:r>
        <w:t xml:space="preserve">(a) If Whitmore enters any agreement/amendment/arrangement with any third party (</w:t>
      </w:r>
      <w:r>
        <w:t xml:space="preserve">“</w:t>
      </w:r>
      <w:r>
        <w:t xml:space="preserve">Subsequent Licensee</w:t>
      </w:r>
      <w:r>
        <w:t xml:space="preserve">”</w:t>
      </w:r>
      <w:r>
        <w:t xml:space="preserve">) for PredictIQ or any successor/derivative/substantially similar technology on terms yielding a lower effective per-facility price than KBI’s, Whitmore must notify KBI within 30 days and retroactively adjust KBI’s pricing to match, effective as of the date the more favorable terms were first offered. (b)</w:t>
      </w:r>
      <w:r>
        <w:t xml:space="preserve"> </w:t>
      </w:r>
      <w:r>
        <w:t xml:space="preserve">“</w:t>
      </w:r>
      <w:r>
        <w:t xml:space="preserve">Effective per-facility price</w:t>
      </w:r>
      <w:r>
        <w:t xml:space="preserve">”</w:t>
      </w:r>
      <w:r>
        <w:t xml:space="preserve"> </w:t>
      </w:r>
      <w:r>
        <w:t xml:space="preserve">= total annual fees (license, subscription, maintenance, implementation/professional services, one-time or recurring) divided by the number of facilities deployed or authorized. (c) Retroactive credit for the overpayment period, applied against future payments. (d) Annual audit right (independent auditor; KBI’s expense unless a ≥5% discrepancy is found, then Whitmore’s expense); Whitmore to maintain complete records of all PredictIQ licensing arrangements. The side letter is non-binding in itself but is stated by KBI to be a</w:t>
      </w:r>
      <w:r>
        <w:t xml:space="preserve"> </w:t>
      </w:r>
      <w:r>
        <w:t xml:space="preserve">“</w:t>
      </w:r>
      <w:r>
        <w:t xml:space="preserve">material element</w:t>
      </w:r>
      <w:r>
        <w:t xml:space="preserve">”</w:t>
      </w:r>
      <w:r>
        <w:t xml:space="preserve"> </w:t>
      </w:r>
      <w:r>
        <w:t xml:space="preserve">of its proposal, and KBI’s willingness to proceed (and to adhere to the timeline) is</w:t>
      </w:r>
      <w:r>
        <w:t xml:space="preserve"> </w:t>
      </w:r>
      <w:r>
        <w:t xml:space="preserve">“</w:t>
      </w:r>
      <w:r>
        <w:t xml:space="preserve">expressly conditioned</w:t>
      </w:r>
      <w:r>
        <w:t xml:space="preserve">”</w:t>
      </w:r>
      <w:r>
        <w:t xml:space="preserve"> </w:t>
      </w:r>
      <w:r>
        <w:t xml:space="preserve">on acceptance.</w:t>
      </w:r>
      <w:r>
        <w:t xml:space="preserve"> </w:t>
      </w:r>
      <w:r>
        <w:rPr>
          <w:i/>
          <w:iCs/>
        </w:rPr>
        <w:t xml:space="preserve">(See Risk Flag C-4.)</w:t>
      </w:r>
    </w:p>
    <w:bookmarkEnd w:id="28"/>
    <w:bookmarkStart w:id="33" w:name="vi.-risk-flags"/>
    <w:p>
      <w:pPr>
        <w:pStyle w:val="Heading2"/>
      </w:pPr>
      <w:r>
        <w:t xml:space="preserve">VI. Risk Flags</w:t>
      </w:r>
    </w:p>
    <w:p>
      <w:pPr>
        <w:pStyle w:val="FirstParagraph"/>
      </w:pPr>
      <w:r>
        <w:t xml:space="preserve">Risk flags are organized by priority tier:</w:t>
      </w:r>
      <w:r>
        <w:t xml:space="preserve"> </w:t>
      </w:r>
      <w:r>
        <w:rPr>
          <w:b/>
          <w:bCs/>
        </w:rPr>
        <w:t xml:space="preserve">Critical</w:t>
      </w:r>
      <w:r>
        <w:t xml:space="preserve"> </w:t>
      </w:r>
      <w:r>
        <w:t xml:space="preserve">(potential dealbreakers / fundamental threats),</w:t>
      </w:r>
      <w:r>
        <w:t xml:space="preserve"> </w:t>
      </w:r>
      <w:r>
        <w:rPr>
          <w:b/>
          <w:bCs/>
        </w:rPr>
        <w:t xml:space="preserve">High</w:t>
      </w:r>
      <w:r>
        <w:t xml:space="preserve"> </w:t>
      </w:r>
      <w:r>
        <w:t xml:space="preserve">(material issues requiring material renegotiation),</w:t>
      </w:r>
      <w:r>
        <w:t xml:space="preserve"> </w:t>
      </w:r>
      <w:r>
        <w:rPr>
          <w:b/>
          <w:bCs/>
        </w:rPr>
        <w:t xml:space="preserve">Medium</w:t>
      </w:r>
      <w:r>
        <w:t xml:space="preserve"> </w:t>
      </w:r>
      <w:r>
        <w:t xml:space="preserve">(notable issues warranting correction), and</w:t>
      </w:r>
      <w:r>
        <w:t xml:space="preserve"> </w:t>
      </w:r>
      <w:r>
        <w:rPr>
          <w:b/>
          <w:bCs/>
        </w:rPr>
        <w:t xml:space="preserve">Lower / Missing Provisions</w:t>
      </w:r>
      <w:r>
        <w:t xml:space="preserve"> </w:t>
      </w:r>
      <w:r>
        <w:t xml:space="preserve">(gaps to be filled in the definitive agreement). Each flag is a distinct issue.</w:t>
      </w:r>
    </w:p>
    <w:bookmarkStart w:id="29" w:name="tier-1-critical-potential-dealbreakers"/>
    <w:p>
      <w:pPr>
        <w:pStyle w:val="Heading3"/>
      </w:pPr>
      <w:r>
        <w:t xml:space="preserve">Tier 1 — Critical (Potential Dealbreakers)</w:t>
      </w:r>
    </w:p>
    <w:p>
      <w:pPr>
        <w:pStyle w:val="FirstParagraph"/>
      </w:pPr>
      <w:r>
        <w:rPr>
          <w:b/>
          <w:bCs/>
        </w:rPr>
        <w:t xml:space="preserve">C-1. Exclusivity / non-compete is overbroad and commercially damaging (Section 12).</w:t>
      </w:r>
      <w:r>
        <w:t xml:space="preserve"> </w:t>
      </w:r>
      <w:r>
        <w:t xml:space="preserve">The 3-year exclusivity bars Whitmore from licensing PredictIQ — or any</w:t>
      </w:r>
      <w:r>
        <w:t xml:space="preserve"> </w:t>
      </w:r>
      <w:r>
        <w:t xml:space="preserve">“</w:t>
      </w:r>
      <w:r>
        <w:t xml:space="preserve">substantially similar</w:t>
      </w:r>
      <w:r>
        <w:t xml:space="preserve">”</w:t>
      </w:r>
      <w:r>
        <w:t xml:space="preserve"> </w:t>
      </w:r>
      <w:r>
        <w:t xml:space="preserve">successor product — to any</w:t>
      </w:r>
      <w:r>
        <w:t xml:space="preserve"> </w:t>
      </w:r>
      <w:r>
        <w:t xml:space="preserve">“</w:t>
      </w:r>
      <w:r>
        <w:t xml:space="preserve">Direct Competitor</w:t>
      </w:r>
      <w:r>
        <w:t xml:space="preserve">”</w:t>
      </w:r>
      <w:r>
        <w:t xml:space="preserve"> </w:t>
      </w:r>
      <w:r>
        <w:t xml:space="preserve">in European automotive and heavy-machinery manufacturing. The definition sweeps in (a) 12 named companies and (b)</w:t>
      </w:r>
      <w:r>
        <w:t xml:space="preserve"> </w:t>
      </w:r>
      <w:r>
        <w:rPr>
          <w:b/>
          <w:bCs/>
        </w:rPr>
        <w:t xml:space="preserve">any entity deriving more than 30% of revenue</w:t>
      </w:r>
      <w:r>
        <w:t xml:space="preserve"> </w:t>
      </w:r>
      <w:r>
        <w:t xml:space="preserve">from those sectors across the EEA, UK, and Switzerland. Internal analysis estimates the 30% threshold could capture</w:t>
      </w:r>
      <w:r>
        <w:t xml:space="preserve"> </w:t>
      </w:r>
      <w:r>
        <w:rPr>
          <w:b/>
          <w:bCs/>
        </w:rPr>
        <w:t xml:space="preserve">25–30 additional companies</w:t>
      </w:r>
      <w:r>
        <w:t xml:space="preserve">, including</w:t>
      </w:r>
      <w:r>
        <w:t xml:space="preserve"> </w:t>
      </w:r>
      <w:r>
        <w:rPr>
          <w:b/>
          <w:bCs/>
        </w:rPr>
        <w:t xml:space="preserve">three active late-stage European prospects representing $4–5 million in potential recurring SaaS revenue</w:t>
      </w:r>
      <w:r>
        <w:t xml:space="preserve"> </w:t>
      </w:r>
      <w:r>
        <w:t xml:space="preserve">— against Whitmore’s total FY 2024 revenue of $47.3M. The obligation</w:t>
      </w:r>
      <w:r>
        <w:t xml:space="preserve"> </w:t>
      </w:r>
      <w:r>
        <w:rPr>
          <w:b/>
          <w:bCs/>
        </w:rPr>
        <w:t xml:space="preserve">survives termination</w:t>
      </w:r>
      <w:r>
        <w:t xml:space="preserve"> </w:t>
      </w:r>
      <w:r>
        <w:t xml:space="preserve">and is enforceable by</w:t>
      </w:r>
      <w:r>
        <w:t xml:space="preserve"> </w:t>
      </w:r>
      <w:r>
        <w:rPr>
          <w:b/>
          <w:bCs/>
        </w:rPr>
        <w:t xml:space="preserve">injunction without a bond or irreparable-harm showing</w:t>
      </w:r>
      <w:r>
        <w:t xml:space="preserve">. The open-ended definition also creates an</w:t>
      </w:r>
      <w:r>
        <w:t xml:space="preserve"> </w:t>
      </w:r>
      <w:r>
        <w:rPr>
          <w:b/>
          <w:bCs/>
        </w:rPr>
        <w:t xml:space="preserve">unworkable affirmative monitoring obligation</w:t>
      </w:r>
      <w:r>
        <w:t xml:space="preserve">: Whitmore would have to determine, before engaging any European prospect, whether it crosses the 30% threshold — which is not reliably ascertainable for private companies, subsidiaries of diversified conglomerates, or entities that do not disaggregate revenue.</w:t>
      </w:r>
      <w:r>
        <w:t xml:space="preserve"> </w:t>
      </w:r>
      <w:r>
        <w:rPr>
          <w:b/>
          <w:bCs/>
        </w:rPr>
        <w:t xml:space="preserve">Remedies discrepancy:</w:t>
      </w:r>
      <w:r>
        <w:t xml:space="preserve"> </w:t>
      </w:r>
      <w:r>
        <w:t xml:space="preserve">an internal email characterizes the exclusivity-breach remedies as including</w:t>
      </w:r>
      <w:r>
        <w:t xml:space="preserve"> </w:t>
      </w:r>
      <w:r>
        <w:t xml:space="preserve">“</w:t>
      </w:r>
      <w:r>
        <w:t xml:space="preserve">termination for cause and liquidated damages,</w:t>
      </w:r>
      <w:r>
        <w:t xml:space="preserve">”</w:t>
      </w:r>
      <w:r>
        <w:t xml:space="preserve"> </w:t>
      </w:r>
      <w:r>
        <w:t xml:space="preserve">but the term sheet (§12.5) provides only injunctive relief</w:t>
      </w:r>
      <w:r>
        <w:t xml:space="preserve"> </w:t>
      </w:r>
      <w:r>
        <w:t xml:space="preserve">“</w:t>
      </w:r>
      <w:r>
        <w:t xml:space="preserve">in addition to any other remedies available at law or in equity</w:t>
      </w:r>
      <w:r>
        <w:t xml:space="preserve">”</w:t>
      </w:r>
      <w:r>
        <w:t xml:space="preserve"> </w:t>
      </w:r>
      <w:r>
        <w:t xml:space="preserve">—</w:t>
      </w:r>
      <w:r>
        <w:t xml:space="preserve"> </w:t>
      </w:r>
      <w:r>
        <w:rPr>
          <w:b/>
          <w:bCs/>
        </w:rPr>
        <w:t xml:space="preserve">no liquidated-damages clause appears in the term sheet text</w:t>
      </w:r>
      <w:r>
        <w:t xml:space="preserve">. This discrepancy should be confirmed; if KBI intends liquidated damages, the amount/formula and its enforceability (particularly under German law, which restricts penalty clauses) must be scrutinized.</w:t>
      </w:r>
      <w:r>
        <w:t xml:space="preserve"> </w:t>
      </w:r>
      <w:r>
        <w:rPr>
          <w:i/>
          <w:iCs/>
        </w:rPr>
        <w:t xml:space="preserve">(Sources: Term Sheet §12; emails of T. Kendrick and S. Yin, June 3, 2025.)</w:t>
      </w:r>
    </w:p>
    <w:p>
      <w:pPr>
        <w:pStyle w:val="BodyText"/>
      </w:pPr>
      <w:r>
        <w:rPr>
          <w:b/>
          <w:bCs/>
        </w:rPr>
        <w:t xml:space="preserve">C-2. Data-training restriction guts PredictIQ’s model-improvement pipeline (Section 4.3).</w:t>
      </w:r>
      <w:r>
        <w:t xml:space="preserve"> </w:t>
      </w:r>
      <w:r>
        <w:t xml:space="preserve">Whitmore is prohibited from using KBI Data — or data derived from it — to train, tune, or improve PredictIQ’s general ML models, to develop/improve third-party products, or to create anonymized/aggregated/de-identified datasets,</w:t>
      </w:r>
      <w:r>
        <w:t xml:space="preserve"> </w:t>
      </w:r>
      <w:r>
        <w:rPr>
          <w:b/>
          <w:bCs/>
        </w:rPr>
        <w:t xml:space="preserve">without KBI’s prior written consent (which may be withheld in KBI’s sole discretion)</w:t>
      </w:r>
      <w:r>
        <w:t xml:space="preserve">. KBI’s 43-facility, 12-country deployment would be Whitmore’s largest and most geographically/operationally diverse data source; the product team has confirmed data diversity is the single most important factor in model improvement. Accepting this restriction would allow KBI to degrade PredictIQ for all other customers and is an outlier position in the SaaS/ML market.</w:t>
      </w:r>
      <w:r>
        <w:t xml:space="preserve"> </w:t>
      </w:r>
      <w:r>
        <w:rPr>
          <w:i/>
          <w:iCs/>
        </w:rPr>
        <w:t xml:space="preserve">(Sources: Term Sheet §4.3; emails of T. Kendrick and R. Malhotra, June 3, 2025.)</w:t>
      </w:r>
    </w:p>
    <w:p>
      <w:pPr>
        <w:pStyle w:val="BodyText"/>
      </w:pPr>
      <w:r>
        <w:rPr>
          <w:b/>
          <w:bCs/>
        </w:rPr>
        <w:t xml:space="preserve">C-3. Output Data ownership transfers model state to KBI (Section 4.2).</w:t>
      </w:r>
      <w:r>
        <w:t xml:space="preserve"> </w:t>
      </w:r>
      <w:r>
        <w:t xml:space="preserve">“</w:t>
      </w:r>
      <w:r>
        <w:t xml:space="preserve">Output Data</w:t>
      </w:r>
      <w:r>
        <w:t xml:space="preserve">”</w:t>
      </w:r>
      <w:r>
        <w:t xml:space="preserve"> </w:t>
      </w:r>
      <w:r>
        <w:t xml:space="preserve">is defined to include</w:t>
      </w:r>
      <w:r>
        <w:t xml:space="preserve"> </w:t>
      </w:r>
      <w:r>
        <w:rPr>
          <w:b/>
          <w:bCs/>
        </w:rPr>
        <w:t xml:space="preserve">model weights, parameters, training artifacts, feature-importance rankings, and model-configuration data derived from KBI Data</w:t>
      </w:r>
      <w:r>
        <w:t xml:space="preserve">, and is declared the</w:t>
      </w:r>
      <w:r>
        <w:t xml:space="preserve"> </w:t>
      </w:r>
      <w:r>
        <w:rPr>
          <w:b/>
          <w:bCs/>
        </w:rPr>
        <w:t xml:space="preserve">sole and exclusive property of KBI</w:t>
      </w:r>
      <w:r>
        <w:t xml:space="preserve">. Read together with Section 4.3, this could mean that model state shaped by KBI data in the ordinary course of providing services becomes KBI’s IP — i.e., every customer interaction makes PredictIQ</w:t>
      </w:r>
      <w:r>
        <w:t xml:space="preserve"> </w:t>
      </w:r>
      <w:r>
        <w:t xml:space="preserve">“</w:t>
      </w:r>
      <w:r>
        <w:t xml:space="preserve">less ours.</w:t>
      </w:r>
      <w:r>
        <w:t xml:space="preserve">”</w:t>
      </w:r>
      <w:r>
        <w:t xml:space="preserve"> </w:t>
      </w:r>
      <w:r>
        <w:t xml:space="preserve">This is a fundamental threat to Whitmore’s product roadmap and IP.</w:t>
      </w:r>
      <w:r>
        <w:t xml:space="preserve"> </w:t>
      </w:r>
      <w:r>
        <w:rPr>
          <w:i/>
          <w:iCs/>
        </w:rPr>
        <w:t xml:space="preserve">(Sources: Term Sheet §4.2; email of S. Yin, June 3, 2025.)</w:t>
      </w:r>
    </w:p>
    <w:p>
      <w:pPr>
        <w:pStyle w:val="BodyText"/>
      </w:pPr>
      <w:r>
        <w:rPr>
          <w:b/>
          <w:bCs/>
        </w:rPr>
        <w:t xml:space="preserve">C-4. MFC side letter is perpetual, uncabined, retroactive, and auditable (Side Letter).</w:t>
      </w:r>
      <w:r>
        <w:t xml:space="preserve"> </w:t>
      </w:r>
      <w:r>
        <w:t xml:space="preserve">Because the license term is perpetual and the wind-down license is perpetual, the MFC has</w:t>
      </w:r>
      <w:r>
        <w:t xml:space="preserve"> </w:t>
      </w:r>
      <w:r>
        <w:rPr>
          <w:b/>
          <w:bCs/>
        </w:rPr>
        <w:t xml:space="preserve">no sunset</w:t>
      </w:r>
      <w:r>
        <w:t xml:space="preserve">. It contains</w:t>
      </w:r>
      <w:r>
        <w:t xml:space="preserve"> </w:t>
      </w:r>
      <w:r>
        <w:rPr>
          <w:b/>
          <w:bCs/>
        </w:rPr>
        <w:t xml:space="preserve">no carve-outs</w:t>
      </w:r>
      <w:r>
        <w:t xml:space="preserve"> </w:t>
      </w:r>
      <w:r>
        <w:t xml:space="preserve">(volume, product mix/bundling, service-level differentials, term-length differentials, government/educational, distressed/acquisition, pilot/POC, or affiliate pricing). It imposes a</w:t>
      </w:r>
      <w:r>
        <w:t xml:space="preserve"> </w:t>
      </w:r>
      <w:r>
        <w:rPr>
          <w:b/>
          <w:bCs/>
        </w:rPr>
        <w:t xml:space="preserve">retroactive</w:t>
      </w:r>
      <w:r>
        <w:t xml:space="preserve"> </w:t>
      </w:r>
      <w:r>
        <w:t xml:space="preserve">adjustment and credit obligation (effective as of the date more-favorable terms were first offered to a Subsequent Licensee). It captures PredictIQ</w:t>
      </w:r>
      <w:r>
        <w:t xml:space="preserve"> </w:t>
      </w:r>
      <w:r>
        <w:rPr>
          <w:b/>
          <w:bCs/>
        </w:rPr>
        <w:t xml:space="preserve">and any successor, derivative, or substantially similar technology</w:t>
      </w:r>
      <w:r>
        <w:t xml:space="preserve">. The trigger is also broad — it fires on</w:t>
      </w:r>
      <w:r>
        <w:t xml:space="preserve"> </w:t>
      </w:r>
      <w:r>
        <w:t xml:space="preserve">“</w:t>
      </w:r>
      <w:r>
        <w:t xml:space="preserve">any agreement, amendment, or arrangement</w:t>
      </w:r>
      <w:r>
        <w:t xml:space="preserve">”</w:t>
      </w:r>
      <w:r>
        <w:t xml:space="preserve"> </w:t>
      </w:r>
      <w:r>
        <w:t xml:space="preserve">with a Subsequent Licensee, so informal arrangements, pilots, letters of intent, or amendments to pre-existing licenses could each trigger MFC parity. It grants KBI an</w:t>
      </w:r>
      <w:r>
        <w:t xml:space="preserve"> </w:t>
      </w:r>
      <w:r>
        <w:rPr>
          <w:b/>
          <w:bCs/>
        </w:rPr>
        <w:t xml:space="preserve">annual audit right</w:t>
      </w:r>
      <w:r>
        <w:t xml:space="preserve"> </w:t>
      </w:r>
      <w:r>
        <w:t xml:space="preserve">over Whitmore’s entire PredictIQ licensing book (with cost-shifting to Whitmore on a ≥5% discrepancy), exposing competitively sensitive pricing to a customer’s auditor. The</w:t>
      </w:r>
      <w:r>
        <w:t xml:space="preserve"> </w:t>
      </w:r>
      <w:r>
        <w:t xml:space="preserve">“</w:t>
      </w:r>
      <w:r>
        <w:t xml:space="preserve">effective per-facility price</w:t>
      </w:r>
      <w:r>
        <w:t xml:space="preserve">”</w:t>
      </w:r>
      <w:r>
        <w:t xml:space="preserve"> </w:t>
      </w:r>
      <w:r>
        <w:t xml:space="preserve">metric is blunt and ignores scope/services/term differences, so a smaller, differently-scoped deployment could trigger MFC parity even where the deals are not truly comparable.</w:t>
      </w:r>
      <w:r>
        <w:t xml:space="preserve"> </w:t>
      </w:r>
      <w:r>
        <w:rPr>
          <w:b/>
          <w:bCs/>
        </w:rPr>
        <w:t xml:space="preserve">Side-letter confidentiality:</w:t>
      </w:r>
      <w:r>
        <w:t xml:space="preserve"> </w:t>
      </w:r>
      <w:r>
        <w:t xml:space="preserve">the side letter’s own confidentiality provision (§5) restricts either party from disclosing the existence or terms of the side letter without the other’s consent — a restriction in tension with the audit right and with Whitmore’s ability to discuss the MFC with its auditors, board, or prospective investors/acquirers. KBI treats acceptance as a condition to proceeding.</w:t>
      </w:r>
      <w:r>
        <w:t xml:space="preserve"> </w:t>
      </w:r>
      <w:r>
        <w:rPr>
          <w:i/>
          <w:iCs/>
        </w:rPr>
        <w:t xml:space="preserve">(Sources: Side Letter §§2–5; email of S. Yin, June 3, 2025.)</w:t>
      </w:r>
    </w:p>
    <w:p>
      <w:pPr>
        <w:pStyle w:val="BodyText"/>
      </w:pPr>
      <w:r>
        <w:rPr>
          <w:b/>
          <w:bCs/>
        </w:rPr>
        <w:t xml:space="preserve">C-5. Uncapped IP indemnification (Section 9.1).</w:t>
      </w:r>
      <w:r>
        <w:t xml:space="preserve"> </w:t>
      </w:r>
      <w:r>
        <w:t xml:space="preserve">Whitmore must defend and indemnify KBI (and its affiliates, officers, directors, employees, and agents) against any third-party IP-infringement claim arising from KBI’s authorized use of PredictIQ,</w:t>
      </w:r>
      <w:r>
        <w:t xml:space="preserve"> </w:t>
      </w:r>
      <w:r>
        <w:rPr>
          <w:b/>
          <w:bCs/>
        </w:rPr>
        <w:t xml:space="preserve">expressly outside any limitation of liability or damages cap</w:t>
      </w:r>
      <w:r>
        <w:t xml:space="preserve">. There is</w:t>
      </w:r>
      <w:r>
        <w:t xml:space="preserve"> </w:t>
      </w:r>
      <w:r>
        <w:rPr>
          <w:b/>
          <w:bCs/>
        </w:rPr>
        <w:t xml:space="preserve">no carve-out for claims arising from KBI’s modifications, combinations, or derivative works</w:t>
      </w:r>
      <w:r>
        <w:t xml:space="preserve">, and no obligation on KBI to suspend use or mitigate. Given the volume and complexity of ML/AI patent litigation, this is significant uncapped exposure.</w:t>
      </w:r>
      <w:r>
        <w:t xml:space="preserve"> </w:t>
      </w:r>
      <w:r>
        <w:rPr>
          <w:i/>
          <w:iCs/>
        </w:rPr>
        <w:t xml:space="preserve">(Sources: Term Sheet §9.1; emails of S. Yin and R. Malhotra, June 3, 2025.)</w:t>
      </w:r>
    </w:p>
    <w:bookmarkEnd w:id="29"/>
    <w:bookmarkStart w:id="30" w:name="Xc4474edc981750d47f1b05103fa86c268d39564"/>
    <w:p>
      <w:pPr>
        <w:pStyle w:val="Heading3"/>
      </w:pPr>
      <w:r>
        <w:t xml:space="preserve">Tier 2 — High (Material Renegotiation Required)</w:t>
      </w:r>
    </w:p>
    <w:p>
      <w:pPr>
        <w:pStyle w:val="FirstParagraph"/>
      </w:pPr>
      <w:r>
        <w:rPr>
          <w:b/>
          <w:bCs/>
        </w:rPr>
        <w:t xml:space="preserve">H-1. Payment structure creates a first-6-month cash shortfall (Sections 5.1, 5.3).</w:t>
      </w:r>
      <w:r>
        <w:t xml:space="preserve"> </w:t>
      </w:r>
      <w:r>
        <w:t xml:space="preserve">The largest license installment (40%, $1.68M) is deferred to Phase 1 completion (Month 6), and the $1.75M implementation fee is spread linearly ($97,222/month). Internal estimates put first-6-month inflows at ~$1.843M (signing $1.26M + 6 months implementation ~$583K) against implementation costs of $2.5–3M (8–12 engineers/consultants plus European travel/lodging/equipment), a</w:t>
      </w:r>
      <w:r>
        <w:t xml:space="preserve"> </w:t>
      </w:r>
      <w:r>
        <w:rPr>
          <w:b/>
          <w:bCs/>
        </w:rPr>
        <w:t xml:space="preserve">shortfall of $700K–$1.2M</w:t>
      </w:r>
      <w:r>
        <w:t xml:space="preserve"> </w:t>
      </w:r>
      <w:r>
        <w:t xml:space="preserve">before the Phase 1 milestone payment. Management has confirmed Whitmore’s current cash position</w:t>
      </w:r>
      <w:r>
        <w:t xml:space="preserve"> </w:t>
      </w:r>
      <w:r>
        <w:rPr>
          <w:b/>
          <w:bCs/>
        </w:rPr>
        <w:t xml:space="preserve">can absorb</w:t>
      </w:r>
      <w:r>
        <w:t xml:space="preserve"> </w:t>
      </w:r>
      <w:r>
        <w:t xml:space="preserve">a short-term mismatch of this magnitude but</w:t>
      </w:r>
      <w:r>
        <w:t xml:space="preserve"> </w:t>
      </w:r>
      <w:r>
        <w:rPr>
          <w:b/>
          <w:bCs/>
        </w:rPr>
        <w:t xml:space="preserve">strongly prefers</w:t>
      </w:r>
      <w:r>
        <w:t xml:space="preserve"> </w:t>
      </w:r>
      <w:r>
        <w:t xml:space="preserve">to restructure the contract to avoid funding a customer’s implementation out of operating reserves. The linear implementation billing versus milestone-based delivery also raises ASC 606 revenue-recognition questions for the auditors (Lakeshore Accounting Group LLP).</w:t>
      </w:r>
      <w:r>
        <w:t xml:space="preserve"> </w:t>
      </w:r>
      <w:r>
        <w:rPr>
          <w:i/>
          <w:iCs/>
        </w:rPr>
        <w:t xml:space="preserve">(Sources: Term Sheet §§5.1, 5.3; emails of T. Kendrick and R. Malhotra, June 3, 2025.)</w:t>
      </w:r>
    </w:p>
    <w:p>
      <w:pPr>
        <w:pStyle w:val="BodyText"/>
      </w:pPr>
      <w:r>
        <w:rPr>
          <w:b/>
          <w:bCs/>
        </w:rPr>
        <w:t xml:space="preserve">H-2. Performance warranty with financial penalties and a termination trigger (Sections 8.2–8.3, 13.4).</w:t>
      </w:r>
      <w:r>
        <w:t xml:space="preserve"> </w:t>
      </w:r>
      <w:r>
        <w:t xml:space="preserve">The 92% prediction-accuracy warranty is measured on a rolling 90-day basis across all deployed facilities, defined as the percentage of failure events correctly predicted at least 48 hours in advance against KBI’s maintenance logs. Accuracy in predictive maintenance is highly sensitive to data quality, sensor calibration, and environmental variables — many outside Whitmore’s control. Remedies include a credit of 5% of the quarterly SaaS fee ($35,625) per percentage point below 92%, and a KBI right to</w:t>
      </w:r>
      <w:r>
        <w:t xml:space="preserve"> </w:t>
      </w:r>
      <w:r>
        <w:rPr>
          <w:b/>
          <w:bCs/>
        </w:rPr>
        <w:t xml:space="preserve">terminate for cause</w:t>
      </w:r>
      <w:r>
        <w:t xml:space="preserve"> </w:t>
      </w:r>
      <w:r>
        <w:t xml:space="preserve">if accuracy falls below 85% for two consecutive quarters. The measurement methodology, baseline, and KBI’s data-quality obligations are not specified.</w:t>
      </w:r>
      <w:r>
        <w:t xml:space="preserve"> </w:t>
      </w:r>
      <w:r>
        <w:rPr>
          <w:i/>
          <w:iCs/>
        </w:rPr>
        <w:t xml:space="preserve">(Sources: Term Sheet §§8.2–8.3, 13.4; emails of S. Yin and R. Malhotra, June 3, 2025.)</w:t>
      </w:r>
    </w:p>
    <w:p>
      <w:pPr>
        <w:pStyle w:val="BodyText"/>
      </w:pPr>
      <w:r>
        <w:rPr>
          <w:b/>
          <w:bCs/>
        </w:rPr>
        <w:t xml:space="preserve">H-3. 24-month conformance warranty is long for enterprise software (Section 8.1).</w:t>
      </w:r>
      <w:r>
        <w:t xml:space="preserve"> </w:t>
      </w:r>
      <w:r>
        <w:t xml:space="preserve">The conformance warranty runs 24 months from each facility’s go-live, materially longer than the 30–90 day warranty typical for enterprise SaaS. Combined with the performance warranty, this extends Whitmore’s warranty exposure across the multi-facility rollout.</w:t>
      </w:r>
      <w:r>
        <w:t xml:space="preserve"> </w:t>
      </w:r>
      <w:r>
        <w:rPr>
          <w:i/>
          <w:iCs/>
        </w:rPr>
        <w:t xml:space="preserve">(Source: Term Sheet §8.1.)</w:t>
      </w:r>
    </w:p>
    <w:p>
      <w:pPr>
        <w:pStyle w:val="BodyText"/>
      </w:pPr>
      <w:r>
        <w:rPr>
          <w:b/>
          <w:bCs/>
        </w:rPr>
        <w:t xml:space="preserve">H-4. $15 million liability-cap floor is high relative to deal size (Section 10.1).</w:t>
      </w:r>
      <w:r>
        <w:t xml:space="preserve"> </w:t>
      </w:r>
      <w:r>
        <w:t xml:space="preserve">The general cap is the greater of 2× fees paid in the preceding 12 months or</w:t>
      </w:r>
      <w:r>
        <w:t xml:space="preserve"> </w:t>
      </w:r>
      <w:r>
        <w:rPr>
          <w:b/>
          <w:bCs/>
        </w:rPr>
        <w:t xml:space="preserve">$15,000,000</w:t>
      </w:r>
      <w:r>
        <w:t xml:space="preserve">. In early years, 2× annual fees is roughly $5.7M–$7.6M, so the $15M floor will govern — a cap several multiples of annual contract value. Confidentiality breaches (Section 15) are also carved out of the cap (Section 10.3(B)), which is significant given the breadth of the KBI Data restrictions.</w:t>
      </w:r>
      <w:r>
        <w:t xml:space="preserve"> </w:t>
      </w:r>
      <w:r>
        <w:rPr>
          <w:i/>
          <w:iCs/>
        </w:rPr>
        <w:t xml:space="preserve">(Source: Term Sheet §10.)</w:t>
      </w:r>
    </w:p>
    <w:p>
      <w:pPr>
        <w:pStyle w:val="BodyText"/>
      </w:pPr>
      <w:r>
        <w:rPr>
          <w:b/>
          <w:bCs/>
        </w:rPr>
        <w:t xml:space="preserve">H-5. Source-code escrow deposit is broad and may exceed Whitmore’s rights (Section 11.1).</w:t>
      </w:r>
      <w:r>
        <w:t xml:space="preserve"> </w:t>
      </w:r>
      <w:r>
        <w:t xml:space="preserve">The deposit requires</w:t>
      </w:r>
      <w:r>
        <w:t xml:space="preserve"> </w:t>
      </w:r>
      <w:r>
        <w:t xml:space="preserve">“</w:t>
      </w:r>
      <w:r>
        <w:t xml:space="preserve">complete source code … including all modules, libraries, and dependencies,</w:t>
      </w:r>
      <w:r>
        <w:t xml:space="preserve">”</w:t>
      </w:r>
      <w:r>
        <w:t xml:space="preserve"> </w:t>
      </w:r>
      <w:r>
        <w:t xml:space="preserve">plus build tools, compilers, scripts, and complete technical documentation, updated annually and on each major release. This may include</w:t>
      </w:r>
      <w:r>
        <w:t xml:space="preserve"> </w:t>
      </w:r>
      <w:r>
        <w:rPr>
          <w:b/>
          <w:bCs/>
        </w:rPr>
        <w:t xml:space="preserve">third-party licensed components</w:t>
      </w:r>
      <w:r>
        <w:t xml:space="preserve"> </w:t>
      </w:r>
      <w:r>
        <w:t xml:space="preserve">(e.g., open-source or commercially licensed libraries) that Whitmore may not have the right to escrow, creating a potential breach of Whitmore’s own upstream licenses.</w:t>
      </w:r>
      <w:r>
        <w:t xml:space="preserve"> </w:t>
      </w:r>
      <w:r>
        <w:rPr>
          <w:i/>
          <w:iCs/>
        </w:rPr>
        <w:t xml:space="preserve">(Source: Term Sheet §11.1.)</w:t>
      </w:r>
    </w:p>
    <w:p>
      <w:pPr>
        <w:pStyle w:val="BodyText"/>
      </w:pPr>
      <w:r>
        <w:rPr>
          <w:b/>
          <w:bCs/>
        </w:rPr>
        <w:t xml:space="preserve">H-6. Escrow release triggers are low and the post-release license is broad (Sections 11.2–11.3).</w:t>
      </w:r>
      <w:r>
        <w:t xml:space="preserve"> </w:t>
      </w:r>
      <w:r>
        <w:t xml:space="preserve">Release is triggered by, among other things, a</w:t>
      </w:r>
      <w:r>
        <w:t xml:space="preserve"> </w:t>
      </w:r>
      <w:r>
        <w:rPr>
          <w:b/>
          <w:bCs/>
        </w:rPr>
        <w:t xml:space="preserve">material breach uncured for 60 days</w:t>
      </w:r>
      <w:r>
        <w:t xml:space="preserve"> </w:t>
      </w:r>
      <w:r>
        <w:t xml:space="preserve">and a</w:t>
      </w:r>
      <w:r>
        <w:t xml:space="preserve"> </w:t>
      </w:r>
      <w:r>
        <w:rPr>
          <w:b/>
          <w:bCs/>
        </w:rPr>
        <w:t xml:space="preserve">90-consecutive-day failure to provide maintenance/support</w:t>
      </w:r>
      <w:r>
        <w:t xml:space="preserve">. Upon release, KBI obtains a</w:t>
      </w:r>
      <w:r>
        <w:t xml:space="preserve"> </w:t>
      </w:r>
      <w:r>
        <w:rPr>
          <w:b/>
          <w:bCs/>
        </w:rPr>
        <w:t xml:space="preserve">perpetual, irrevocable, fully paid-up, royalty-free license</w:t>
      </w:r>
      <w:r>
        <w:t xml:space="preserve"> </w:t>
      </w:r>
      <w:r>
        <w:t xml:space="preserve">to use, modify, compile, and deploy the source code for its internal operations — effectively delivering the product to KBI if Whitmore stumbles. The 60-day cure for</w:t>
      </w:r>
      <w:r>
        <w:t xml:space="preserve"> </w:t>
      </w:r>
      <w:r>
        <w:t xml:space="preserve">“</w:t>
      </w:r>
      <w:r>
        <w:t xml:space="preserve">material breach</w:t>
      </w:r>
      <w:r>
        <w:t xml:space="preserve">”</w:t>
      </w:r>
      <w:r>
        <w:t xml:space="preserve"> </w:t>
      </w:r>
      <w:r>
        <w:t xml:space="preserve">may be shorter than the 60-day cure in the termination provision (Section 13.2) read together with the 90-day notice period, creating inconsistency.</w:t>
      </w:r>
      <w:r>
        <w:t xml:space="preserve"> </w:t>
      </w:r>
      <w:r>
        <w:rPr>
          <w:i/>
          <w:iCs/>
        </w:rPr>
        <w:t xml:space="preserve">(Sources: Term Sheet §§11.2–11.3; email of S. Yin, June 3, 2025.)</w:t>
      </w:r>
    </w:p>
    <w:p>
      <w:pPr>
        <w:pStyle w:val="BodyText"/>
      </w:pPr>
      <w:r>
        <w:rPr>
          <w:b/>
          <w:bCs/>
        </w:rPr>
        <w:t xml:space="preserve">H-7. Perpetual wind-down license defeats termination (Section 13.5).</w:t>
      </w:r>
      <w:r>
        <w:t xml:space="preserve"> </w:t>
      </w:r>
      <w:r>
        <w:t xml:space="preserve">On</w:t>
      </w:r>
      <w:r>
        <w:t xml:space="preserve"> </w:t>
      </w:r>
      <w:r>
        <w:rPr>
          <w:b/>
          <w:bCs/>
        </w:rPr>
        <w:t xml:space="preserve">any</w:t>
      </w:r>
      <w:r>
        <w:t xml:space="preserve"> </w:t>
      </w:r>
      <w:r>
        <w:t xml:space="preserve">termination or expiration — including KBI’s termination for convenience — KBI retains a</w:t>
      </w:r>
      <w:r>
        <w:t xml:space="preserve"> </w:t>
      </w:r>
      <w:r>
        <w:rPr>
          <w:b/>
          <w:bCs/>
        </w:rPr>
        <w:t xml:space="preserve">perpetual, non-exclusive, irrevocable</w:t>
      </w:r>
      <w:r>
        <w:t xml:space="preserve"> </w:t>
      </w:r>
      <w:r>
        <w:t xml:space="preserve">license to continue using the deployed version, subject only to continued payment of the Annual Maintenance Fee. This means KBI can walk away from the SaaS subscription and new features while retaining perpetual use of the product.</w:t>
      </w:r>
      <w:r>
        <w:t xml:space="preserve"> </w:t>
      </w:r>
      <w:r>
        <w:rPr>
          <w:i/>
          <w:iCs/>
        </w:rPr>
        <w:t xml:space="preserve">(Note: an internal email characterizes this as a</w:t>
      </w:r>
      <w:r>
        <w:rPr>
          <w:i/>
          <w:iCs/>
        </w:rPr>
        <w:t xml:space="preserve"> </w:t>
      </w:r>
      <w:r>
        <w:rPr>
          <w:i/>
          <w:iCs/>
        </w:rPr>
        <w:t xml:space="preserve">“</w:t>
      </w:r>
      <w:r>
        <w:rPr>
          <w:i/>
          <w:iCs/>
        </w:rPr>
        <w:t xml:space="preserve">24-month wind-down license at reduced fees,</w:t>
      </w:r>
      <w:r>
        <w:rPr>
          <w:i/>
          <w:iCs/>
        </w:rPr>
        <w:t xml:space="preserve">”</w:t>
      </w:r>
      <w:r>
        <w:rPr>
          <w:i/>
          <w:iCs/>
        </w:rPr>
        <w:t xml:space="preserve"> </w:t>
      </w:r>
      <w:r>
        <w:rPr>
          <w:i/>
          <w:iCs/>
        </w:rPr>
        <w:t xml:space="preserve">but the term sheet as drafted provides a</w:t>
      </w:r>
      <w:r>
        <w:rPr>
          <w:i/>
          <w:iCs/>
        </w:rPr>
        <w:t xml:space="preserve"> </w:t>
      </w:r>
      <w:r>
        <w:rPr>
          <w:b/>
          <w:bCs/>
          <w:i/>
          <w:iCs/>
        </w:rPr>
        <w:t xml:space="preserve">perpetual</w:t>
      </w:r>
      <w:r>
        <w:rPr>
          <w:i/>
          <w:iCs/>
        </w:rPr>
        <w:t xml:space="preserve"> </w:t>
      </w:r>
      <w:r>
        <w:rPr>
          <w:i/>
          <w:iCs/>
        </w:rPr>
        <w:t xml:space="preserve">wind-down license at the</w:t>
      </w:r>
      <w:r>
        <w:rPr>
          <w:i/>
          <w:iCs/>
        </w:rPr>
        <w:t xml:space="preserve"> </w:t>
      </w:r>
      <w:r>
        <w:rPr>
          <w:b/>
          <w:bCs/>
          <w:i/>
          <w:iCs/>
        </w:rPr>
        <w:t xml:space="preserve">full</w:t>
      </w:r>
      <w:r>
        <w:rPr>
          <w:i/>
          <w:iCs/>
        </w:rPr>
        <w:t xml:space="preserve"> </w:t>
      </w:r>
      <w:r>
        <w:rPr>
          <w:i/>
          <w:iCs/>
        </w:rPr>
        <w:t xml:space="preserve">Annual Maintenance Fee — i.e., the term sheet is more favorable to KBI than the internal characterization. This should be confirmed and the internal team aligned.)</w:t>
      </w:r>
      <w:r>
        <w:t xml:space="preserve"> </w:t>
      </w:r>
      <w:r>
        <w:rPr>
          <w:i/>
          <w:iCs/>
        </w:rPr>
        <w:t xml:space="preserve">(Sources: Term Sheet §13.5; email of S. Yin, June 3, 2025.)</w:t>
      </w:r>
    </w:p>
    <w:p>
      <w:pPr>
        <w:pStyle w:val="BodyText"/>
      </w:pPr>
      <w:r>
        <w:rPr>
          <w:b/>
          <w:bCs/>
        </w:rPr>
        <w:t xml:space="preserve">H-8. Termination for convenience and for performance failure are one-sided (Sections 13.3–13.4).</w:t>
      </w:r>
      <w:r>
        <w:t xml:space="preserve"> </w:t>
      </w:r>
      <w:r>
        <w:t xml:space="preserve">Only KBI may terminate for convenience (12 months’ notice, not before the 3rd anniversary) and only KBI may terminate for the performance failure. Whitmore has</w:t>
      </w:r>
      <w:r>
        <w:t xml:space="preserve"> </w:t>
      </w:r>
      <w:r>
        <w:rPr>
          <w:b/>
          <w:bCs/>
        </w:rPr>
        <w:t xml:space="preserve">no corresponding convenience or performance right</w:t>
      </w:r>
      <w:r>
        <w:t xml:space="preserve"> </w:t>
      </w:r>
      <w:r>
        <w:t xml:space="preserve">despite a perpetual term — an asymmetry that, combined with the perpetual wind-down license, leaves Whitmore locked in while KBI retains exit flexibility.</w:t>
      </w:r>
      <w:r>
        <w:t xml:space="preserve"> </w:t>
      </w:r>
      <w:r>
        <w:rPr>
          <w:i/>
          <w:iCs/>
        </w:rPr>
        <w:t xml:space="preserve">(Source: Term Sheet §§13.3–13.4.)</w:t>
      </w:r>
    </w:p>
    <w:p>
      <w:pPr>
        <w:pStyle w:val="BodyText"/>
      </w:pPr>
      <w:r>
        <w:rPr>
          <w:b/>
          <w:bCs/>
        </w:rPr>
        <w:t xml:space="preserve">H-9. German governing law (Section 14.1).</w:t>
      </w:r>
      <w:r>
        <w:t xml:space="preserve"> </w:t>
      </w:r>
      <w:r>
        <w:t xml:space="preserve">The agreement is governed by German substantive law (no conflicts-of-law), with ICC arbitration seated in Zurich. Management has flagged concerns about Whitmore’s liability exposure under German law — particularly around the uncapped indemnification and the performance-warranty penalties — and is considering whether to push for Washington (Whitmore’s home) law or a neutral jurisdiction (e.g., England or Switzerland). Specialist German-law advice is recommended before responding.</w:t>
      </w:r>
      <w:r>
        <w:t xml:space="preserve"> </w:t>
      </w:r>
      <w:r>
        <w:rPr>
          <w:i/>
          <w:iCs/>
        </w:rPr>
        <w:t xml:space="preserve">(Sources: Term Sheet §14.1; emails of S. Yin and R. Malhotra, June 3, 2025.)</w:t>
      </w:r>
    </w:p>
    <w:p>
      <w:pPr>
        <w:pStyle w:val="BodyText"/>
      </w:pPr>
      <w:r>
        <w:rPr>
          <w:b/>
          <w:bCs/>
        </w:rPr>
        <w:t xml:space="preserve">H-10. One-sided assignment right (Section 16.6).</w:t>
      </w:r>
      <w:r>
        <w:t xml:space="preserve"> </w:t>
      </w:r>
      <w:r>
        <w:t xml:space="preserve">Neither party may assign without consent,</w:t>
      </w:r>
      <w:r>
        <w:t xml:space="preserve"> </w:t>
      </w:r>
      <w:r>
        <w:rPr>
          <w:b/>
          <w:bCs/>
        </w:rPr>
        <w:t xml:space="preserve">except KBI</w:t>
      </w:r>
      <w:r>
        <w:t xml:space="preserve">, which may assign to an affiliate or in connection with a merger, acquisition, or sale of substantially all assets. Whitmore has</w:t>
      </w:r>
      <w:r>
        <w:t xml:space="preserve"> </w:t>
      </w:r>
      <w:r>
        <w:rPr>
          <w:b/>
          <w:bCs/>
        </w:rPr>
        <w:t xml:space="preserve">no corresponding change-of-control assignment right</w:t>
      </w:r>
      <w:r>
        <w:t xml:space="preserve"> </w:t>
      </w:r>
      <w:r>
        <w:t xml:space="preserve">— a notable gap given Whitmore’s potential Series C process and possible acquisition discussions, and given that the MFC and exclusivity would bind an acquirer of Whitmore without a corresponding ability to assign.</w:t>
      </w:r>
      <w:r>
        <w:t xml:space="preserve"> </w:t>
      </w:r>
      <w:r>
        <w:rPr>
          <w:i/>
          <w:iCs/>
        </w:rPr>
        <w:t xml:space="preserve">(Source: Term Sheet §16.6.)</w:t>
      </w:r>
    </w:p>
    <w:bookmarkEnd w:id="30"/>
    <w:bookmarkStart w:id="31" w:name="X67c3eba43a6a71ad48f8d73f1c478b7ac26ff98"/>
    <w:p>
      <w:pPr>
        <w:pStyle w:val="Heading3"/>
      </w:pPr>
      <w:r>
        <w:t xml:space="preserve">Tier 3 — Medium (Notable Issues Warranting Correction)</w:t>
      </w:r>
    </w:p>
    <w:p>
      <w:pPr>
        <w:pStyle w:val="FirstParagraph"/>
      </w:pPr>
      <w:r>
        <w:rPr>
          <w:b/>
          <w:bCs/>
        </w:rPr>
        <w:t xml:space="preserve">M-1. Joint ownership of derivative works with unrestricted exploitation (Sections 2, 3.3).</w:t>
      </w:r>
      <w:r>
        <w:t xml:space="preserve"> </w:t>
      </w:r>
      <w:r>
        <w:t xml:space="preserve">Derivative works KBI creates from the API layer for MES/SCADA integration are</w:t>
      </w:r>
      <w:r>
        <w:t xml:space="preserve"> </w:t>
      </w:r>
      <w:r>
        <w:rPr>
          <w:b/>
          <w:bCs/>
        </w:rPr>
        <w:t xml:space="preserve">jointly owned</w:t>
      </w:r>
      <w:r>
        <w:t xml:space="preserve">, with each party free to use, modify, sublicense, and exploit</w:t>
      </w:r>
      <w:r>
        <w:t xml:space="preserve"> </w:t>
      </w:r>
      <w:r>
        <w:rPr>
          <w:b/>
          <w:bCs/>
        </w:rPr>
        <w:t xml:space="preserve">without consent or accounting</w:t>
      </w:r>
      <w:r>
        <w:t xml:space="preserve">. This could permit KBI (or its affiliates) to exploit integration code — potentially incorporating Whitmore IP — broadly, and may be inconsistent with the Feedback clause (Section 3.4), under which all Feedback becomes Whitmore’s exclusive property. The interaction of these provisions is internally contradictory and needs careful drafting.</w:t>
      </w:r>
      <w:r>
        <w:t xml:space="preserve"> </w:t>
      </w:r>
      <w:r>
        <w:rPr>
          <w:i/>
          <w:iCs/>
        </w:rPr>
        <w:t xml:space="preserve">(Sources: Term Sheet §§2, 3.3, 3.4; email of S. Yin, June 3, 2025.)</w:t>
      </w:r>
    </w:p>
    <w:p>
      <w:pPr>
        <w:pStyle w:val="BodyText"/>
      </w:pPr>
      <w:r>
        <w:rPr>
          <w:b/>
          <w:bCs/>
        </w:rPr>
        <w:t xml:space="preserve">M-2. KBI-Inspired Improvements grant-back is broad (Section 3.5).</w:t>
      </w:r>
      <w:r>
        <w:t xml:space="preserve"> </w:t>
      </w:r>
      <w:r>
        <w:t xml:space="preserve">Whitmore must grant KBI a</w:t>
      </w:r>
      <w:r>
        <w:t xml:space="preserve"> </w:t>
      </w:r>
      <w:r>
        <w:rPr>
          <w:b/>
          <w:bCs/>
        </w:rPr>
        <w:t xml:space="preserve">perpetual, irrevocable, royalty-free, non-exclusive</w:t>
      </w:r>
      <w:r>
        <w:t xml:space="preserve"> </w:t>
      </w:r>
      <w:r>
        <w:t xml:space="preserve">license to any improvements Whitmore develops that are</w:t>
      </w:r>
      <w:r>
        <w:t xml:space="preserve"> </w:t>
      </w:r>
      <w:r>
        <w:t xml:space="preserve">“</w:t>
      </w:r>
      <w:r>
        <w:t xml:space="preserve">derived from or inspired by</w:t>
      </w:r>
      <w:r>
        <w:t xml:space="preserve">”</w:t>
      </w:r>
      <w:r>
        <w:t xml:space="preserve"> </w:t>
      </w:r>
      <w:r>
        <w:t xml:space="preserve">KBI’s data, processes, or use — regardless of whether developed in response to Feedback. The</w:t>
      </w:r>
      <w:r>
        <w:t xml:space="preserve"> </w:t>
      </w:r>
      <w:r>
        <w:t xml:space="preserve">“</w:t>
      </w:r>
      <w:r>
        <w:t xml:space="preserve">derived from or inspired by</w:t>
      </w:r>
      <w:r>
        <w:t xml:space="preserve">”</w:t>
      </w:r>
      <w:r>
        <w:t xml:space="preserve"> </w:t>
      </w:r>
      <w:r>
        <w:t xml:space="preserve">standard is open-textured and could be read to capture a wide range of Whitmore’s product improvements.</w:t>
      </w:r>
      <w:r>
        <w:t xml:space="preserve"> </w:t>
      </w:r>
      <w:r>
        <w:rPr>
          <w:i/>
          <w:iCs/>
        </w:rPr>
        <w:t xml:space="preserve">(Source: Term Sheet §3.5.)</w:t>
      </w:r>
    </w:p>
    <w:p>
      <w:pPr>
        <w:pStyle w:val="BodyText"/>
      </w:pPr>
      <w:r>
        <w:rPr>
          <w:b/>
          <w:bCs/>
        </w:rPr>
        <w:t xml:space="preserve">M-3. 60-day binding no-shop is broad (Section 16.2).</w:t>
      </w:r>
      <w:r>
        <w:t xml:space="preserve"> </w:t>
      </w:r>
      <w:r>
        <w:t xml:space="preserve">Through July 28, 2025, Whitmore must negotiate exclusively with KBI and may not solicit, entertain, or accept third-party proposals for a</w:t>
      </w:r>
      <w:r>
        <w:t xml:space="preserve"> </w:t>
      </w:r>
      <w:r>
        <w:t xml:space="preserve">“</w:t>
      </w:r>
      <w:r>
        <w:t xml:space="preserve">comparable technology licensing transaction for the European industrial market.</w:t>
      </w:r>
      <w:r>
        <w:t xml:space="preserve">”</w:t>
      </w:r>
      <w:r>
        <w:t xml:space="preserve"> </w:t>
      </w:r>
      <w:r>
        <w:t xml:space="preserve">This is</w:t>
      </w:r>
      <w:r>
        <w:t xml:space="preserve"> </w:t>
      </w:r>
      <w:r>
        <w:rPr>
          <w:b/>
          <w:bCs/>
        </w:rPr>
        <w:t xml:space="preserve">binding</w:t>
      </w:r>
      <w:r>
        <w:t xml:space="preserve"> </w:t>
      </w:r>
      <w:r>
        <w:t xml:space="preserve">(Section 16 is binding per §16.1) and is broader than the Section 12 exclusivity in some respects (it is not limited to Direct Competitors). It constrains Whitmore’s European pipeline activity during the negotiation window.</w:t>
      </w:r>
      <w:r>
        <w:t xml:space="preserve"> </w:t>
      </w:r>
      <w:r>
        <w:rPr>
          <w:i/>
          <w:iCs/>
        </w:rPr>
        <w:t xml:space="preserve">(Source: Term Sheet §16.2.)</w:t>
      </w:r>
    </w:p>
    <w:p>
      <w:pPr>
        <w:pStyle w:val="BodyText"/>
      </w:pPr>
      <w:r>
        <w:rPr>
          <w:b/>
          <w:bCs/>
        </w:rPr>
        <w:t xml:space="preserve">M-4. Expansion pricing locks in terms with no additional license fee (Section 5.7).</w:t>
      </w:r>
      <w:r>
        <w:t xml:space="preserve"> </w:t>
      </w:r>
      <w:r>
        <w:t xml:space="preserve">For 5 years, KBI may deploy PredictIQ at newly acquired facilities at the same per-facility terms,</w:t>
      </w:r>
      <w:r>
        <w:t xml:space="preserve"> </w:t>
      </w:r>
      <w:r>
        <w:rPr>
          <w:b/>
          <w:bCs/>
        </w:rPr>
        <w:t xml:space="preserve">without any additional license fee</w:t>
      </w:r>
      <w:r>
        <w:t xml:space="preserve">, pro rata based on 43 facilities. This locks in pricing for acquired capacity and interacts with the MFC (any future lower per-facility price would retroactively reduce KBI’s pricing, including on expanded facilities).</w:t>
      </w:r>
      <w:r>
        <w:t xml:space="preserve"> </w:t>
      </w:r>
      <w:r>
        <w:rPr>
          <w:i/>
          <w:iCs/>
        </w:rPr>
        <w:t xml:space="preserve">(Source: Term Sheet §5.7.)</w:t>
      </w:r>
    </w:p>
    <w:p>
      <w:pPr>
        <w:pStyle w:val="BodyText"/>
      </w:pPr>
      <w:r>
        <w:rPr>
          <w:b/>
          <w:bCs/>
        </w:rPr>
        <w:t xml:space="preserve">M-5. Deemed acceptance on a 30-day UAT (Section 6.5).</w:t>
      </w:r>
      <w:r>
        <w:t xml:space="preserve"> </w:t>
      </w:r>
      <w:r>
        <w:t xml:space="preserve">Each facility deployment is deemed accepted if KBI does not give written notice of</w:t>
      </w:r>
      <w:r>
        <w:t xml:space="preserve"> </w:t>
      </w:r>
      <w:r>
        <w:t xml:space="preserve">“</w:t>
      </w:r>
      <w:r>
        <w:t xml:space="preserve">material non-conformance</w:t>
      </w:r>
      <w:r>
        <w:t xml:space="preserve">”</w:t>
      </w:r>
      <w:r>
        <w:t xml:space="preserve"> </w:t>
      </w:r>
      <w:r>
        <w:t xml:space="preserve">within 30 days. The</w:t>
      </w:r>
      <w:r>
        <w:t xml:space="preserve"> </w:t>
      </w:r>
      <w:r>
        <w:t xml:space="preserve">“</w:t>
      </w:r>
      <w:r>
        <w:t xml:space="preserve">material non-conformance</w:t>
      </w:r>
      <w:r>
        <w:t xml:space="preserve">”</w:t>
      </w:r>
      <w:r>
        <w:t xml:space="preserve"> </w:t>
      </w:r>
      <w:r>
        <w:t xml:space="preserve">standard is subjective, and managing 43 separate 30-day UAT clocks is operationally complex; conversely, deemed acceptance can be favorable to Whitmore if KBI misses a window. The standard and process should be tightened.</w:t>
      </w:r>
      <w:r>
        <w:t xml:space="preserve"> </w:t>
      </w:r>
      <w:r>
        <w:rPr>
          <w:i/>
          <w:iCs/>
        </w:rPr>
        <w:t xml:space="preserve">(Source: Term Sheet §6.5.)</w:t>
      </w:r>
    </w:p>
    <w:p>
      <w:pPr>
        <w:pStyle w:val="BodyText"/>
      </w:pPr>
      <w:r>
        <w:rPr>
          <w:b/>
          <w:bCs/>
        </w:rPr>
        <w:t xml:space="preserve">M-6. Service levels are</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only, with no service credits (Section 7.2).</w:t>
      </w:r>
      <w:r>
        <w:t xml:space="preserve"> </w:t>
      </w:r>
      <w:r>
        <w:t xml:space="preserve">The SLA targets (Critical 4h/24h; High 8h/72h; Medium-Low 2 business days/best efforts) are framed as</w:t>
      </w:r>
      <w:r>
        <w:t xml:space="preserve"> </w:t>
      </w:r>
      <w:r>
        <w:t xml:space="preserve">“</w:t>
      </w:r>
      <w:r>
        <w:t xml:space="preserve">commercially reasonable efforts,</w:t>
      </w:r>
      <w:r>
        <w:t xml:space="preserve">”</w:t>
      </w:r>
      <w:r>
        <w:t xml:space="preserve"> </w:t>
      </w:r>
      <w:r>
        <w:t xml:space="preserve">not hard commitments, and there are</w:t>
      </w:r>
      <w:r>
        <w:t xml:space="preserve"> </w:t>
      </w:r>
      <w:r>
        <w:rPr>
          <w:b/>
          <w:bCs/>
        </w:rPr>
        <w:t xml:space="preserve">no service credits for missed SLAs</w:t>
      </w:r>
      <w:r>
        <w:t xml:space="preserve">. This is favorable to Whitmore but should be confirmed as intended; KBI may seek hard SLAs with credits, which would interact with the performance warranty.</w:t>
      </w:r>
      <w:r>
        <w:t xml:space="preserve"> </w:t>
      </w:r>
      <w:r>
        <w:rPr>
          <w:i/>
          <w:iCs/>
        </w:rPr>
        <w:t xml:space="preserve">(Source: Term Sheet §7.2.)</w:t>
      </w:r>
    </w:p>
    <w:p>
      <w:pPr>
        <w:pStyle w:val="BodyText"/>
      </w:pPr>
      <w:r>
        <w:rPr>
          <w:b/>
          <w:bCs/>
        </w:rPr>
        <w:t xml:space="preserve">M-7. Indemnification procedures give the indemnifying party sole control of settlement (Section 9.4).</w:t>
      </w:r>
      <w:r>
        <w:t xml:space="preserve"> </w:t>
      </w:r>
      <w:r>
        <w:t xml:space="preserve">Whitmore controls defense and settlement of claims it indemnifies. Standard, but there is</w:t>
      </w:r>
      <w:r>
        <w:t xml:space="preserve"> </w:t>
      </w:r>
      <w:r>
        <w:rPr>
          <w:b/>
          <w:bCs/>
        </w:rPr>
        <w:t xml:space="preserve">no carve-out requiring KBI’s consent to settlements that impose obligations or admissions on KBI</w:t>
      </w:r>
      <w:r>
        <w:t xml:space="preserve">, and no express duty on the indemnified party to mitigate.</w:t>
      </w:r>
      <w:r>
        <w:t xml:space="preserve"> </w:t>
      </w:r>
      <w:r>
        <w:rPr>
          <w:i/>
          <w:iCs/>
        </w:rPr>
        <w:t xml:space="preserve">(Source: Term Sheet §9.4.)</w:t>
      </w:r>
    </w:p>
    <w:p>
      <w:pPr>
        <w:pStyle w:val="BodyText"/>
      </w:pPr>
      <w:r>
        <w:rPr>
          <w:b/>
          <w:bCs/>
        </w:rPr>
        <w:t xml:space="preserve">M-8. Arbitration cost allocation is</w:t>
      </w:r>
      <w:r>
        <w:rPr>
          <w:b/>
          <w:bCs/>
        </w:rPr>
        <w:t xml:space="preserve"> </w:t>
      </w:r>
      <w:r>
        <w:rPr>
          <w:b/>
          <w:bCs/>
        </w:rPr>
        <w:t xml:space="preserve">“</w:t>
      </w:r>
      <w:r>
        <w:rPr>
          <w:b/>
          <w:bCs/>
        </w:rPr>
        <w:t xml:space="preserve">American rule</w:t>
      </w:r>
      <w:r>
        <w:rPr>
          <w:b/>
          <w:bCs/>
        </w:rPr>
        <w:t xml:space="preserve">”</w:t>
      </w:r>
      <w:r>
        <w:rPr>
          <w:b/>
          <w:bCs/>
        </w:rPr>
        <w:t xml:space="preserve"> </w:t>
      </w:r>
      <w:r>
        <w:rPr>
          <w:b/>
          <w:bCs/>
        </w:rPr>
        <w:t xml:space="preserve">with no fee-shifting (Section 14.4).</w:t>
      </w:r>
      <w:r>
        <w:t xml:space="preserve"> </w:t>
      </w:r>
      <w:r>
        <w:t xml:space="preserve">Each party bears its own costs and legal fees; arbitration costs are allocated by the tribunal. There is no</w:t>
      </w:r>
      <w:r>
        <w:t xml:space="preserve"> </w:t>
      </w:r>
      <w:r>
        <w:t xml:space="preserve">“</w:t>
      </w:r>
      <w:r>
        <w:t xml:space="preserve">loser-pays</w:t>
      </w:r>
      <w:r>
        <w:t xml:space="preserve">”</w:t>
      </w:r>
      <w:r>
        <w:t xml:space="preserve"> </w:t>
      </w:r>
      <w:r>
        <w:t xml:space="preserve">provision and no fee-shifting for indemnification claims, which can make pursuing or defending claims costly.</w:t>
      </w:r>
      <w:r>
        <w:t xml:space="preserve"> </w:t>
      </w:r>
      <w:r>
        <w:rPr>
          <w:i/>
          <w:iCs/>
        </w:rPr>
        <w:t xml:space="preserve">(Source: Term Sheet §14.4.)</w:t>
      </w:r>
    </w:p>
    <w:p>
      <w:pPr>
        <w:pStyle w:val="BodyText"/>
      </w:pPr>
      <w:r>
        <w:rPr>
          <w:b/>
          <w:bCs/>
        </w:rPr>
        <w:t xml:space="preserve">M-9. Confidentiality permitted disclosures lack an affiliate/investor/acquirer carve-out (Section 15.3).</w:t>
      </w:r>
      <w:r>
        <w:t xml:space="preserve"> </w:t>
      </w:r>
      <w:r>
        <w:t xml:space="preserve">Permitted disclosures are limited to advisors, accountants, and legal counsel, and disclosures required by law. There is</w:t>
      </w:r>
      <w:r>
        <w:t xml:space="preserve"> </w:t>
      </w:r>
      <w:r>
        <w:rPr>
          <w:b/>
          <w:bCs/>
        </w:rPr>
        <w:t xml:space="preserve">no carve-out for affiliates, prospective investors, or potential acquirers</w:t>
      </w:r>
      <w:r>
        <w:t xml:space="preserve"> </w:t>
      </w:r>
      <w:r>
        <w:t xml:space="preserve">under confidentiality — relevant to Whitmore’s Series C diligence and any M&amp;A process — and</w:t>
      </w:r>
      <w:r>
        <w:t xml:space="preserve"> </w:t>
      </w:r>
      <w:r>
        <w:rPr>
          <w:b/>
          <w:bCs/>
        </w:rPr>
        <w:t xml:space="preserve">no notice requirement for legally compelled disclosures</w:t>
      </w:r>
      <w:r>
        <w:t xml:space="preserve">.</w:t>
      </w:r>
      <w:r>
        <w:t xml:space="preserve"> </w:t>
      </w:r>
      <w:r>
        <w:rPr>
          <w:i/>
          <w:iCs/>
        </w:rPr>
        <w:t xml:space="preserve">(Source: Term Sheet §15.3.)</w:t>
      </w:r>
    </w:p>
    <w:p>
      <w:pPr>
        <w:pStyle w:val="BodyText"/>
      </w:pPr>
      <w:r>
        <w:rPr>
          <w:b/>
          <w:bCs/>
        </w:rPr>
        <w:t xml:space="preserve">M-10. Late-payment interest of 1.5%/month (~18% p.a.) (Section 5.5).</w:t>
      </w:r>
      <w:r>
        <w:t xml:space="preserve"> </w:t>
      </w:r>
      <w:r>
        <w:t xml:space="preserve">The default interest rate is high; the</w:t>
      </w:r>
      <w:r>
        <w:t xml:space="preserve"> </w:t>
      </w:r>
      <w:r>
        <w:t xml:space="preserve">“</w:t>
      </w:r>
      <w:r>
        <w:t xml:space="preserve">or the maximum rate permitted by applicable law, whichever is less</w:t>
      </w:r>
      <w:r>
        <w:t xml:space="preserve">”</w:t>
      </w:r>
      <w:r>
        <w:t xml:space="preserve"> </w:t>
      </w:r>
      <w:r>
        <w:t xml:space="preserve">cap mitigates usury concerns but the headline rate may draw objection and, under German law, may be unenforceable as excessive.</w:t>
      </w:r>
      <w:r>
        <w:t xml:space="preserve"> </w:t>
      </w:r>
      <w:r>
        <w:rPr>
          <w:i/>
          <w:iCs/>
        </w:rPr>
        <w:t xml:space="preserve">(Source: Term Sheet §5.5.)</w:t>
      </w:r>
    </w:p>
    <w:p>
      <w:pPr>
        <w:pStyle w:val="BodyText"/>
      </w:pPr>
      <w:r>
        <w:rPr>
          <w:b/>
          <w:bCs/>
        </w:rPr>
        <w:t xml:space="preserve">M-11. Uncapped fee escalations compound over a perpetual term (Sections 5.2, 5.4, 13.1, 13.5).</w:t>
      </w:r>
      <w:r>
        <w:t xml:space="preserve"> </w:t>
      </w:r>
      <w:r>
        <w:t xml:space="preserve">The SaaS subscription escalates 3% per annum from Year 4 and the Annual Maintenance and Support Fee escalates 4% per annum from Year 2. Because the license term is</w:t>
      </w:r>
      <w:r>
        <w:t xml:space="preserve"> </w:t>
      </w:r>
      <w:r>
        <w:rPr>
          <w:b/>
          <w:bCs/>
        </w:rPr>
        <w:t xml:space="preserve">perpetual</w:t>
      </w:r>
      <w:r>
        <w:t xml:space="preserve"> </w:t>
      </w:r>
      <w:r>
        <w:t xml:space="preserve">(§13.1) and the post-termination wind-down license is also</w:t>
      </w:r>
      <w:r>
        <w:t xml:space="preserve"> </w:t>
      </w:r>
      <w:r>
        <w:rPr>
          <w:b/>
          <w:bCs/>
        </w:rPr>
        <w:t xml:space="preserve">perpetual</w:t>
      </w:r>
      <w:r>
        <w:t xml:space="preserve"> </w:t>
      </w:r>
      <w:r>
        <w:t xml:space="preserve">and conditioned on continued payment of the Annual Maintenance Fee (§13.5), these escalations</w:t>
      </w:r>
      <w:r>
        <w:t xml:space="preserve"> </w:t>
      </w:r>
      <w:r>
        <w:rPr>
          <w:b/>
          <w:bCs/>
        </w:rPr>
        <w:t xml:space="preserve">compound indefinitely with no cap or collar</w:t>
      </w:r>
      <w:r>
        <w:t xml:space="preserve">. Over a long horizon this can materially erode the economics (e.g., the maintenance fee, already 18% of the license fee, more than doubles in ~18 years at 4% and is payable forever, including during wind-down). A perpetual SaaS/maintenance term with uncapped escalations is also unusual; SaaS is typically term-based with capped or CPI-based escalations.</w:t>
      </w:r>
      <w:r>
        <w:t xml:space="preserve"> </w:t>
      </w:r>
      <w:r>
        <w:rPr>
          <w:i/>
          <w:iCs/>
        </w:rPr>
        <w:t xml:space="preserve">(Sources: Term Sheet §§5.2, 5.4, 13.1, 13.5.)</w:t>
      </w:r>
    </w:p>
    <w:bookmarkEnd w:id="31"/>
    <w:bookmarkStart w:id="32" w:name="Xb8384d736f928e53de8f9afee64cfc8f3065345"/>
    <w:p>
      <w:pPr>
        <w:pStyle w:val="Heading3"/>
      </w:pPr>
      <w:r>
        <w:t xml:space="preserve">Tier 4 — Lower Priority / Missing Provisions (Gaps to Fill)</w:t>
      </w:r>
    </w:p>
    <w:p>
      <w:pPr>
        <w:pStyle w:val="FirstParagraph"/>
      </w:pPr>
      <w:r>
        <w:t xml:space="preserve">The following provisions are</w:t>
      </w:r>
      <w:r>
        <w:t xml:space="preserve"> </w:t>
      </w:r>
      <w:r>
        <w:rPr>
          <w:b/>
          <w:bCs/>
        </w:rPr>
        <w:t xml:space="preserve">absent</w:t>
      </w:r>
      <w:r>
        <w:t xml:space="preserve"> </w:t>
      </w:r>
      <w:r>
        <w:t xml:space="preserve">from the term sheet and should be addressed in the definitive agreement. Each is a distinct gap.</w:t>
      </w:r>
    </w:p>
    <w:p>
      <w:pPr>
        <w:pStyle w:val="BodyText"/>
      </w:pPr>
      <w:r>
        <w:rPr>
          <w:b/>
          <w:bCs/>
        </w:rPr>
        <w:t xml:space="preserve">L-1. Data-processing agreement and security standards.</w:t>
      </w:r>
      <w:r>
        <w:t xml:space="preserve"> </w:t>
      </w:r>
      <w:r>
        <w:t xml:space="preserve">Section 4.5 states only that both parties will</w:t>
      </w:r>
      <w:r>
        <w:t xml:space="preserve"> </w:t>
      </w:r>
      <w:r>
        <w:t xml:space="preserve">“</w:t>
      </w:r>
      <w:r>
        <w:t xml:space="preserve">comply with applicable data protection laws (GDPR and German laws).</w:t>
      </w:r>
      <w:r>
        <w:t xml:space="preserve">”</w:t>
      </w:r>
      <w:r>
        <w:t xml:space="preserve"> </w:t>
      </w:r>
      <w:r>
        <w:t xml:space="preserve">There is</w:t>
      </w:r>
      <w:r>
        <w:t xml:space="preserve"> </w:t>
      </w:r>
      <w:r>
        <w:rPr>
          <w:b/>
          <w:bCs/>
        </w:rPr>
        <w:t xml:space="preserve">no data-processing agreement, no security standards (e.g., ISO 27001 / SOC 2), no sub-processor controls, no breach-notification timeline, and no data-return/deletion certification mechanics</w:t>
      </w:r>
      <w:r>
        <w:t xml:space="preserve"> </w:t>
      </w:r>
      <w:r>
        <w:t xml:space="preserve">beyond Section 4.4. This is a significant gap for a German/GDPR-context deployment processing operational and potentially personal data.</w:t>
      </w:r>
    </w:p>
    <w:p>
      <w:pPr>
        <w:pStyle w:val="BodyText"/>
      </w:pPr>
      <w:r>
        <w:rPr>
          <w:b/>
          <w:bCs/>
        </w:rPr>
        <w:t xml:space="preserve">L-2. Cross-border data-transfer mechanism.</w:t>
      </w:r>
      <w:r>
        <w:t xml:space="preserve"> </w:t>
      </w:r>
      <w:r>
        <w:t xml:space="preserve">PredictIQ’s cloud engine is hosted by a U.S. company (Seattle); processing EU data in the U.S. requires a valid transfer mechanism (e.g., EU Standard Contractual Clauses) and, post-</w:t>
      </w:r>
      <w:r>
        <w:rPr>
          <w:i/>
          <w:iCs/>
        </w:rPr>
        <w:t xml:space="preserve">Schrems II</w:t>
      </w:r>
      <w:r>
        <w:t xml:space="preserve">, a transfer impact assessment and supplementary measures.</w:t>
      </w:r>
      <w:r>
        <w:t xml:space="preserve"> </w:t>
      </w:r>
      <w:r>
        <w:rPr>
          <w:b/>
          <w:bCs/>
        </w:rPr>
        <w:t xml:space="preserve">None are addressed.</w:t>
      </w:r>
    </w:p>
    <w:p>
      <w:pPr>
        <w:pStyle w:val="BodyText"/>
      </w:pPr>
      <w:r>
        <w:rPr>
          <w:b/>
          <w:bCs/>
        </w:rPr>
        <w:t xml:space="preserve">L-3. KBI warranty as to lawfulness of KBI Data.</w:t>
      </w:r>
      <w:r>
        <w:t xml:space="preserve"> </w:t>
      </w:r>
      <w:r>
        <w:t xml:space="preserve">There is</w:t>
      </w:r>
      <w:r>
        <w:t xml:space="preserve"> </w:t>
      </w:r>
      <w:r>
        <w:rPr>
          <w:b/>
          <w:bCs/>
        </w:rPr>
        <w:t xml:space="preserve">no representation that KBI has the rights to provide KBI Data, that KBI Data is lawfully collected, or that KBI complies with GDPR in collecting it</w:t>
      </w:r>
      <w:r>
        <w:t xml:space="preserve">. Given KBI supplies operational, sensor, and potentially employee-related data, this warranty (and a corresponding indemnity) is essential.</w:t>
      </w:r>
    </w:p>
    <w:p>
      <w:pPr>
        <w:pStyle w:val="BodyText"/>
      </w:pPr>
      <w:r>
        <w:rPr>
          <w:b/>
          <w:bCs/>
        </w:rPr>
        <w:t xml:space="preserve">L-4. IP-indemnity carve-outs for KBI modifications/derivative works/combinations.</w:t>
      </w:r>
      <w:r>
        <w:t xml:space="preserve"> </w:t>
      </w:r>
      <w:r>
        <w:t xml:space="preserve">Section 9.1 is uncapped and contains</w:t>
      </w:r>
      <w:r>
        <w:t xml:space="preserve"> </w:t>
      </w:r>
      <w:r>
        <w:rPr>
          <w:b/>
          <w:bCs/>
        </w:rPr>
        <w:t xml:space="preserve">no carve-out for claims arising from KBI’s modifications, combinations with third-party systems, or derivative works</w:t>
      </w:r>
      <w:r>
        <w:t xml:space="preserve"> </w:t>
      </w:r>
      <w:r>
        <w:t xml:space="preserve">— a standard protection that should be added.</w:t>
      </w:r>
    </w:p>
    <w:p>
      <w:pPr>
        <w:pStyle w:val="BodyText"/>
      </w:pPr>
      <w:r>
        <w:rPr>
          <w:b/>
          <w:bCs/>
        </w:rPr>
        <w:t xml:space="preserve">L-5. Open-source software disclosure.</w:t>
      </w:r>
      <w:r>
        <w:t xml:space="preserve"> </w:t>
      </w:r>
      <w:r>
        <w:t xml:space="preserve">PredictIQ inevitably incorporates open-source components. There is</w:t>
      </w:r>
      <w:r>
        <w:t xml:space="preserve"> </w:t>
      </w:r>
      <w:r>
        <w:rPr>
          <w:b/>
          <w:bCs/>
        </w:rPr>
        <w:t xml:space="preserve">no OSS representation, warranty, or disclosure/listing obligation</w:t>
      </w:r>
      <w:r>
        <w:t xml:space="preserve">, and no compliance-with-OSS-licenses undertaking.</w:t>
      </w:r>
    </w:p>
    <w:p>
      <w:pPr>
        <w:pStyle w:val="BodyText"/>
      </w:pPr>
      <w:r>
        <w:rPr>
          <w:b/>
          <w:bCs/>
        </w:rPr>
        <w:t xml:space="preserve">L-6. Export-control compliance.</w:t>
      </w:r>
      <w:r>
        <w:t xml:space="preserve"> </w:t>
      </w:r>
      <w:r>
        <w:t xml:space="preserve">Cross-border (U.S.–Germany) licensing of ML technology implicates U.S. export controls (EAR) and EU/German export rules.</w:t>
      </w:r>
      <w:r>
        <w:t xml:space="preserve"> </w:t>
      </w:r>
      <w:r>
        <w:rPr>
          <w:b/>
          <w:bCs/>
        </w:rPr>
        <w:t xml:space="preserve">No export-control compliance clause is present.</w:t>
      </w:r>
    </w:p>
    <w:p>
      <w:pPr>
        <w:pStyle w:val="BodyText"/>
      </w:pPr>
      <w:r>
        <w:rPr>
          <w:b/>
          <w:bCs/>
        </w:rPr>
        <w:t xml:space="preserve">L-7. Anti-corruption / sanctions / trade-compliance representations.</w:t>
      </w:r>
      <w:r>
        <w:t xml:space="preserve"> </w:t>
      </w:r>
      <w:r>
        <w:t xml:space="preserve">No FCPA/UK Bribery Act/German anti-corruption or sanctions representations or compliance covenants are included.</w:t>
      </w:r>
    </w:p>
    <w:p>
      <w:pPr>
        <w:pStyle w:val="BodyText"/>
      </w:pPr>
      <w:r>
        <w:rPr>
          <w:b/>
          <w:bCs/>
        </w:rPr>
        <w:t xml:space="preserve">L-8. Force majeure.</w:t>
      </w:r>
      <w:r>
        <w:t xml:space="preserve"> </w:t>
      </w:r>
      <w:r>
        <w:t xml:space="preserve">No force-majeure clause is present; without one, the performance warranty and SLAs could be breached by events outside Whitmore’s control.</w:t>
      </w:r>
    </w:p>
    <w:p>
      <w:pPr>
        <w:pStyle w:val="BodyText"/>
      </w:pPr>
      <w:r>
        <w:rPr>
          <w:b/>
          <w:bCs/>
        </w:rPr>
        <w:t xml:space="preserve">L-9. Insurance.</w:t>
      </w:r>
      <w:r>
        <w:t xml:space="preserve"> </w:t>
      </w:r>
      <w:r>
        <w:t xml:space="preserve">No requirement that either party maintain insurance (e.g., cyber, E&amp;O, CGL) is specified.</w:t>
      </w:r>
    </w:p>
    <w:p>
      <w:pPr>
        <w:pStyle w:val="BodyText"/>
      </w:pPr>
      <w:r>
        <w:rPr>
          <w:b/>
          <w:bCs/>
        </w:rPr>
        <w:t xml:space="preserve">L-10. No-hire / no-solicitation.</w:t>
      </w:r>
      <w:r>
        <w:t xml:space="preserve"> </w:t>
      </w:r>
      <w:r>
        <w:t xml:space="preserve">There is</w:t>
      </w:r>
      <w:r>
        <w:t xml:space="preserve"> </w:t>
      </w:r>
      <w:r>
        <w:rPr>
          <w:b/>
          <w:bCs/>
        </w:rPr>
        <w:t xml:space="preserve">no restriction on KBI hiring or solicating Whitmore personnel</w:t>
      </w:r>
      <w:r>
        <w:t xml:space="preserve"> </w:t>
      </w:r>
      <w:r>
        <w:t xml:space="preserve">— relevant given that Whitmore implementation teams will be deeply embedded at KBI sites for 18 months.</w:t>
      </w:r>
    </w:p>
    <w:p>
      <w:pPr>
        <w:pStyle w:val="BodyText"/>
      </w:pPr>
      <w:r>
        <w:rPr>
          <w:b/>
          <w:bCs/>
        </w:rPr>
        <w:t xml:space="preserve">L-11. Reference / customer-logo rights.</w:t>
      </w:r>
      <w:r>
        <w:t xml:space="preserve"> </w:t>
      </w:r>
      <w:r>
        <w:t xml:space="preserve">The term sheet does not address whether Whitmore may use KBI’s name/logo as a reference customer (or vice versa). Given KBI’s value as a European reference account, Whitmore should secure reference rights (subject to reasonable approval).</w:t>
      </w:r>
    </w:p>
    <w:p>
      <w:pPr>
        <w:pStyle w:val="BodyText"/>
      </w:pPr>
      <w:r>
        <w:rPr>
          <w:b/>
          <w:bCs/>
        </w:rPr>
        <w:t xml:space="preserve">L-12. Tax / withholding mechanics.</w:t>
      </w:r>
      <w:r>
        <w:t xml:space="preserve"> </w:t>
      </w:r>
      <w:r>
        <w:t xml:space="preserve">Payments flow from a German entity to a U.S. licensor. The term sheet allocates sales/use/VAT to KBI but does</w:t>
      </w:r>
      <w:r>
        <w:t xml:space="preserve"> </w:t>
      </w:r>
      <w:r>
        <w:rPr>
          <w:b/>
          <w:bCs/>
        </w:rPr>
        <w:t xml:space="preserve">not address withholding tax, the U.S.–Germany tax treaty, W-8BEN-E/Forms, or gross-up</w:t>
      </w:r>
      <w:r>
        <w:t xml:space="preserve">.</w:t>
      </w:r>
    </w:p>
    <w:p>
      <w:pPr>
        <w:pStyle w:val="BodyText"/>
      </w:pPr>
      <w:r>
        <w:rPr>
          <w:b/>
          <w:bCs/>
        </w:rPr>
        <w:t xml:space="preserve">L-13. Transition / wind-down assistance services.</w:t>
      </w:r>
      <w:r>
        <w:t xml:space="preserve"> </w:t>
      </w:r>
      <w:r>
        <w:t xml:space="preserve">Beyond the wind-down license, there is</w:t>
      </w:r>
      <w:r>
        <w:t xml:space="preserve"> </w:t>
      </w:r>
      <w:r>
        <w:rPr>
          <w:b/>
          <w:bCs/>
        </w:rPr>
        <w:t xml:space="preserve">no transition-assistance services obligation</w:t>
      </w:r>
      <w:r>
        <w:t xml:space="preserve"> </w:t>
      </w:r>
      <w:r>
        <w:t xml:space="preserve">(or corresponding fee) on termination — relevant for both parties.</w:t>
      </w:r>
    </w:p>
    <w:p>
      <w:pPr>
        <w:pStyle w:val="BodyText"/>
      </w:pPr>
      <w:r>
        <w:rPr>
          <w:b/>
          <w:bCs/>
        </w:rPr>
        <w:t xml:space="preserve">L-14. License-compliance / usage audit by Whitmore.</w:t>
      </w:r>
      <w:r>
        <w:t xml:space="preserve"> </w:t>
      </w:r>
      <w:r>
        <w:t xml:space="preserve">There is no right for Whitmore to audit KBI’s usage/deployment count for license compliance (the only audit right in the documents runs in KBI’s favor under the MFC).</w:t>
      </w:r>
    </w:p>
    <w:p>
      <w:pPr>
        <w:pStyle w:val="BodyText"/>
      </w:pPr>
      <w:r>
        <w:rPr>
          <w:b/>
          <w:bCs/>
        </w:rPr>
        <w:t xml:space="preserve">L-15. Survival completeness.</w:t>
      </w:r>
      <w:r>
        <w:t xml:space="preserve"> </w:t>
      </w:r>
      <w:r>
        <w:t xml:space="preserve">Section 13.6(d) lists surviving sections (3, 4, 9, 10, 11, 12, 15, 16) but</w:t>
      </w:r>
      <w:r>
        <w:t xml:space="preserve"> </w:t>
      </w:r>
      <w:r>
        <w:rPr>
          <w:b/>
          <w:bCs/>
        </w:rPr>
        <w:t xml:space="preserve">omits Section 8 (Warranties)</w:t>
      </w:r>
      <w:r>
        <w:t xml:space="preserve"> </w:t>
      </w:r>
      <w:r>
        <w:t xml:space="preserve">and does not expressly include Section 14 (dispute resolution), which inherently survives but should be confirmed. The 24-month conformance warranty and the ongoing performance warranty should survive appropriately.</w:t>
      </w:r>
    </w:p>
    <w:p>
      <w:pPr>
        <w:pStyle w:val="BodyText"/>
      </w:pPr>
      <w:r>
        <w:rPr>
          <w:b/>
          <w:bCs/>
        </w:rPr>
        <w:t xml:space="preserve">L-16. Specific performance / injunctive relief is one-sided.</w:t>
      </w:r>
      <w:r>
        <w:t xml:space="preserve"> </w:t>
      </w:r>
      <w:r>
        <w:t xml:space="preserve">Only KBI obtains express injunctive relief (for exclusivity, Section 12.5, without a bond). Whitmore has</w:t>
      </w:r>
      <w:r>
        <w:t xml:space="preserve"> </w:t>
      </w:r>
      <w:r>
        <w:rPr>
          <w:b/>
          <w:bCs/>
        </w:rPr>
        <w:t xml:space="preserve">no corresponding injunctive remedy</w:t>
      </w:r>
      <w:r>
        <w:t xml:space="preserve"> </w:t>
      </w:r>
      <w:r>
        <w:t xml:space="preserve">for, e.g., unauthorized use or confidentiality breach (though Section 14.3 permits interim measures generally).</w:t>
      </w:r>
    </w:p>
    <w:p>
      <w:pPr>
        <w:pStyle w:val="BodyText"/>
      </w:pPr>
      <w:r>
        <w:rPr>
          <w:b/>
          <w:bCs/>
        </w:rPr>
        <w:t xml:space="preserve">L-17. Currency / FX risk allocation.</w:t>
      </w:r>
      <w:r>
        <w:t xml:space="preserve"> </w:t>
      </w:r>
      <w:r>
        <w:t xml:space="preserve">All fees are in USD; KBI bears FX risk. This is favorable to Whitmore but KBI may seek a euro-denominated or FX-sharing alternative.</w:t>
      </w:r>
    </w:p>
    <w:p>
      <w:pPr>
        <w:pStyle w:val="BodyText"/>
      </w:pPr>
      <w:r>
        <w:rPr>
          <w:b/>
          <w:bCs/>
        </w:rPr>
        <w:t xml:space="preserve">L-18. Internal-document discrepancies to reconcile.</w:t>
      </w:r>
      <w:r>
        <w:t xml:space="preserve"> </w:t>
      </w:r>
      <w:r>
        <w:t xml:space="preserve">Two clerical/characterization discrepancies should be resolved before responding: (a) the side letter identifies Whitmore’s counsel as</w:t>
      </w:r>
      <w:r>
        <w:t xml:space="preserve"> </w:t>
      </w:r>
      <w:r>
        <w:t xml:space="preserve">“</w:t>
      </w:r>
      <w:r>
        <w:rPr>
          <w:b/>
          <w:bCs/>
        </w:rPr>
        <w:t xml:space="preserve">Fenwick</w:t>
      </w:r>
      <w:r>
        <w:t xml:space="preserve"> </w:t>
      </w:r>
      <w:r>
        <w:t xml:space="preserve">Hale &amp; Seward LLP</w:t>
      </w:r>
      <w:r>
        <w:t xml:space="preserve">”</w:t>
      </w:r>
      <w:r>
        <w:t xml:space="preserve"> </w:t>
      </w:r>
      <w:r>
        <w:t xml:space="preserve">while the engagement emails refer to</w:t>
      </w:r>
      <w:r>
        <w:t xml:space="preserve"> </w:t>
      </w:r>
      <w:r>
        <w:t xml:space="preserve">“</w:t>
      </w:r>
      <w:r>
        <w:rPr>
          <w:b/>
          <w:bCs/>
        </w:rPr>
        <w:t xml:space="preserve">Ferndale</w:t>
      </w:r>
      <w:r>
        <w:t xml:space="preserve"> </w:t>
      </w:r>
      <w:r>
        <w:t xml:space="preserve">Hale &amp; Seward LLP</w:t>
      </w:r>
      <w:r>
        <w:t xml:space="preserve">”</w:t>
      </w:r>
      <w:r>
        <w:t xml:space="preserve">; and (b) the internal email’s</w:t>
      </w:r>
      <w:r>
        <w:t xml:space="preserve"> </w:t>
      </w:r>
      <w:r>
        <w:t xml:space="preserve">“</w:t>
      </w:r>
      <w:r>
        <w:t xml:space="preserve">24-month wind-down license at reduced fees</w:t>
      </w:r>
      <w:r>
        <w:t xml:space="preserve">”</w:t>
      </w:r>
      <w:r>
        <w:t xml:space="preserve"> </w:t>
      </w:r>
      <w:r>
        <w:t xml:space="preserve">characterization does not match the term sheet’s</w:t>
      </w:r>
      <w:r>
        <w:t xml:space="preserve"> </w:t>
      </w:r>
      <w:r>
        <w:rPr>
          <w:b/>
          <w:bCs/>
        </w:rPr>
        <w:t xml:space="preserve">perpetual</w:t>
      </w:r>
      <w:r>
        <w:t xml:space="preserve"> </w:t>
      </w:r>
      <w:r>
        <w:t xml:space="preserve">wind-down license at the</w:t>
      </w:r>
      <w:r>
        <w:t xml:space="preserve"> </w:t>
      </w:r>
      <w:r>
        <w:rPr>
          <w:b/>
          <w:bCs/>
        </w:rPr>
        <w:t xml:space="preserve">full</w:t>
      </w:r>
      <w:r>
        <w:t xml:space="preserve"> </w:t>
      </w:r>
      <w:r>
        <w:t xml:space="preserve">maintenance fee (see H-7). Additionally, an internal email references MFC</w:t>
      </w:r>
      <w:r>
        <w:t xml:space="preserve"> </w:t>
      </w:r>
      <w:r>
        <w:t xml:space="preserve">“</w:t>
      </w:r>
      <w:r>
        <w:t xml:space="preserve">retroactive application to any pricing concessions … since January 1, 2024,</w:t>
      </w:r>
      <w:r>
        <w:t xml:space="preserve">”</w:t>
      </w:r>
      <w:r>
        <w:t xml:space="preserve"> </w:t>
      </w:r>
      <w:r>
        <w:t xml:space="preserve">a look-back date that</w:t>
      </w:r>
      <w:r>
        <w:t xml:space="preserve"> </w:t>
      </w:r>
      <w:r>
        <w:rPr>
          <w:b/>
          <w:bCs/>
        </w:rPr>
        <w:t xml:space="preserve">does not appear in the side letter text as provided</w:t>
      </w:r>
      <w:r>
        <w:t xml:space="preserve"> </w:t>
      </w:r>
      <w:r>
        <w:t xml:space="preserve">(the side letter’s retroactivity runs to the date more-favorable terms were first offered to a Subsequent Licensee under agreements during/after the term); this should be confirmed against any earlier draft.</w:t>
      </w:r>
    </w:p>
    <w:bookmarkEnd w:id="32"/>
    <w:bookmarkEnd w:id="33"/>
    <w:bookmarkStart w:id="37" w:name="vii.-negotiation-recommendations"/>
    <w:p>
      <w:pPr>
        <w:pStyle w:val="Heading2"/>
      </w:pPr>
      <w:r>
        <w:t xml:space="preserve">VII. Negotiation Recommendations</w:t>
      </w:r>
    </w:p>
    <w:p>
      <w:pPr>
        <w:pStyle w:val="FirstParagraph"/>
      </w:pPr>
      <w:r>
        <w:t xml:space="preserve">The following recommendations reflect (i) the negotiation positions stated by Whitmore’s management in the June 3, 2025 email thread and (ii) our additional recommendations as outside counsel. They are organized by issue and aligned to the risk flags in Section VI. We recommend the board approve a negotiation framework along these lines and authorize management to respond to KBI by June 23, 2025.</w:t>
      </w:r>
    </w:p>
    <w:bookmarkStart w:id="34" w:name="a.-critical-issues-recommended-red-lines"/>
    <w:p>
      <w:pPr>
        <w:pStyle w:val="Heading3"/>
      </w:pPr>
      <w:r>
        <w:t xml:space="preserve">A. Critical Issues — Recommended Red Lines</w:t>
      </w:r>
    </w:p>
    <w:p>
      <w:pPr>
        <w:pStyle w:val="FirstParagraph"/>
      </w:pPr>
      <w:r>
        <w:rPr>
          <w:b/>
          <w:bCs/>
        </w:rPr>
        <w:t xml:space="preserve">1. Exclusivity / non-compete (C-1).</w:t>
      </w:r>
      <w:r>
        <w:t xml:space="preserve"> </w:t>
      </w:r>
      <w:r>
        <w:rPr>
          <w:i/>
          <w:iCs/>
        </w:rPr>
        <w:t xml:space="preserve">Management position (R. Malhotra):</w:t>
      </w:r>
      <w:r>
        <w:t xml:space="preserve"> </w:t>
      </w:r>
      <w:r>
        <w:t xml:space="preserve">Whitmore might accept a</w:t>
      </w:r>
      <w:r>
        <w:t xml:space="preserve"> </w:t>
      </w:r>
      <w:r>
        <w:rPr>
          <w:b/>
          <w:bCs/>
        </w:rPr>
        <w:t xml:space="preserve">narrow named-company exclusivity limited to the 12 Exhibit B companies, for 18 months (not 3 years)</w:t>
      </w:r>
      <w:r>
        <w:t xml:space="preserve">; the open-ended 30%-revenue definition must be removed entirely.</w:t>
      </w:r>
      <w:r>
        <w:t xml:space="preserve"> </w:t>
      </w:r>
      <w:r>
        <w:rPr>
          <w:i/>
          <w:iCs/>
        </w:rPr>
        <w:t xml:space="preserve">Our recommendation:</w:t>
      </w:r>
      <w:r>
        <w:t xml:space="preserve"> </w:t>
      </w:r>
      <w:r>
        <w:t xml:space="preserve">Adopt management’s position. In addition: (a) limit the restriction to PredictIQ only (not</w:t>
      </w:r>
      <w:r>
        <w:t xml:space="preserve"> </w:t>
      </w:r>
      <w:r>
        <w:t xml:space="preserve">“</w:t>
      </w:r>
      <w:r>
        <w:t xml:space="preserve">any successor or substantially similar product</w:t>
      </w:r>
      <w:r>
        <w:t xml:space="preserve">”</w:t>
      </w:r>
      <w:r>
        <w:t xml:space="preserve">); (b) make the obligation</w:t>
      </w:r>
      <w:r>
        <w:t xml:space="preserve"> </w:t>
      </w:r>
      <w:r>
        <w:rPr>
          <w:b/>
          <w:bCs/>
        </w:rPr>
        <w:t xml:space="preserve">non-surviving</w:t>
      </w:r>
      <w:r>
        <w:t xml:space="preserve"> </w:t>
      </w:r>
      <w:r>
        <w:t xml:space="preserve">on KBI’s termination for convenience or for performance failure (it should not survive a KBI walk-away); (c) require KBI to</w:t>
      </w:r>
      <w:r>
        <w:t xml:space="preserve"> </w:t>
      </w:r>
      <w:r>
        <w:rPr>
          <w:b/>
          <w:bCs/>
        </w:rPr>
        <w:t xml:space="preserve">post a bond / show irreparable harm</w:t>
      </w:r>
      <w:r>
        <w:t xml:space="preserve"> </w:t>
      </w:r>
      <w:r>
        <w:t xml:space="preserve">for injunctive relief, or remove the injunctive-relief carve-out; (d) add a</w:t>
      </w:r>
      <w:r>
        <w:t xml:space="preserve"> </w:t>
      </w:r>
      <w:r>
        <w:rPr>
          <w:b/>
          <w:bCs/>
        </w:rPr>
        <w:t xml:space="preserve">mutual</w:t>
      </w:r>
      <w:r>
        <w:t xml:space="preserve"> </w:t>
      </w:r>
      <w:r>
        <w:t xml:space="preserve">non-solicit limited to Whitmore personnel; (e)</w:t>
      </w:r>
      <w:r>
        <w:t xml:space="preserve"> </w:t>
      </w:r>
      <w:r>
        <w:rPr>
          <w:b/>
          <w:bCs/>
        </w:rPr>
        <w:t xml:space="preserve">confirm the remedies</w:t>
      </w:r>
      <w:r>
        <w:t xml:space="preserve"> </w:t>
      </w:r>
      <w:r>
        <w:t xml:space="preserve">— if KBI intends liquidated damages (referenced internally but absent from the term sheet), resist any penalty-style liquidated damages as likely unenforceable under German law and commercially disproportionate; and (f) obtain a one-page European pipeline impact summary (T. Kendrick) quantifying the 3 active prospects, the $4–5M potential recurring revenue, and the 25–30 additional companies, for the board deck and the response to KBI.</w:t>
      </w:r>
    </w:p>
    <w:p>
      <w:pPr>
        <w:pStyle w:val="BodyText"/>
      </w:pPr>
      <w:r>
        <w:rPr>
          <w:b/>
          <w:bCs/>
        </w:rPr>
        <w:t xml:space="preserve">2. Data-training restriction (C-2).</w:t>
      </w:r>
      <w:r>
        <w:t xml:space="preserve"> </w:t>
      </w:r>
      <w:r>
        <w:rPr>
          <w:i/>
          <w:iCs/>
        </w:rPr>
        <w:t xml:space="preserve">Management position (R. Malhotra):</w:t>
      </w:r>
      <w:r>
        <w:t xml:space="preserve"> </w:t>
      </w:r>
      <w:r>
        <w:t xml:space="preserve">Anonymized, aggregated data usage for model improvement is</w:t>
      </w:r>
      <w:r>
        <w:t xml:space="preserve"> </w:t>
      </w:r>
      <w:r>
        <w:rPr>
          <w:b/>
          <w:bCs/>
        </w:rPr>
        <w:t xml:space="preserve">non-negotiable</w:t>
      </w:r>
      <w:r>
        <w:t xml:space="preserve">; Whitmore must retain the right to use anonymized and aggregated KBI data to train and improve general ML models, subject to strong anonymization standards, minimum aggregation pool sizes, and (if KBI requires) third-party verification of the anonymization process.</w:t>
      </w:r>
      <w:r>
        <w:t xml:space="preserve"> </w:t>
      </w:r>
      <w:r>
        <w:rPr>
          <w:i/>
          <w:iCs/>
        </w:rPr>
        <w:t xml:space="preserve">Our recommendation:</w:t>
      </w:r>
      <w:r>
        <w:t xml:space="preserve"> </w:t>
      </w:r>
      <w:r>
        <w:t xml:space="preserve">Adopt management’s position as a red line. Redraft Section 4.3 to (a) permit use of</w:t>
      </w:r>
      <w:r>
        <w:t xml:space="preserve"> </w:t>
      </w:r>
      <w:r>
        <w:rPr>
          <w:b/>
          <w:bCs/>
        </w:rPr>
        <w:t xml:space="preserve">de-identified, aggregated</w:t>
      </w:r>
      <w:r>
        <w:t xml:space="preserve"> </w:t>
      </w:r>
      <w:r>
        <w:t xml:space="preserve">KBI Data for model improvement subject to defined anonymization standards (e.g., k-anonymity / differential-privacy thresholds) and a minimum pool size; (b) remove KBI’s sole-discretion consent right for such aggregated use; and (c) preserve KBI’s legitimate restrictions on</w:t>
      </w:r>
      <w:r>
        <w:t xml:space="preserve"> </w:t>
      </w:r>
      <w:r>
        <w:rPr>
          <w:b/>
          <w:bCs/>
        </w:rPr>
        <w:t xml:space="preserve">re-identification and on use of raw, identifiable</w:t>
      </w:r>
      <w:r>
        <w:t xml:space="preserve"> </w:t>
      </w:r>
      <w:r>
        <w:t xml:space="preserve">KBI Data.</w:t>
      </w:r>
    </w:p>
    <w:p>
      <w:pPr>
        <w:pStyle w:val="BodyText"/>
      </w:pPr>
      <w:r>
        <w:rPr>
          <w:b/>
          <w:bCs/>
        </w:rPr>
        <w:t xml:space="preserve">3. Output Data ownership (C-3).</w:t>
      </w:r>
      <w:r>
        <w:t xml:space="preserve"> </w:t>
      </w:r>
      <w:r>
        <w:rPr>
          <w:i/>
          <w:iCs/>
        </w:rPr>
        <w:t xml:space="preserve">Management position (R. Malhotra):</w:t>
      </w:r>
      <w:r>
        <w:t xml:space="preserve"> </w:t>
      </w:r>
      <w:r>
        <w:t xml:space="preserve">The Output Data ownership claim must be</w:t>
      </w:r>
      <w:r>
        <w:t xml:space="preserve"> </w:t>
      </w:r>
      <w:r>
        <w:rPr>
          <w:b/>
          <w:bCs/>
        </w:rPr>
        <w:t xml:space="preserve">struck or fundamentally restructured</w:t>
      </w:r>
      <w:r>
        <w:t xml:space="preserve">; model weights and parameters resulting from processing data in the ordinary course of providing services cannot belong to KBI.</w:t>
      </w:r>
      <w:r>
        <w:t xml:space="preserve"> </w:t>
      </w:r>
      <w:r>
        <w:rPr>
          <w:i/>
          <w:iCs/>
        </w:rPr>
        <w:t xml:space="preserve">Our recommendation:</w:t>
      </w:r>
      <w:r>
        <w:t xml:space="preserve"> </w:t>
      </w:r>
      <w:r>
        <w:t xml:space="preserve">Adopt as a red line. Redraft Section 4.2 so that KBI owns</w:t>
      </w:r>
      <w:r>
        <w:t xml:space="preserve"> </w:t>
      </w:r>
      <w:r>
        <w:rPr>
          <w:b/>
          <w:bCs/>
        </w:rPr>
        <w:t xml:space="preserve">reports, predictions, alerts, and analytics outputs</w:t>
      </w:r>
      <w:r>
        <w:t xml:space="preserve"> </w:t>
      </w:r>
      <w:r>
        <w:t xml:space="preserve">delivered to it, but</w:t>
      </w:r>
      <w:r>
        <w:t xml:space="preserve"> </w:t>
      </w:r>
      <w:r>
        <w:rPr>
          <w:b/>
          <w:bCs/>
        </w:rPr>
        <w:t xml:space="preserve">Whitmore retains ownership of model weights, parameters, training artifacts, and model-configuration data</w:t>
      </w:r>
      <w:r>
        <w:t xml:space="preserve"> </w:t>
      </w:r>
      <w:r>
        <w:t xml:space="preserve">(which are Whitmore IP, optionally licensed to KBI for internal use). Clarify that improvements to PredictIQ’s general models remain Whitmore’s exclusive property.</w:t>
      </w:r>
    </w:p>
    <w:p>
      <w:pPr>
        <w:pStyle w:val="BodyText"/>
      </w:pPr>
      <w:r>
        <w:rPr>
          <w:b/>
          <w:bCs/>
        </w:rPr>
        <w:t xml:space="preserve">4. MFC side letter (C-4).</w:t>
      </w:r>
      <w:r>
        <w:t xml:space="preserve"> </w:t>
      </w:r>
      <w:r>
        <w:rPr>
          <w:i/>
          <w:iCs/>
        </w:rPr>
        <w:t xml:space="preserve">Our recommendation:</w:t>
      </w:r>
      <w:r>
        <w:t xml:space="preserve"> </w:t>
      </w:r>
      <w:r>
        <w:t xml:space="preserve">Negotiate materially before accepting. Seek: (a) a</w:t>
      </w:r>
      <w:r>
        <w:t xml:space="preserve"> </w:t>
      </w:r>
      <w:r>
        <w:rPr>
          <w:b/>
          <w:bCs/>
        </w:rPr>
        <w:t xml:space="preserve">defined sunset</w:t>
      </w:r>
      <w:r>
        <w:t xml:space="preserve"> </w:t>
      </w:r>
      <w:r>
        <w:t xml:space="preserve">(e.g., 3 years from execution, or coterminous with the initial SaaS term rather than the perpetual license/wind-down); (b)</w:t>
      </w:r>
      <w:r>
        <w:t xml:space="preserve"> </w:t>
      </w:r>
      <w:r>
        <w:rPr>
          <w:b/>
          <w:bCs/>
        </w:rPr>
        <w:t xml:space="preserve">standard carve-outs</w:t>
      </w:r>
      <w:r>
        <w:t xml:space="preserve"> </w:t>
      </w:r>
      <w:r>
        <w:t xml:space="preserve">— volume/enterprise discounts to larger customers, different product modules/bundles, different service levels, different term lengths, government/educational pricing, distressed/acquisition transactions, pilot/POC pricing, and affiliate pricing; (c)</w:t>
      </w:r>
      <w:r>
        <w:t xml:space="preserve"> </w:t>
      </w:r>
      <w:r>
        <w:rPr>
          <w:b/>
          <w:bCs/>
        </w:rPr>
        <w:t xml:space="preserve">no retroactivity</w:t>
      </w:r>
      <w:r>
        <w:t xml:space="preserve"> </w:t>
      </w:r>
      <w:r>
        <w:t xml:space="preserve">(prospective adjustment only, from the date of the more-favorable agreement); (d) a</w:t>
      </w:r>
      <w:r>
        <w:t xml:space="preserve"> </w:t>
      </w:r>
      <w:r>
        <w:rPr>
          <w:b/>
          <w:bCs/>
        </w:rPr>
        <w:t xml:space="preserve">true comparability test</w:t>
      </w:r>
      <w:r>
        <w:t xml:space="preserve"> </w:t>
      </w:r>
      <w:r>
        <w:t xml:space="preserve">(same scope, services, term, geography, and product) rather than a blunt per-facility metric; (e) a</w:t>
      </w:r>
      <w:r>
        <w:t xml:space="preserve"> </w:t>
      </w:r>
      <w:r>
        <w:rPr>
          <w:b/>
          <w:bCs/>
        </w:rPr>
        <w:t xml:space="preserve">narrowed audit right</w:t>
      </w:r>
      <w:r>
        <w:t xml:space="preserve"> </w:t>
      </w:r>
      <w:r>
        <w:t xml:space="preserve">with a confidentiality/non-use undertaking by the auditor and a defined scope limited to PredictIQ pricing (not Whitmore’s entire licensing book); (f)</w:t>
      </w:r>
      <w:r>
        <w:t xml:space="preserve"> </w:t>
      </w:r>
      <w:r>
        <w:rPr>
          <w:b/>
          <w:bCs/>
        </w:rPr>
        <w:t xml:space="preserve">narrow the trigger</w:t>
      </w:r>
      <w:r>
        <w:t xml:space="preserve"> </w:t>
      </w:r>
      <w:r>
        <w:t xml:space="preserve">from</w:t>
      </w:r>
      <w:r>
        <w:t xml:space="preserve"> </w:t>
      </w:r>
      <w:r>
        <w:t xml:space="preserve">“</w:t>
      </w:r>
      <w:r>
        <w:t xml:space="preserve">any agreement, amendment, or arrangement</w:t>
      </w:r>
      <w:r>
        <w:t xml:space="preserve">”</w:t>
      </w:r>
      <w:r>
        <w:t xml:space="preserve"> </w:t>
      </w:r>
      <w:r>
        <w:t xml:space="preserve">to executed, comparable license agreements only (excluding pilots, LOIs, and amendments to pre-existing licenses); (g)</w:t>
      </w:r>
      <w:r>
        <w:t xml:space="preserve"> </w:t>
      </w:r>
      <w:r>
        <w:rPr>
          <w:b/>
          <w:bCs/>
        </w:rPr>
        <w:t xml:space="preserve">carve Whitmore’s own advisors, auditors, board, and prospective investors/acquirers</w:t>
      </w:r>
      <w:r>
        <w:t xml:space="preserve"> </w:t>
      </w:r>
      <w:r>
        <w:t xml:space="preserve">out of the side letter’s confidentiality restriction so Whitmore can manage its own affairs and diligence; and (h) confirmation of the look-back period (see L-18). If KBI insists on an MFC as a condition, these cabining terms are essential.</w:t>
      </w:r>
    </w:p>
    <w:p>
      <w:pPr>
        <w:pStyle w:val="BodyText"/>
      </w:pPr>
      <w:r>
        <w:rPr>
          <w:b/>
          <w:bCs/>
        </w:rPr>
        <w:t xml:space="preserve">5. Uncapped IP indemnification (C-5).</w:t>
      </w:r>
      <w:r>
        <w:t xml:space="preserve"> </w:t>
      </w:r>
      <w:r>
        <w:rPr>
          <w:i/>
          <w:iCs/>
        </w:rPr>
        <w:t xml:space="preserve">Our recommendation:</w:t>
      </w:r>
      <w:r>
        <w:t xml:space="preserve"> </w:t>
      </w:r>
      <w:r>
        <w:t xml:space="preserve">Seek to (a) add</w:t>
      </w:r>
      <w:r>
        <w:t xml:space="preserve"> </w:t>
      </w:r>
      <w:r>
        <w:rPr>
          <w:b/>
          <w:bCs/>
        </w:rPr>
        <w:t xml:space="preserve">standard carve-outs</w:t>
      </w:r>
      <w:r>
        <w:t xml:space="preserve"> </w:t>
      </w:r>
      <w:r>
        <w:t xml:space="preserve">for claims arising from KBI’s modifications, combinations with third-party systems, or derivative works, and for use outside the license scope; (b) add a</w:t>
      </w:r>
      <w:r>
        <w:t xml:space="preserve"> </w:t>
      </w:r>
      <w:r>
        <w:rPr>
          <w:b/>
          <w:bCs/>
        </w:rPr>
        <w:t xml:space="preserve">duty on KBI to suspend use</w:t>
      </w:r>
      <w:r>
        <w:t xml:space="preserve"> </w:t>
      </w:r>
      <w:r>
        <w:t xml:space="preserve">of allegedly infringing functionality upon Whitmore’s reasonable request; (c) preserve Whitmore’s sole-option cure rights (Section 9.2) and add a KBI cooperation obligation; and (d) if a cap cannot be avoided, seek a</w:t>
      </w:r>
      <w:r>
        <w:t xml:space="preserve"> </w:t>
      </w:r>
      <w:r>
        <w:rPr>
          <w:b/>
          <w:bCs/>
        </w:rPr>
        <w:t xml:space="preserve">super-cap</w:t>
      </w:r>
      <w:r>
        <w:t xml:space="preserve"> </w:t>
      </w:r>
      <w:r>
        <w:t xml:space="preserve">(e.g., 3× the general cap or a defined multiple of fees) rather than true uncapped exposure, and ensure the IP warranty’s</w:t>
      </w:r>
      <w:r>
        <w:t xml:space="preserve"> </w:t>
      </w:r>
      <w:r>
        <w:t xml:space="preserve">“</w:t>
      </w:r>
      <w:r>
        <w:t xml:space="preserve">to Whitmore’s knowledge</w:t>
      </w:r>
      <w:r>
        <w:t xml:space="preserve">”</w:t>
      </w:r>
      <w:r>
        <w:t xml:space="preserve"> </w:t>
      </w:r>
      <w:r>
        <w:t xml:space="preserve">qualifier is preserved. Note the interaction with German governing law (H-9).</w:t>
      </w:r>
    </w:p>
    <w:bookmarkEnd w:id="34"/>
    <w:bookmarkStart w:id="35" w:name="Xa91ba865bef6adeeebfb5ac0ffc09ff9d23507d"/>
    <w:p>
      <w:pPr>
        <w:pStyle w:val="Heading3"/>
      </w:pPr>
      <w:r>
        <w:t xml:space="preserve">B. High-Priority Issues — Recommended Counter-Terms</w:t>
      </w:r>
    </w:p>
    <w:p>
      <w:pPr>
        <w:pStyle w:val="FirstParagraph"/>
      </w:pPr>
      <w:r>
        <w:rPr>
          <w:b/>
          <w:bCs/>
        </w:rPr>
        <w:t xml:space="preserve">6. Payment structure / cash flow (H-1).</w:t>
      </w:r>
      <w:r>
        <w:t xml:space="preserve"> </w:t>
      </w:r>
      <w:r>
        <w:rPr>
          <w:i/>
          <w:iCs/>
        </w:rPr>
        <w:t xml:space="preserve">Management position (R. Malhotra):</w:t>
      </w:r>
      <w:r>
        <w:t xml:space="preserve"> </w:t>
      </w:r>
      <w:r>
        <w:t xml:space="preserve">Reverse the license-fee split to</w:t>
      </w:r>
      <w:r>
        <w:t xml:space="preserve"> </w:t>
      </w:r>
      <w:r>
        <w:rPr>
          <w:b/>
          <w:bCs/>
        </w:rPr>
        <w:t xml:space="preserve">40% at signing ($1.68M) / 30% at Phase 1 completion ($1.26M) / 30% at Phase 2 go-live ($1.26M)</w:t>
      </w:r>
      <w:r>
        <w:t xml:space="preserve">, and</w:t>
      </w:r>
      <w:r>
        <w:t xml:space="preserve"> </w:t>
      </w:r>
      <w:r>
        <w:rPr>
          <w:b/>
          <w:bCs/>
        </w:rPr>
        <w:t xml:space="preserve">front-load the implementation fee</w:t>
      </w:r>
      <w:r>
        <w:t xml:space="preserve"> </w:t>
      </w:r>
      <w:r>
        <w:t xml:space="preserve">(e.g., 40% in the first 6 months rather than linear).</w:t>
      </w:r>
      <w:r>
        <w:t xml:space="preserve"> </w:t>
      </w:r>
      <w:r>
        <w:rPr>
          <w:i/>
          <w:iCs/>
        </w:rPr>
        <w:t xml:space="preserve">Management position (S. Yin):</w:t>
      </w:r>
      <w:r>
        <w:t xml:space="preserve"> </w:t>
      </w:r>
      <w:r>
        <w:t xml:space="preserve">Consider breaking the implementation services into a</w:t>
      </w:r>
      <w:r>
        <w:t xml:space="preserve"> </w:t>
      </w:r>
      <w:r>
        <w:rPr>
          <w:b/>
          <w:bCs/>
        </w:rPr>
        <w:t xml:space="preserve">separate Statement of Work with its own milestone-based payment schedule</w:t>
      </w:r>
      <w:r>
        <w:t xml:space="preserve">, improving both cash management and ASC 606 accounting treatment.</w:t>
      </w:r>
      <w:r>
        <w:t xml:space="preserve"> </w:t>
      </w:r>
      <w:r>
        <w:rPr>
          <w:i/>
          <w:iCs/>
        </w:rPr>
        <w:t xml:space="preserve">Our recommendation:</w:t>
      </w:r>
      <w:r>
        <w:t xml:space="preserve"> </w:t>
      </w:r>
      <w:r>
        <w:t xml:space="preserve">Adopt both. Flag the revenue-recognition implications to Lakeshore Accounting Group LLP early. Model the revised first-6-month cash picture before responding.</w:t>
      </w:r>
    </w:p>
    <w:p>
      <w:pPr>
        <w:pStyle w:val="BodyText"/>
      </w:pPr>
      <w:r>
        <w:rPr>
          <w:b/>
          <w:bCs/>
        </w:rPr>
        <w:t xml:space="preserve">7. Performance warranty (H-2).</w:t>
      </w:r>
      <w:r>
        <w:t xml:space="preserve"> </w:t>
      </w:r>
      <w:r>
        <w:rPr>
          <w:i/>
          <w:iCs/>
        </w:rPr>
        <w:t xml:space="preserve">Our recommendation:</w:t>
      </w:r>
      <w:r>
        <w:t xml:space="preserve"> </w:t>
      </w:r>
      <w:r>
        <w:t xml:space="preserve">(a) Tighten the definition and measurement methodology — specify the baseline, the data-quality and sensor-calibration obligations on KBI that are prerequisites to measurement, and exclude periods affected by KBI-caused data-quality failures, force majeure, or KBI system outages; (b) reduce the warranty threshold or convert the financial penalty to a</w:t>
      </w:r>
      <w:r>
        <w:t xml:space="preserve"> </w:t>
      </w:r>
      <w:r>
        <w:rPr>
          <w:b/>
          <w:bCs/>
        </w:rPr>
        <w:t xml:space="preserve">capped</w:t>
      </w:r>
      <w:r>
        <w:t xml:space="preserve"> </w:t>
      </w:r>
      <w:r>
        <w:t xml:space="preserve">service-credit regime with a defined aggregate cap; (c) lengthen the cure/notice mechanics before the 85%/two-quarter termination trigger and require KBI to provide Whitmore a reasonable remediation period; (d) make the performance warranty</w:t>
      </w:r>
      <w:r>
        <w:t xml:space="preserve"> </w:t>
      </w:r>
      <w:r>
        <w:rPr>
          <w:b/>
          <w:bCs/>
        </w:rPr>
        <w:t xml:space="preserve">mutual</w:t>
      </w:r>
      <w:r>
        <w:t xml:space="preserve"> </w:t>
      </w:r>
      <w:r>
        <w:t xml:space="preserve">or at least condition KBI’s termination right on KBI’s own compliance with its data and system obligations; and (e) consider a longer rolling measurement window to reduce volatility.</w:t>
      </w:r>
    </w:p>
    <w:p>
      <w:pPr>
        <w:pStyle w:val="BodyText"/>
      </w:pPr>
      <w:r>
        <w:rPr>
          <w:b/>
          <w:bCs/>
        </w:rPr>
        <w:t xml:space="preserve">8. Conformance warranty (H-3).</w:t>
      </w:r>
      <w:r>
        <w:t xml:space="preserve"> </w:t>
      </w:r>
      <w:r>
        <w:rPr>
          <w:i/>
          <w:iCs/>
        </w:rPr>
        <w:t xml:space="preserve">Our recommendation:</w:t>
      </w:r>
      <w:r>
        <w:t xml:space="preserve"> </w:t>
      </w:r>
      <w:r>
        <w:t xml:space="preserve">Shorten to a standard 90-day (or at most 12-month) warranty from each facility’s go-live, consistent with enterprise SaaS norms.</w:t>
      </w:r>
    </w:p>
    <w:p>
      <w:pPr>
        <w:pStyle w:val="BodyText"/>
      </w:pPr>
      <w:r>
        <w:rPr>
          <w:b/>
          <w:bCs/>
        </w:rPr>
        <w:t xml:space="preserve">9. Liability cap (H-4).</w:t>
      </w:r>
      <w:r>
        <w:t xml:space="preserve"> </w:t>
      </w:r>
      <w:r>
        <w:rPr>
          <w:i/>
          <w:iCs/>
        </w:rPr>
        <w:t xml:space="preserve">Our recommendation:</w:t>
      </w:r>
      <w:r>
        <w:t xml:space="preserve"> </w:t>
      </w:r>
      <w:r>
        <w:t xml:space="preserve">Reduce the floor (e.g., cap at 1× or 2× annual fees with a lower fixed ceiling) and reconsider carving confidentiality breaches out of the cap given the breadth of the KBI Data restrictions; alternatively, cap confidentiality liability at a defined multiple.</w:t>
      </w:r>
    </w:p>
    <w:p>
      <w:pPr>
        <w:pStyle w:val="BodyText"/>
      </w:pPr>
      <w:r>
        <w:rPr>
          <w:b/>
          <w:bCs/>
        </w:rPr>
        <w:t xml:space="preserve">10. Source-code escrow (H-5, H-6).</w:t>
      </w:r>
      <w:r>
        <w:t xml:space="preserve"> </w:t>
      </w:r>
      <w:r>
        <w:rPr>
          <w:i/>
          <w:iCs/>
        </w:rPr>
        <w:t xml:space="preserve">Our recommendation:</w:t>
      </w:r>
      <w:r>
        <w:t xml:space="preserve"> </w:t>
      </w:r>
      <w:r>
        <w:t xml:space="preserve">(a) Limit the deposit to</w:t>
      </w:r>
      <w:r>
        <w:t xml:space="preserve"> </w:t>
      </w:r>
      <w:r>
        <w:rPr>
          <w:b/>
          <w:bCs/>
        </w:rPr>
        <w:t xml:space="preserve">Whitmore’s own source code and materials</w:t>
      </w:r>
      <w:r>
        <w:t xml:space="preserve">, expressly excluding third-party/open-source components Whitmore lacks rights to escrow (and provide a list of excluded third-party components); (b) raise the release thresholds — require a</w:t>
      </w:r>
      <w:r>
        <w:t xml:space="preserve"> </w:t>
      </w:r>
      <w:r>
        <w:rPr>
          <w:b/>
          <w:bCs/>
        </w:rPr>
        <w:t xml:space="preserve">final, non-appealable</w:t>
      </w:r>
      <w:r>
        <w:t xml:space="preserve"> </w:t>
      </w:r>
      <w:r>
        <w:t xml:space="preserve">insolvency/bankruptcy order, and align the material-breach cure period with (or longer than) the termination cure period; (c) narrow the post-release license to</w:t>
      </w:r>
      <w:r>
        <w:t xml:space="preserve"> </w:t>
      </w:r>
      <w:r>
        <w:rPr>
          <w:b/>
          <w:bCs/>
        </w:rPr>
        <w:t xml:space="preserve">maintenance and security-patching only</w:t>
      </w:r>
      <w:r>
        <w:t xml:space="preserve"> </w:t>
      </w:r>
      <w:r>
        <w:t xml:space="preserve">(not modification, compilation, or new deployment), and time-limit it; and (d) clarify who bears verification costs.</w:t>
      </w:r>
    </w:p>
    <w:p>
      <w:pPr>
        <w:pStyle w:val="BodyText"/>
      </w:pPr>
      <w:r>
        <w:rPr>
          <w:b/>
          <w:bCs/>
        </w:rPr>
        <w:t xml:space="preserve">11. Wind-down license (H-7).</w:t>
      </w:r>
      <w:r>
        <w:t xml:space="preserve"> </w:t>
      </w:r>
      <w:r>
        <w:rPr>
          <w:i/>
          <w:iCs/>
        </w:rPr>
        <w:t xml:space="preserve">Our recommendation:</w:t>
      </w:r>
      <w:r>
        <w:t xml:space="preserve"> </w:t>
      </w:r>
      <w:r>
        <w:t xml:space="preserve">Convert to a</w:t>
      </w:r>
      <w:r>
        <w:t xml:space="preserve"> </w:t>
      </w:r>
      <w:r>
        <w:rPr>
          <w:b/>
          <w:bCs/>
        </w:rPr>
        <w:t xml:space="preserve">time-limited</w:t>
      </w:r>
      <w:r>
        <w:t xml:space="preserve"> </w:t>
      </w:r>
      <w:r>
        <w:t xml:space="preserve">(e.g., 12–24 month) transition license at a</w:t>
      </w:r>
      <w:r>
        <w:t xml:space="preserve"> </w:t>
      </w:r>
      <w:r>
        <w:rPr>
          <w:b/>
          <w:bCs/>
        </w:rPr>
        <w:t xml:space="preserve">reduced</w:t>
      </w:r>
      <w:r>
        <w:t xml:space="preserve"> </w:t>
      </w:r>
      <w:r>
        <w:t xml:space="preserve">fee, for the sole purpose of winding down KBI’s use and migrating to an alternative — not a perpetual use right. Confirm the term sheet’s actual perpetual-wind-down terms with the internal team (see L-18).</w:t>
      </w:r>
    </w:p>
    <w:p>
      <w:pPr>
        <w:pStyle w:val="BodyText"/>
      </w:pPr>
      <w:r>
        <w:rPr>
          <w:b/>
          <w:bCs/>
        </w:rPr>
        <w:t xml:space="preserve">12. One-sided termination (H-8).</w:t>
      </w:r>
      <w:r>
        <w:t xml:space="preserve"> </w:t>
      </w:r>
      <w:r>
        <w:rPr>
          <w:i/>
          <w:iCs/>
        </w:rPr>
        <w:t xml:space="preserve">Our recommendation:</w:t>
      </w:r>
      <w:r>
        <w:t xml:space="preserve"> </w:t>
      </w:r>
      <w:r>
        <w:t xml:space="preserve">Add a</w:t>
      </w:r>
      <w:r>
        <w:t xml:space="preserve"> </w:t>
      </w:r>
      <w:r>
        <w:rPr>
          <w:b/>
          <w:bCs/>
        </w:rPr>
        <w:t xml:space="preserve">mutual</w:t>
      </w:r>
      <w:r>
        <w:t xml:space="preserve"> </w:t>
      </w:r>
      <w:r>
        <w:t xml:space="preserve">termination-for-convenience right (with an appropriate notice period and wind-down fee), and make the performance-failure termination right</w:t>
      </w:r>
      <w:r>
        <w:t xml:space="preserve"> </w:t>
      </w:r>
      <w:r>
        <w:rPr>
          <w:b/>
          <w:bCs/>
        </w:rPr>
        <w:t xml:space="preserve">mutual</w:t>
      </w:r>
      <w:r>
        <w:t xml:space="preserve"> </w:t>
      </w:r>
      <w:r>
        <w:t xml:space="preserve">or condition it on KBI’s compliance with its data/system obligations. Ensure the wind-down license does not apply where KBI terminates for convenience.</w:t>
      </w:r>
    </w:p>
    <w:p>
      <w:pPr>
        <w:pStyle w:val="BodyText"/>
      </w:pPr>
      <w:r>
        <w:rPr>
          <w:b/>
          <w:bCs/>
        </w:rPr>
        <w:t xml:space="preserve">13. Governing law (H-9).</w:t>
      </w:r>
      <w:r>
        <w:t xml:space="preserve"> </w:t>
      </w:r>
      <w:r>
        <w:rPr>
          <w:i/>
          <w:iCs/>
        </w:rPr>
        <w:t xml:space="preserve">Our recommendation:</w:t>
      </w:r>
      <w:r>
        <w:t xml:space="preserve"> </w:t>
      </w:r>
      <w:r>
        <w:t xml:space="preserve">Obtain specialist German-law advice before responding. Consider proposing</w:t>
      </w:r>
      <w:r>
        <w:t xml:space="preserve"> </w:t>
      </w:r>
      <w:r>
        <w:rPr>
          <w:b/>
          <w:bCs/>
        </w:rPr>
        <w:t xml:space="preserve">Washington law</w:t>
      </w:r>
      <w:r>
        <w:t xml:space="preserve"> </w:t>
      </w:r>
      <w:r>
        <w:t xml:space="preserve">(Whitmore’s home) or a</w:t>
      </w:r>
      <w:r>
        <w:t xml:space="preserve"> </w:t>
      </w:r>
      <w:r>
        <w:rPr>
          <w:b/>
          <w:bCs/>
        </w:rPr>
        <w:t xml:space="preserve">neutral jurisdiction</w:t>
      </w:r>
      <w:r>
        <w:t xml:space="preserve"> </w:t>
      </w:r>
      <w:r>
        <w:t xml:space="preserve">(e.g., England or Switzerland) with the ICC/Zurich arbitration retained. At minimum, understand the interaction of German law with the uncapped indemnification and the performance-warranty penalties, which may be treated differently (or be partly unenforceable) under German law.</w:t>
      </w:r>
    </w:p>
    <w:p>
      <w:pPr>
        <w:pStyle w:val="BodyText"/>
      </w:pPr>
      <w:r>
        <w:rPr>
          <w:b/>
          <w:bCs/>
        </w:rPr>
        <w:t xml:space="preserve">14. One-sided assignment (H-10).</w:t>
      </w:r>
      <w:r>
        <w:t xml:space="preserve"> </w:t>
      </w:r>
      <w:r>
        <w:rPr>
          <w:i/>
          <w:iCs/>
        </w:rPr>
        <w:t xml:space="preserve">Our recommendation:</w:t>
      </w:r>
      <w:r>
        <w:t xml:space="preserve"> </w:t>
      </w:r>
      <w:r>
        <w:t xml:space="preserve">Add a</w:t>
      </w:r>
      <w:r>
        <w:t xml:space="preserve"> </w:t>
      </w:r>
      <w:r>
        <w:rPr>
          <w:b/>
          <w:bCs/>
        </w:rPr>
        <w:t xml:space="preserve">mutual</w:t>
      </w:r>
      <w:r>
        <w:t xml:space="preserve"> </w:t>
      </w:r>
      <w:r>
        <w:t xml:space="preserve">change-of-control assignment right, or at minimum a Whitmore right to assign to an affiliate or in connection with a merger/acquisition/sale of substantially all assets — important given the potential Series C and any M&amp;A process, and given that the MFC and exclusivity would bind a Whitmore acquirer.</w:t>
      </w:r>
    </w:p>
    <w:bookmarkEnd w:id="35"/>
    <w:bookmarkStart w:id="36" w:name="X5c758df806c2fcee8d664979b498cb377cd43db"/>
    <w:p>
      <w:pPr>
        <w:pStyle w:val="Heading3"/>
      </w:pPr>
      <w:r>
        <w:t xml:space="preserve">C. Medium and Lower-Priority Issues — Recommended Corrections</w:t>
      </w:r>
    </w:p>
    <w:p>
      <w:pPr>
        <w:pStyle w:val="FirstParagraph"/>
      </w:pPr>
      <w:r>
        <w:rPr>
          <w:b/>
          <w:bCs/>
        </w:rPr>
        <w:t xml:space="preserve">15. Derivative works / Feedback interaction (M-1).</w:t>
      </w:r>
      <w:r>
        <w:t xml:space="preserve"> </w:t>
      </w:r>
      <w:r>
        <w:rPr>
          <w:i/>
          <w:iCs/>
        </w:rPr>
        <w:t xml:space="preserve">Our recommendation:</w:t>
      </w:r>
      <w:r>
        <w:t xml:space="preserve"> </w:t>
      </w:r>
      <w:r>
        <w:t xml:space="preserve">Reconcile Sections 2, 3.3, and 3.4. Consider making API-integration derivative works</w:t>
      </w:r>
      <w:r>
        <w:t xml:space="preserve"> </w:t>
      </w:r>
      <w:r>
        <w:rPr>
          <w:b/>
          <w:bCs/>
        </w:rPr>
        <w:t xml:space="preserve">KBI-owned but licensed back to Whitmore</w:t>
      </w:r>
      <w:r>
        <w:t xml:space="preserve"> </w:t>
      </w:r>
      <w:r>
        <w:t xml:space="preserve">(or vice versa) rather than jointly owned with unrestricted exploitation, and clarify that Feedback and derivative works are distinct categories with distinct ownership rules.</w:t>
      </w:r>
      <w:r>
        <w:t xml:space="preserve"> </w:t>
      </w:r>
      <w:r>
        <w:rPr>
          <w:i/>
          <w:iCs/>
        </w:rPr>
        <w:t xml:space="preserve">(S. Yin flagged this for priority review.)</w:t>
      </w:r>
    </w:p>
    <w:p>
      <w:pPr>
        <w:pStyle w:val="BodyText"/>
      </w:pPr>
      <w:r>
        <w:rPr>
          <w:b/>
          <w:bCs/>
        </w:rPr>
        <w:t xml:space="preserve">16. KBI-Inspired Improvements grant-back (M-2).</w:t>
      </w:r>
      <w:r>
        <w:t xml:space="preserve"> </w:t>
      </w:r>
      <w:r>
        <w:rPr>
          <w:i/>
          <w:iCs/>
        </w:rPr>
        <w:t xml:space="preserve">Our recommendation:</w:t>
      </w:r>
      <w:r>
        <w:t xml:space="preserve"> </w:t>
      </w:r>
      <w:r>
        <w:t xml:space="preserve">Narrow</w:t>
      </w:r>
      <w:r>
        <w:t xml:space="preserve"> </w:t>
      </w:r>
      <w:r>
        <w:t xml:space="preserve">“</w:t>
      </w:r>
      <w:r>
        <w:t xml:space="preserve">derived from or inspired by</w:t>
      </w:r>
      <w:r>
        <w:t xml:space="preserve">”</w:t>
      </w:r>
      <w:r>
        <w:t xml:space="preserve"> </w:t>
      </w:r>
      <w:r>
        <w:t xml:space="preserve">to improvements</w:t>
      </w:r>
      <w:r>
        <w:t xml:space="preserve"> </w:t>
      </w:r>
      <w:r>
        <w:rPr>
          <w:b/>
          <w:bCs/>
        </w:rPr>
        <w:t xml:space="preserve">specific to KBI’s environment</w:t>
      </w:r>
      <w:r>
        <w:t xml:space="preserve"> </w:t>
      </w:r>
      <w:r>
        <w:t xml:space="preserve">(not general product improvements), and consider a non-exclusive (rather than irrevocable/royalty-free) license with appropriate scope limits.</w:t>
      </w:r>
    </w:p>
    <w:p>
      <w:pPr>
        <w:pStyle w:val="BodyText"/>
      </w:pPr>
      <w:r>
        <w:rPr>
          <w:b/>
          <w:bCs/>
        </w:rPr>
        <w:t xml:space="preserve">17. No-shop (M-3).</w:t>
      </w:r>
      <w:r>
        <w:t xml:space="preserve"> </w:t>
      </w:r>
      <w:r>
        <w:rPr>
          <w:i/>
          <w:iCs/>
        </w:rPr>
        <w:t xml:space="preserve">Our recommendation:</w:t>
      </w:r>
      <w:r>
        <w:t xml:space="preserve"> </w:t>
      </w:r>
      <w:r>
        <w:t xml:space="preserve">Narrow the 60-day no-shop to</w:t>
      </w:r>
      <w:r>
        <w:t xml:space="preserve"> </w:t>
      </w:r>
      <w:r>
        <w:rPr>
          <w:b/>
          <w:bCs/>
        </w:rPr>
        <w:t xml:space="preserve">Direct Competitor transactions</w:t>
      </w:r>
      <w:r>
        <w:t xml:space="preserve"> </w:t>
      </w:r>
      <w:r>
        <w:t xml:space="preserve">(consistent with any narrowed Section 12) and confirm it expires on July 28, 2025 regardless of definitive-agreement status.</w:t>
      </w:r>
    </w:p>
    <w:p>
      <w:pPr>
        <w:pStyle w:val="BodyText"/>
      </w:pPr>
      <w:r>
        <w:rPr>
          <w:b/>
          <w:bCs/>
        </w:rPr>
        <w:t xml:space="preserve">18. Expansion pricing (M-4).</w:t>
      </w:r>
      <w:r>
        <w:t xml:space="preserve"> </w:t>
      </w:r>
      <w:r>
        <w:rPr>
          <w:i/>
          <w:iCs/>
        </w:rPr>
        <w:t xml:space="preserve">Our recommendation:</w:t>
      </w:r>
      <w:r>
        <w:t xml:space="preserve"> </w:t>
      </w:r>
      <w:r>
        <w:t xml:space="preserve">Add a</w:t>
      </w:r>
      <w:r>
        <w:t xml:space="preserve"> </w:t>
      </w:r>
      <w:r>
        <w:rPr>
          <w:b/>
          <w:bCs/>
        </w:rPr>
        <w:t xml:space="preserve">minimum additional fee</w:t>
      </w:r>
      <w:r>
        <w:t xml:space="preserve"> </w:t>
      </w:r>
      <w:r>
        <w:t xml:space="preserve">or per-facility SaaS/maintenance component for expanded facilities, and ensure expansion pricing is</w:t>
      </w:r>
      <w:r>
        <w:t xml:space="preserve"> </w:t>
      </w:r>
      <w:r>
        <w:rPr>
          <w:b/>
          <w:bCs/>
        </w:rPr>
        <w:t xml:space="preserve">excluded from the MFC comparability test</w:t>
      </w:r>
      <w:r>
        <w:t xml:space="preserve"> </w:t>
      </w:r>
      <w:r>
        <w:t xml:space="preserve">(or the MFC is cabined so expansion pricing does not create retroactive exposure).</w:t>
      </w:r>
    </w:p>
    <w:p>
      <w:pPr>
        <w:pStyle w:val="BodyText"/>
      </w:pPr>
      <w:r>
        <w:rPr>
          <w:b/>
          <w:bCs/>
        </w:rPr>
        <w:t xml:space="preserve">19. Acceptance (M-5).</w:t>
      </w:r>
      <w:r>
        <w:t xml:space="preserve"> </w:t>
      </w:r>
      <w:r>
        <w:rPr>
          <w:i/>
          <w:iCs/>
        </w:rPr>
        <w:t xml:space="preserve">Our recommendation:</w:t>
      </w:r>
      <w:r>
        <w:t xml:space="preserve"> </w:t>
      </w:r>
      <w:r>
        <w:t xml:space="preserve">Define objective acceptance criteria per facility, align the UAT period with a single program-level acceptance where practical, and clarify the</w:t>
      </w:r>
      <w:r>
        <w:t xml:space="preserve"> </w:t>
      </w:r>
      <w:r>
        <w:t xml:space="preserve">“</w:t>
      </w:r>
      <w:r>
        <w:t xml:space="preserve">material non-conformance</w:t>
      </w:r>
      <w:r>
        <w:t xml:space="preserve">”</w:t>
      </w:r>
      <w:r>
        <w:t xml:space="preserve"> </w:t>
      </w:r>
      <w:r>
        <w:t xml:space="preserve">standard.</w:t>
      </w:r>
    </w:p>
    <w:p>
      <w:pPr>
        <w:pStyle w:val="BodyText"/>
      </w:pPr>
      <w:r>
        <w:rPr>
          <w:b/>
          <w:bCs/>
        </w:rPr>
        <w:t xml:space="preserve">20. Service levels (M-6).</w:t>
      </w:r>
      <w:r>
        <w:t xml:space="preserve"> </w:t>
      </w:r>
      <w:r>
        <w:rPr>
          <w:i/>
          <w:iCs/>
        </w:rPr>
        <w:t xml:space="preserve">Our recommendation:</w:t>
      </w:r>
      <w:r>
        <w:t xml:space="preserve"> </w:t>
      </w:r>
      <w:r>
        <w:t xml:space="preserve">Confirm whether</w:t>
      </w:r>
      <w:r>
        <w:t xml:space="preserve"> </w:t>
      </w:r>
      <w:r>
        <w:t xml:space="preserve">“</w:t>
      </w:r>
      <w:r>
        <w:t xml:space="preserve">commercially reasonable efforts</w:t>
      </w:r>
      <w:r>
        <w:t xml:space="preserve">”</w:t>
      </w:r>
      <w:r>
        <w:t xml:space="preserve"> </w:t>
      </w:r>
      <w:r>
        <w:t xml:space="preserve">SLAs without credits are intended; if KBI seeks hard SLAs with credits, ensure credits are</w:t>
      </w:r>
      <w:r>
        <w:t xml:space="preserve"> </w:t>
      </w:r>
      <w:r>
        <w:rPr>
          <w:b/>
          <w:bCs/>
        </w:rPr>
        <w:t xml:space="preserve">capped</w:t>
      </w:r>
      <w:r>
        <w:t xml:space="preserve"> </w:t>
      </w:r>
      <w:r>
        <w:t xml:space="preserve">and</w:t>
      </w:r>
      <w:r>
        <w:t xml:space="preserve"> </w:t>
      </w:r>
      <w:r>
        <w:rPr>
          <w:b/>
          <w:bCs/>
        </w:rPr>
        <w:t xml:space="preserve">offset</w:t>
      </w:r>
      <w:r>
        <w:t xml:space="preserve"> </w:t>
      </w:r>
      <w:r>
        <w:t xml:space="preserve">against the performance-warranty remedies to avoid double recovery.</w:t>
      </w:r>
    </w:p>
    <w:p>
      <w:pPr>
        <w:pStyle w:val="BodyText"/>
      </w:pPr>
      <w:r>
        <w:rPr>
          <w:b/>
          <w:bCs/>
        </w:rPr>
        <w:t xml:space="preserve">21. Indemnification procedures (M-7).</w:t>
      </w:r>
      <w:r>
        <w:t xml:space="preserve"> </w:t>
      </w:r>
      <w:r>
        <w:rPr>
          <w:i/>
          <w:iCs/>
        </w:rPr>
        <w:t xml:space="preserve">Our recommendation:</w:t>
      </w:r>
      <w:r>
        <w:t xml:space="preserve"> </w:t>
      </w:r>
      <w:r>
        <w:t xml:space="preserve">Add a KBI consent right for settlements that impose obligations or admissions on KBI, and an express duty to mitigate.</w:t>
      </w:r>
    </w:p>
    <w:p>
      <w:pPr>
        <w:pStyle w:val="BodyText"/>
      </w:pPr>
      <w:r>
        <w:rPr>
          <w:b/>
          <w:bCs/>
        </w:rPr>
        <w:t xml:space="preserve">22. Arbitration costs (M-8).</w:t>
      </w:r>
      <w:r>
        <w:t xml:space="preserve"> </w:t>
      </w:r>
      <w:r>
        <w:rPr>
          <w:i/>
          <w:iCs/>
        </w:rPr>
        <w:t xml:space="preserve">Our recommendation:</w:t>
      </w:r>
      <w:r>
        <w:t xml:space="preserve"> </w:t>
      </w:r>
      <w:r>
        <w:t xml:space="preserve">Consider a</w:t>
      </w:r>
      <w:r>
        <w:t xml:space="preserve"> </w:t>
      </w:r>
      <w:r>
        <w:t xml:space="preserve">“</w:t>
      </w:r>
      <w:r>
        <w:t xml:space="preserve">loser-pays</w:t>
      </w:r>
      <w:r>
        <w:t xml:space="preserve">”</w:t>
      </w:r>
      <w:r>
        <w:t xml:space="preserve"> </w:t>
      </w:r>
      <w:r>
        <w:t xml:space="preserve">or tribunal-discretion provision, and a fee-shifting mechanism for indemnification claims.</w:t>
      </w:r>
    </w:p>
    <w:p>
      <w:pPr>
        <w:pStyle w:val="BodyText"/>
      </w:pPr>
      <w:r>
        <w:rPr>
          <w:b/>
          <w:bCs/>
        </w:rPr>
        <w:t xml:space="preserve">23. Confidentiality permitted disclosures (M-9).</w:t>
      </w:r>
      <w:r>
        <w:t xml:space="preserve"> </w:t>
      </w:r>
      <w:r>
        <w:rPr>
          <w:i/>
          <w:iCs/>
        </w:rPr>
        <w:t xml:space="preserve">Our recommendation:</w:t>
      </w:r>
      <w:r>
        <w:t xml:space="preserve"> </w:t>
      </w:r>
      <w:r>
        <w:t xml:space="preserve">Add carve-outs for</w:t>
      </w:r>
      <w:r>
        <w:t xml:space="preserve"> </w:t>
      </w:r>
      <w:r>
        <w:rPr>
          <w:b/>
          <w:bCs/>
        </w:rPr>
        <w:t xml:space="preserve">affiliates, prospective investors, and potential acquirers</w:t>
      </w:r>
      <w:r>
        <w:t xml:space="preserve"> </w:t>
      </w:r>
      <w:r>
        <w:t xml:space="preserve">under confidentiality, and a notice/cooperation requirement for legally compelled disclosures.</w:t>
      </w:r>
    </w:p>
    <w:p>
      <w:pPr>
        <w:pStyle w:val="BodyText"/>
      </w:pPr>
      <w:r>
        <w:rPr>
          <w:b/>
          <w:bCs/>
        </w:rPr>
        <w:t xml:space="preserve">24. Late-payment interest (M-10).</w:t>
      </w:r>
      <w:r>
        <w:t xml:space="preserve"> </w:t>
      </w:r>
      <w:r>
        <w:rPr>
          <w:i/>
          <w:iCs/>
        </w:rPr>
        <w:t xml:space="preserve">Our recommendation:</w:t>
      </w:r>
      <w:r>
        <w:t xml:space="preserve"> </w:t>
      </w:r>
      <w:r>
        <w:t xml:space="preserve">Reduce to a market rate (e.g., 1.0%/month or the ECB/Washington legal rate plus a margin) and confirm enforceability under German law.</w:t>
      </w:r>
    </w:p>
    <w:p>
      <w:pPr>
        <w:pStyle w:val="BodyText"/>
      </w:pPr>
      <w:r>
        <w:rPr>
          <w:b/>
          <w:bCs/>
        </w:rPr>
        <w:t xml:space="preserve">25. Uncapped fee escalations over a perpetual term (M-11).</w:t>
      </w:r>
      <w:r>
        <w:t xml:space="preserve"> </w:t>
      </w:r>
      <w:r>
        <w:rPr>
          <w:i/>
          <w:iCs/>
        </w:rPr>
        <w:t xml:space="preserve">Our recommendation:</w:t>
      </w:r>
      <w:r>
        <w:t xml:space="preserve"> </w:t>
      </w:r>
      <w:r>
        <w:t xml:space="preserve">(a)</w:t>
      </w:r>
      <w:r>
        <w:t xml:space="preserve"> </w:t>
      </w:r>
      <w:r>
        <w:rPr>
          <w:b/>
          <w:bCs/>
        </w:rPr>
        <w:t xml:space="preserve">Cap or collar the escalations</w:t>
      </w:r>
      <w:r>
        <w:t xml:space="preserve"> </w:t>
      </w:r>
      <w:r>
        <w:t xml:space="preserve">(e.g., the lesser of 3%/4% or CPI, with a defined aggregate cap), or convert to a fixed schedule; (b) reconsider the</w:t>
      </w:r>
      <w:r>
        <w:t xml:space="preserve"> </w:t>
      </w:r>
      <w:r>
        <w:rPr>
          <w:b/>
          <w:bCs/>
        </w:rPr>
        <w:t xml:space="preserve">perpetual SaaS/maintenance term</w:t>
      </w:r>
      <w:r>
        <w:t xml:space="preserve"> </w:t>
      </w:r>
      <w:r>
        <w:t xml:space="preserve">— consider a defined initial term (e.g., 5 years) with renewal at Whitmore’s then-current rates, rather than a perpetual term with uncapped escalations; and (c) ensure any wind-down maintenance fee is</w:t>
      </w:r>
      <w:r>
        <w:t xml:space="preserve"> </w:t>
      </w:r>
      <w:r>
        <w:rPr>
          <w:b/>
          <w:bCs/>
        </w:rPr>
        <w:t xml:space="preserve">fixed or capped</w:t>
      </w:r>
      <w:r>
        <w:t xml:space="preserve">, not subject to the 4% annual escalation in perpetuity.</w:t>
      </w:r>
    </w:p>
    <w:p>
      <w:pPr>
        <w:pStyle w:val="BodyText"/>
      </w:pPr>
      <w:r>
        <w:rPr>
          <w:b/>
          <w:bCs/>
        </w:rPr>
        <w:t xml:space="preserve">26. Missing provisions (L-1 through L-17).</w:t>
      </w:r>
      <w:r>
        <w:t xml:space="preserve"> </w:t>
      </w:r>
      <w:r>
        <w:rPr>
          <w:i/>
          <w:iCs/>
        </w:rPr>
        <w:t xml:space="preserve">Our recommendation:</w:t>
      </w:r>
      <w:r>
        <w:t xml:space="preserve"> </w:t>
      </w:r>
      <w:r>
        <w:t xml:space="preserve">Add, in the definitive agreement: a data-processing agreement and security standards (L-1); EU SCCs and a transfer impact assessment (L-2); a KBI warranty and indemnity as to lawfulness of KBI Data (L-3); IP-indemnity carve-outs for KBI modifications/derivative works/combinations (L-4); OSS disclosure and compliance (L-5); export-control compliance (L-6); anti-corruption/sanctions representations (L-7); force majeure (L-8); insurance requirements (L-9); a mutual no-hire/no-solicit (L-10); reference/customer-logo rights for Whitmore (L-11); tax/withholding mechanics and treaty/W-8 forms (L-12); transition-assistance services (L-13); a Whitmore license-compliance audit right (L-14); a complete survival clause including warranties and dispute resolution (L-15); mutual injunctive-relief rights (L-16); and a confirmed FX allocation (L-17). Reconcile the internal-document discrepancies (L-18) before responding.</w:t>
      </w:r>
    </w:p>
    <w:bookmarkEnd w:id="36"/>
    <w:bookmarkEnd w:id="37"/>
    <w:bookmarkStart w:id="38" w:name="viii.-process-timeline-and-next-steps"/>
    <w:p>
      <w:pPr>
        <w:pStyle w:val="Heading2"/>
      </w:pPr>
      <w:r>
        <w:t xml:space="preserve">VIII. Process, Timeline,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June 16, 2025</w:t>
            </w:r>
          </w:p>
        </w:tc>
        <w:tc>
          <w:tcPr/>
          <w:p>
            <w:pPr>
              <w:pStyle w:val="Compact"/>
              <w:jc w:val="left"/>
            </w:pPr>
            <w:r>
              <w:t xml:space="preserve">Deliver this board-ready memo</w:t>
            </w:r>
          </w:p>
        </w:tc>
        <w:tc>
          <w:tcPr/>
          <w:p>
            <w:pPr>
              <w:pStyle w:val="Compact"/>
              <w:jc w:val="left"/>
            </w:pPr>
            <w:r>
              <w:t xml:space="preserve">Ferndale Hale &amp; Seward LLP</w:t>
            </w:r>
          </w:p>
        </w:tc>
      </w:tr>
      <w:tr>
        <w:tc>
          <w:tcPr/>
          <w:p>
            <w:pPr>
              <w:pStyle w:val="Compact"/>
              <w:jc w:val="left"/>
            </w:pPr>
            <w:r>
              <w:t xml:space="preserve">June 18, 2025</w:t>
            </w:r>
          </w:p>
        </w:tc>
        <w:tc>
          <w:tcPr/>
          <w:p>
            <w:pPr>
              <w:pStyle w:val="Compact"/>
              <w:jc w:val="left"/>
            </w:pPr>
            <w:r>
              <w:t xml:space="preserve">Board meeting — approve negotiation framework and red lines</w:t>
            </w:r>
          </w:p>
        </w:tc>
        <w:tc>
          <w:tcPr/>
          <w:p>
            <w:pPr>
              <w:pStyle w:val="Compact"/>
              <w:jc w:val="left"/>
            </w:pPr>
            <w:r>
              <w:t xml:space="preserve">Whitmore Board</w:t>
            </w:r>
          </w:p>
        </w:tc>
      </w:tr>
      <w:tr>
        <w:tc>
          <w:tcPr/>
          <w:p>
            <w:pPr>
              <w:pStyle w:val="Compact"/>
              <w:jc w:val="left"/>
            </w:pPr>
            <w:r>
              <w:t xml:space="preserve">By June 18, 2025</w:t>
            </w:r>
          </w:p>
        </w:tc>
        <w:tc>
          <w:tcPr/>
          <w:p>
            <w:pPr>
              <w:pStyle w:val="Compact"/>
              <w:jc w:val="left"/>
            </w:pPr>
            <w:r>
              <w:t xml:space="preserve">One-page European pipeline impact summary (3 prospects; $4–5M recurring; 25–30 additional companies)</w:t>
            </w:r>
          </w:p>
        </w:tc>
        <w:tc>
          <w:tcPr/>
          <w:p>
            <w:pPr>
              <w:pStyle w:val="Compact"/>
              <w:jc w:val="left"/>
            </w:pPr>
            <w:r>
              <w:t xml:space="preserve">T. Kendrick</w:t>
            </w:r>
          </w:p>
        </w:tc>
      </w:tr>
      <w:tr>
        <w:tc>
          <w:tcPr/>
          <w:p>
            <w:pPr>
              <w:pStyle w:val="Compact"/>
              <w:jc w:val="left"/>
            </w:pPr>
            <w:r>
              <w:t xml:space="preserve">By June 18, 2025</w:t>
            </w:r>
          </w:p>
        </w:tc>
        <w:tc>
          <w:tcPr/>
          <w:p>
            <w:pPr>
              <w:pStyle w:val="Compact"/>
              <w:jc w:val="left"/>
            </w:pPr>
            <w:r>
              <w:t xml:space="preserve">Revised payment-proposal model (40/30/30 license split; front-loaded implementation; separate-SOW option)</w:t>
            </w:r>
          </w:p>
        </w:tc>
        <w:tc>
          <w:tcPr/>
          <w:p>
            <w:pPr>
              <w:pStyle w:val="Compact"/>
              <w:jc w:val="left"/>
            </w:pPr>
            <w:r>
              <w:t xml:space="preserve">T. Kendrick / Finance</w:t>
            </w:r>
          </w:p>
        </w:tc>
      </w:tr>
      <w:tr>
        <w:tc>
          <w:tcPr/>
          <w:p>
            <w:pPr>
              <w:pStyle w:val="Compact"/>
              <w:jc w:val="left"/>
            </w:pPr>
            <w:r>
              <w:t xml:space="preserve">By June 18, 2025</w:t>
            </w:r>
          </w:p>
        </w:tc>
        <w:tc>
          <w:tcPr/>
          <w:p>
            <w:pPr>
              <w:pStyle w:val="Compact"/>
              <w:jc w:val="left"/>
            </w:pPr>
            <w:r>
              <w:t xml:space="preserve">Specialist German-law advice on governing law, uncapped indemnification, and performance-warranty penalties</w:t>
            </w:r>
          </w:p>
        </w:tc>
        <w:tc>
          <w:tcPr/>
          <w:p>
            <w:pPr>
              <w:pStyle w:val="Compact"/>
              <w:jc w:val="left"/>
            </w:pPr>
            <w:r>
              <w:t xml:space="preserve">Ferndale Hale (German-law specialist)</w:t>
            </w:r>
          </w:p>
        </w:tc>
      </w:tr>
      <w:tr>
        <w:tc>
          <w:tcPr/>
          <w:p>
            <w:pPr>
              <w:pStyle w:val="Compact"/>
              <w:jc w:val="left"/>
            </w:pPr>
            <w:r>
              <w:t xml:space="preserve">By June 18, 2025</w:t>
            </w:r>
          </w:p>
        </w:tc>
        <w:tc>
          <w:tcPr/>
          <w:p>
            <w:pPr>
              <w:pStyle w:val="Compact"/>
              <w:jc w:val="left"/>
            </w:pPr>
            <w:r>
              <w:t xml:space="preserve">ASC 606 revenue-recognition flag to Lakeshore Accounting Group LLP</w:t>
            </w:r>
          </w:p>
        </w:tc>
        <w:tc>
          <w:tcPr/>
          <w:p>
            <w:pPr>
              <w:pStyle w:val="Compact"/>
              <w:jc w:val="left"/>
            </w:pPr>
            <w:r>
              <w:t xml:space="preserve">S. Yin / Finance</w:t>
            </w:r>
          </w:p>
        </w:tc>
      </w:tr>
      <w:tr>
        <w:tc>
          <w:tcPr/>
          <w:p>
            <w:pPr>
              <w:pStyle w:val="Compact"/>
              <w:jc w:val="left"/>
            </w:pPr>
            <w:r>
              <w:t xml:space="preserve">Thursday (June 5, 2025, per internal thread)</w:t>
            </w:r>
          </w:p>
        </w:tc>
        <w:tc>
          <w:tcPr/>
          <w:p>
            <w:pPr>
              <w:pStyle w:val="Compact"/>
              <w:jc w:val="left"/>
            </w:pPr>
            <w:r>
              <w:t xml:space="preserve">Internal alignment call on negotiation red lines</w:t>
            </w:r>
          </w:p>
        </w:tc>
        <w:tc>
          <w:tcPr/>
          <w:p>
            <w:pPr>
              <w:pStyle w:val="Compact"/>
              <w:jc w:val="left"/>
            </w:pPr>
            <w:r>
              <w:t xml:space="preserve">R. Malhotra / S. Yin / T. Kendrick</w:t>
            </w:r>
          </w:p>
        </w:tc>
      </w:tr>
      <w:tr>
        <w:tc>
          <w:tcPr/>
          <w:p>
            <w:pPr>
              <w:pStyle w:val="Compact"/>
              <w:jc w:val="left"/>
            </w:pPr>
            <w:r>
              <w:t xml:space="preserve">By June 23, 2025</w:t>
            </w:r>
          </w:p>
        </w:tc>
        <w:tc>
          <w:tcPr/>
          <w:p>
            <w:pPr>
              <w:pStyle w:val="Compact"/>
              <w:jc w:val="left"/>
            </w:pPr>
            <w:r>
              <w:t xml:space="preserve">Written response to KBI (term sheet + MFC side letter)</w:t>
            </w:r>
          </w:p>
        </w:tc>
        <w:tc>
          <w:tcPr/>
          <w:p>
            <w:pPr>
              <w:pStyle w:val="Compact"/>
              <w:jc w:val="left"/>
            </w:pPr>
            <w:r>
              <w:t xml:space="preserve">S. Yin (with Ferndale Hale)</w:t>
            </w:r>
          </w:p>
        </w:tc>
      </w:tr>
      <w:tr>
        <w:tc>
          <w:tcPr/>
          <w:p>
            <w:pPr>
              <w:pStyle w:val="Compact"/>
              <w:jc w:val="left"/>
            </w:pPr>
            <w:r>
              <w:t xml:space="preserve">August 15, 2025</w:t>
            </w:r>
          </w:p>
        </w:tc>
        <w:tc>
          <w:tcPr/>
          <w:p>
            <w:pPr>
              <w:pStyle w:val="Compact"/>
              <w:jc w:val="left"/>
            </w:pPr>
            <w:r>
              <w:t xml:space="preserve">Targeted definitive-agreement execution</w:t>
            </w:r>
          </w:p>
        </w:tc>
        <w:tc>
          <w:tcPr/>
          <w:p>
            <w:pPr>
              <w:pStyle w:val="Compact"/>
              <w:jc w:val="left"/>
            </w:pPr>
            <w:r>
              <w:t xml:space="preserve">Both parties</w:t>
            </w:r>
          </w:p>
        </w:tc>
      </w:tr>
      <w:tr>
        <w:tc>
          <w:tcPr/>
          <w:p>
            <w:pPr>
              <w:pStyle w:val="Compact"/>
              <w:jc w:val="left"/>
            </w:pPr>
            <w:r>
              <w:t xml:space="preserve">September 15, 2025</w:t>
            </w:r>
          </w:p>
        </w:tc>
        <w:tc>
          <w:tcPr/>
          <w:p>
            <w:pPr>
              <w:pStyle w:val="Compact"/>
              <w:jc w:val="left"/>
            </w:pPr>
            <w:r>
              <w:t xml:space="preserve">Phase 1 implementation start</w:t>
            </w:r>
          </w:p>
        </w:tc>
        <w:tc>
          <w:tcPr/>
          <w:p>
            <w:pPr>
              <w:pStyle w:val="Compact"/>
              <w:jc w:val="left"/>
            </w:pPr>
            <w:r>
              <w:t xml:space="preserve">Both parties</w:t>
            </w:r>
          </w:p>
        </w:tc>
      </w:tr>
    </w:tbl>
    <w:p>
      <w:pPr>
        <w:pStyle w:val="BodyText"/>
      </w:pPr>
      <w:r>
        <w:rPr>
          <w:b/>
          <w:bCs/>
        </w:rPr>
        <w:t xml:space="preserve">Recommended negotiation posture.</w:t>
      </w:r>
      <w:r>
        <w:t xml:space="preserve"> </w:t>
      </w:r>
      <w:r>
        <w:t xml:space="preserve">Proceed aggressively but with firm red lines on the five critical issues (exclusivity, data training, Output Data ownership, uncapped IP indemnification, and the MFC side letter). Communicate to KBI that Whitmore is enthusiastic about the partnership and the SmartFactory 2030 initiative, but that several terms as drafted are incompatible with Whitmore’s core IP and business model and require restructuring. Frame the exclusivity asymmetry (KBI locks in favorable economics for up to 5 years via the expansion right while Whitmore is locked out of a market segment for 3 years) explicitly in the response.</w:t>
      </w:r>
    </w:p>
    <w:bookmarkEnd w:id="38"/>
    <w:bookmarkStart w:id="39" w:name="Xd97d2a83603b8fde4b59c0380d5bedf37cd5529"/>
    <w:p>
      <w:pPr>
        <w:pStyle w:val="Heading2"/>
      </w:pPr>
      <w:r>
        <w:t xml:space="preserve">IX. Items Requiring Further Diligence / Open Questions</w:t>
      </w:r>
    </w:p>
    <w:p>
      <w:pPr>
        <w:pStyle w:val="Compact"/>
        <w:numPr>
          <w:ilvl w:val="0"/>
          <w:numId w:val="1003"/>
        </w:numPr>
      </w:pPr>
      <w:r>
        <w:rPr>
          <w:b/>
          <w:bCs/>
        </w:rPr>
        <w:t xml:space="preserve">Executed Exhibits A and B.</w:t>
      </w:r>
      <w:r>
        <w:t xml:space="preserve"> </w:t>
      </w:r>
      <w:r>
        <w:t xml:space="preserve">Confirm the final PredictIQ description (Exhibit A) and the Direct Competitor list (Exhibit B), and obtain the separate technical specification document referenced in Exhibit A (minimum system requirements).</w:t>
      </w:r>
    </w:p>
    <w:p>
      <w:pPr>
        <w:pStyle w:val="Compact"/>
        <w:numPr>
          <w:ilvl w:val="0"/>
          <w:numId w:val="1003"/>
        </w:numPr>
      </w:pPr>
      <w:r>
        <w:rPr>
          <w:b/>
          <w:bCs/>
        </w:rPr>
        <w:t xml:space="preserve">German-law specialist review.</w:t>
      </w:r>
      <w:r>
        <w:t xml:space="preserve"> </w:t>
      </w:r>
      <w:r>
        <w:t xml:space="preserve">Obtain focused advice on governing law, the uncapped indemnification, and the performance-warranty penalties under German law (including any unenforceability or reasonableness limits under German civil law).</w:t>
      </w:r>
    </w:p>
    <w:p>
      <w:pPr>
        <w:pStyle w:val="Compact"/>
        <w:numPr>
          <w:ilvl w:val="0"/>
          <w:numId w:val="1003"/>
        </w:numPr>
      </w:pPr>
      <w:r>
        <w:rPr>
          <w:b/>
          <w:bCs/>
        </w:rPr>
        <w:t xml:space="preserve">MFC look-back date.</w:t>
      </w:r>
      <w:r>
        <w:t xml:space="preserve"> </w:t>
      </w:r>
      <w:r>
        <w:t xml:space="preserve">Confirm whether KBI intends a January 1, 2024 look-back (referenced internally) or only the retroactivity to the date more-favorable terms were first offered to a Subsequent Licensee (as the side letter text provides). Obtain any earlier draft of the side letter.</w:t>
      </w:r>
    </w:p>
    <w:p>
      <w:pPr>
        <w:pStyle w:val="Compact"/>
        <w:numPr>
          <w:ilvl w:val="0"/>
          <w:numId w:val="1003"/>
        </w:numPr>
      </w:pPr>
      <w:r>
        <w:rPr>
          <w:b/>
          <w:bCs/>
        </w:rPr>
        <w:t xml:space="preserve">Wind-down license terms.</w:t>
      </w:r>
      <w:r>
        <w:t xml:space="preserve"> </w:t>
      </w:r>
      <w:r>
        <w:t xml:space="preserve">Confirm whether the definitive agreement will adopt the term sheet’s perpetual wind-down license at the full maintenance fee or the internally referenced 24-month/reduced-fee structure.</w:t>
      </w:r>
    </w:p>
    <w:p>
      <w:pPr>
        <w:pStyle w:val="Compact"/>
        <w:numPr>
          <w:ilvl w:val="0"/>
          <w:numId w:val="1003"/>
        </w:numPr>
      </w:pPr>
      <w:r>
        <w:rPr>
          <w:b/>
          <w:bCs/>
        </w:rPr>
        <w:t xml:space="preserve">Counsel-name discrepancy.</w:t>
      </w:r>
      <w:r>
        <w:t xml:space="preserve"> </w:t>
      </w:r>
      <w:r>
        <w:t xml:space="preserve">Reconcile</w:t>
      </w:r>
      <w:r>
        <w:t xml:space="preserve"> </w:t>
      </w:r>
      <w:r>
        <w:t xml:space="preserve">“</w:t>
      </w:r>
      <w:r>
        <w:t xml:space="preserve">Fenwick Hale &amp; Seward LLP</w:t>
      </w:r>
      <w:r>
        <w:t xml:space="preserve">”</w:t>
      </w:r>
      <w:r>
        <w:t xml:space="preserve"> </w:t>
      </w:r>
      <w:r>
        <w:t xml:space="preserve">(side letter) vs. </w:t>
      </w:r>
      <w:r>
        <w:t xml:space="preserve">“</w:t>
      </w:r>
      <w:r>
        <w:t xml:space="preserve">Ferndale Hale &amp; Seward LLP</w:t>
      </w:r>
      <w:r>
        <w:t xml:space="preserve">”</w:t>
      </w:r>
      <w:r>
        <w:t xml:space="preserve"> </w:t>
      </w:r>
      <w:r>
        <w:t xml:space="preserve">(engagement emails) and ensure the correct firm name is used in the definitive agreement.</w:t>
      </w:r>
    </w:p>
    <w:p>
      <w:pPr>
        <w:pStyle w:val="Compact"/>
        <w:numPr>
          <w:ilvl w:val="0"/>
          <w:numId w:val="1003"/>
        </w:numPr>
      </w:pPr>
      <w:r>
        <w:rPr>
          <w:b/>
          <w:bCs/>
        </w:rPr>
        <w:t xml:space="preserve">Open-source and third-party components.</w:t>
      </w:r>
      <w:r>
        <w:t xml:space="preserve"> </w:t>
      </w:r>
      <w:r>
        <w:t xml:space="preserve">Inventory OSS and third-party licensed components in PredictIQ to scope the escrow exclusion (H-5) and the OSS disclosure (L-5).</w:t>
      </w:r>
    </w:p>
    <w:p>
      <w:pPr>
        <w:pStyle w:val="Compact"/>
        <w:numPr>
          <w:ilvl w:val="0"/>
          <w:numId w:val="1003"/>
        </w:numPr>
      </w:pPr>
      <w:r>
        <w:rPr>
          <w:b/>
          <w:bCs/>
        </w:rPr>
        <w:t xml:space="preserve">Data-protection specifics.</w:t>
      </w:r>
      <w:r>
        <w:t xml:space="preserve"> </w:t>
      </w:r>
      <w:r>
        <w:t xml:space="preserve">Obtain KBI’s standard data-processing terms and confirm the sub-processor list, breach-notification timelines, and the cross-border transfer mechanism.</w:t>
      </w:r>
    </w:p>
    <w:p>
      <w:pPr>
        <w:pStyle w:val="Compact"/>
        <w:numPr>
          <w:ilvl w:val="0"/>
          <w:numId w:val="1003"/>
        </w:numPr>
      </w:pPr>
      <w:r>
        <w:rPr>
          <w:b/>
          <w:bCs/>
        </w:rPr>
        <w:t xml:space="preserve">Insurance.</w:t>
      </w:r>
      <w:r>
        <w:t xml:space="preserve"> </w:t>
      </w:r>
      <w:r>
        <w:t xml:space="preserve">Confirm Whitmore’s current insurance coverage (cyber, E&amp;O, CGL) to inform the insurance clause (L-9).</w:t>
      </w:r>
    </w:p>
    <w:p>
      <w:pPr>
        <w:pStyle w:val="Compact"/>
        <w:numPr>
          <w:ilvl w:val="0"/>
          <w:numId w:val="1003"/>
        </w:numPr>
      </w:pPr>
      <w:r>
        <w:rPr>
          <w:b/>
          <w:bCs/>
        </w:rPr>
        <w:t xml:space="preserve">Revenue recognition.</w:t>
      </w:r>
      <w:r>
        <w:t xml:space="preserve"> </w:t>
      </w:r>
      <w:r>
        <w:t xml:space="preserve">Obtain Lakeshore Accounting Group LLP’s view on ASC 606 treatment of the license-fee milestones and the linear implementation billing (H-1).</w:t>
      </w:r>
    </w:p>
    <w:p>
      <w:pPr>
        <w:pStyle w:val="Compact"/>
        <w:numPr>
          <w:ilvl w:val="0"/>
          <w:numId w:val="1003"/>
        </w:numPr>
      </w:pPr>
      <w:r>
        <w:rPr>
          <w:b/>
          <w:bCs/>
        </w:rPr>
        <w:t xml:space="preserve">Series C / M&amp;A implications.</w:t>
      </w:r>
      <w:r>
        <w:t xml:space="preserve"> </w:t>
      </w:r>
      <w:r>
        <w:t xml:space="preserve">Confirm the status of Hollcroft Ventures discussions and any acquisition pipeline to inform the assignment (H-10) and confidentiality (M-9) positions.</w:t>
      </w:r>
    </w:p>
    <w:p>
      <w:pPr>
        <w:pStyle w:val="Compact"/>
        <w:numPr>
          <w:ilvl w:val="0"/>
          <w:numId w:val="1003"/>
        </w:numPr>
      </w:pPr>
      <w:r>
        <w:rPr>
          <w:b/>
          <w:bCs/>
        </w:rPr>
        <w:t xml:space="preserve">Exclusivity remedies.</w:t>
      </w:r>
      <w:r>
        <w:t xml:space="preserve"> </w:t>
      </w:r>
      <w:r>
        <w:t xml:space="preserve">Confirm whether KBI intends liquidated damages for exclusivity breach (referenced in the internal email but absent from the term sheet text), and obtain German-law advice on the enforceability of any such penalty clause.</w:t>
      </w:r>
    </w:p>
    <w:bookmarkEnd w:id="39"/>
    <w:bookmarkStart w:id="40" w:name="x.-reservations-and-limitations"/>
    <w:p>
      <w:pPr>
        <w:pStyle w:val="Heading2"/>
      </w:pPr>
      <w:r>
        <w:t xml:space="preserve">X. Reservations and Limitations</w:t>
      </w:r>
    </w:p>
    <w:p>
      <w:pPr>
        <w:pStyle w:val="FirstParagraph"/>
      </w:pPr>
      <w:r>
        <w:t xml:space="preserve">This memorandum is a first-impression review of a</w:t>
      </w:r>
      <w:r>
        <w:t xml:space="preserve"> </w:t>
      </w:r>
      <w:r>
        <w:rPr>
          <w:b/>
          <w:bCs/>
        </w:rPr>
        <w:t xml:space="preserve">non-binding</w:t>
      </w:r>
      <w:r>
        <w:t xml:space="preserve"> </w:t>
      </w:r>
      <w:r>
        <w:t xml:space="preserve">term sheet and an expressly</w:t>
      </w:r>
      <w:r>
        <w:t xml:space="preserve"> </w:t>
      </w:r>
      <w:r>
        <w:rPr>
          <w:b/>
          <w:bCs/>
        </w:rPr>
        <w:t xml:space="preserve">non-binding</w:t>
      </w:r>
      <w:r>
        <w:t xml:space="preserve"> </w:t>
      </w:r>
      <w:r>
        <w:t xml:space="preserve">side letter, prepared on an accelerated timeline for the June 18, 2025 board meeting. It is based solely on the three documents identified in Section II and the internal email thread of June 3, 2025. We have not reviewed any definitive-agreement draft, executed exhibits, technical specifications, KBI data-processing terms, or Whitmore’s upstream license/contracts. Several risk flags will turn on precise definitive-agreement drafting and on the German-law specialist review recommended in Section IX. This memorandum is provided for the board’s deliberative use in approving a negotiation framework; it is not a legal opinion and should not be relied upon as one. We are available to discuss any item in advance of the board meeting.</w:t>
      </w:r>
    </w:p>
    <w:p>
      <w:pPr>
        <w:pStyle w:val="BodyText"/>
      </w:pPr>
      <w:r>
        <w:rPr>
          <w:i/>
          <w:iCs/>
        </w:rPr>
        <w:t xml:space="preserve">Respectfully submitted,</w:t>
      </w:r>
    </w:p>
    <w:p>
      <w:pPr>
        <w:pStyle w:val="BodyText"/>
      </w:pPr>
      <w:r>
        <w:rPr>
          <w:b/>
          <w:bCs/>
        </w:rPr>
        <w:t xml:space="preserve">Ferndale Hale &amp; Seward LLP</w:t>
      </w:r>
    </w:p>
    <w:p>
      <w:pPr>
        <w:pStyle w:val="BodyText"/>
      </w:pPr>
      <w:r>
        <w:t xml:space="preserve">Daniel Cortez, Partner</w:t>
      </w:r>
      <w:r>
        <w:t xml:space="preserve"> </w:t>
      </w:r>
      <w:r>
        <w:t xml:space="preserve">Priya Venkatesh, Partner</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Key-Terms Extraction, Risk Flags &amp; Negotiation Recommendations</dc:title>
  <dc:creator/>
  <cp:keywords/>
  <dcterms:created xsi:type="dcterms:W3CDTF">2026-06-27T01:49:42Z</dcterms:created>
  <dcterms:modified xsi:type="dcterms:W3CDTF">2026-06-27T01:49:42Z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Proposed PredictIQ Technology License Agreement with Kessler-Brandt Industrial GmbH</vt:lpwstr>
  </property>
</Properties>
</file>