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emorandum"/>
    <w:p>
      <w:pPr>
        <w:pStyle w:val="Heading1"/>
      </w:pPr>
      <w:r>
        <w:t xml:space="preserve">MEMORANDUM</w:t>
      </w:r>
    </w:p>
    <w:p>
      <w:pPr>
        <w:pStyle w:val="FirstParagraph"/>
      </w:pPr>
      <w:r>
        <w:rPr>
          <w:b/>
          <w:bCs/>
        </w:rPr>
        <w:t xml:space="preserve">PRIVILEGED &amp; CONFIDENTIAL — ATTORNEY-CLIENT COMMUNICATION / ATTORNEY WORK PRODUCT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Dr. Eleanor Harrington, Chief Executive Officer, and the Board of Directors, Greenfield Biosciences, Inc.</w:t>
            </w:r>
          </w:p>
        </w:tc>
      </w:tr>
      <w:tr>
        <w:tc>
          <w:tcPr/>
          <w:p>
            <w:pPr>
              <w:pStyle w:val="Compact"/>
              <w:jc w:val="left"/>
            </w:pPr>
            <w:r>
              <w:rPr>
                <w:b/>
                <w:bCs/>
              </w:rPr>
              <w:t xml:space="preserve">FROM:</w:t>
            </w:r>
          </w:p>
        </w:tc>
        <w:tc>
          <w:tcPr/>
          <w:p>
            <w:pPr>
              <w:pStyle w:val="Compact"/>
              <w:jc w:val="left"/>
            </w:pPr>
            <w:r>
              <w:t xml:space="preserve">Marcus J. Whitfield, General Counsel, Greenfield Biosciences, Inc.</w:t>
            </w:r>
          </w:p>
        </w:tc>
      </w:tr>
      <w:tr>
        <w:tc>
          <w:tcPr/>
          <w:p>
            <w:pPr>
              <w:pStyle w:val="Compact"/>
              <w:jc w:val="left"/>
            </w:pPr>
            <w:r>
              <w:rPr>
                <w:b/>
                <w:bCs/>
              </w:rPr>
              <w:t xml:space="preserve">DATE:</w:t>
            </w:r>
          </w:p>
        </w:tc>
        <w:tc>
          <w:tcPr/>
          <w:p>
            <w:pPr>
              <w:pStyle w:val="Compact"/>
              <w:jc w:val="left"/>
            </w:pPr>
            <w:r>
              <w:t xml:space="preserve">February 24, 2025</w:t>
            </w:r>
          </w:p>
        </w:tc>
      </w:tr>
      <w:tr>
        <w:tc>
          <w:tcPr/>
          <w:p>
            <w:pPr>
              <w:pStyle w:val="Compact"/>
              <w:jc w:val="left"/>
            </w:pPr>
            <w:r>
              <w:rPr>
                <w:b/>
                <w:bCs/>
              </w:rPr>
              <w:t xml:space="preserve">RE:</w:t>
            </w:r>
          </w:p>
        </w:tc>
        <w:tc>
          <w:tcPr/>
          <w:p>
            <w:pPr>
              <w:pStyle w:val="Compact"/>
              <w:jc w:val="left"/>
            </w:pPr>
            <w:r>
              <w:t xml:space="preserve">Analysis of NovaTrait Genomics Corporation’s Consolidated IP License Renewal Proposal and Recommended Negotiation Strategy (Licenses A, B &amp; C)</w:t>
            </w:r>
          </w:p>
        </w:tc>
      </w:tr>
      <w:tr>
        <w:tc>
          <w:tcPr/>
          <w:p>
            <w:pPr>
              <w:pStyle w:val="Compact"/>
              <w:jc w:val="left"/>
            </w:pPr>
            <w:r>
              <w:rPr>
                <w:b/>
                <w:bCs/>
              </w:rPr>
              <w:t xml:space="preserve">PREPARED WITH:</w:t>
            </w:r>
          </w:p>
        </w:tc>
        <w:tc>
          <w:tcPr/>
          <w:p>
            <w:pPr>
              <w:pStyle w:val="Compact"/>
              <w:jc w:val="left"/>
            </w:pPr>
            <w:r>
              <w:t xml:space="preserve">Ashworth &amp; Calder LLP (outside counsel); Ridgemont/Oakvale Advisory Group (financial impact analysis); Clarendon IP Consulting, LLC (patent landscape analysis)</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NovaTrait Genomics Corporation (</w:t>
      </w:r>
      <w:r>
        <w:t xml:space="preserve">“</w:t>
      </w:r>
      <w:r>
        <w:t xml:space="preserve">NovaTrait</w:t>
      </w:r>
      <w:r>
        <w:t xml:space="preserve">”</w:t>
      </w:r>
      <w:r>
        <w:t xml:space="preserve">) has submitted a consolidated renewal proposal (the</w:t>
      </w:r>
      <w:r>
        <w:t xml:space="preserve"> </w:t>
      </w:r>
      <w:r>
        <w:t xml:space="preserve">“</w:t>
      </w:r>
      <w:r>
        <w:t xml:space="preserve">Proposal,</w:t>
      </w:r>
      <w:r>
        <w:t xml:space="preserve">”</w:t>
      </w:r>
      <w:r>
        <w:t xml:space="preserve"> </w:t>
      </w:r>
      <w:r>
        <w:t xml:space="preserve">dated October 14, 2024) covering all three of the intellectual-property and software license agreements between NovaTrait and Greenfield Biosciences, Inc. (</w:t>
      </w:r>
      <w:r>
        <w:t xml:space="preserve">“</w:t>
      </w:r>
      <w:r>
        <w:t xml:space="preserve">Greenfield</w:t>
      </w:r>
      <w:r>
        <w:t xml:space="preserve">”</w:t>
      </w:r>
      <w:r>
        <w:t xml:space="preserve">): (i) the CRISPR-Ag Suite Gene-Editing Platform license (</w:t>
      </w:r>
      <w:r>
        <w:t xml:space="preserve">“</w:t>
      </w:r>
      <w:r>
        <w:rPr>
          <w:b/>
          <w:bCs/>
        </w:rPr>
        <w:t xml:space="preserve">License A</w:t>
      </w:r>
      <w:r>
        <w:t xml:space="preserve">,</w:t>
      </w:r>
      <w:r>
        <w:t xml:space="preserve">”</w:t>
      </w:r>
      <w:r>
        <w:t xml:space="preserve"> </w:t>
      </w:r>
      <w:r>
        <w:t xml:space="preserve">No. NT-GF-2015-001, effective July 1, 2015); (ii) the TraitForge Plant Trait Expression Platform license (</w:t>
      </w:r>
      <w:r>
        <w:t xml:space="preserve">“</w:t>
      </w:r>
      <w:r>
        <w:rPr>
          <w:b/>
          <w:bCs/>
        </w:rPr>
        <w:t xml:space="preserve">License B</w:t>
      </w:r>
      <w:r>
        <w:t xml:space="preserve">,</w:t>
      </w:r>
      <w:r>
        <w:t xml:space="preserve">”</w:t>
      </w:r>
      <w:r>
        <w:t xml:space="preserve"> </w:t>
      </w:r>
      <w:r>
        <w:t xml:space="preserve">effective January 1, 2018); and (iii) the GenoMap Pro Software license (</w:t>
      </w:r>
      <w:r>
        <w:t xml:space="preserve">“</w:t>
      </w:r>
      <w:r>
        <w:rPr>
          <w:b/>
          <w:bCs/>
        </w:rPr>
        <w:t xml:space="preserve">License C</w:t>
      </w:r>
      <w:r>
        <w:t xml:space="preserve">,</w:t>
      </w:r>
      <w:r>
        <w:t xml:space="preserve">”</w:t>
      </w:r>
      <w:r>
        <w:t xml:space="preserve"> </w:t>
      </w:r>
      <w:r>
        <w:t xml:space="preserve">effective March 1, 2020).</w:t>
      </w:r>
    </w:p>
    <w:p>
      <w:pPr>
        <w:pStyle w:val="BodyText"/>
      </w:pPr>
      <w:r>
        <w:rPr>
          <w:b/>
          <w:bCs/>
        </w:rPr>
        <w:t xml:space="preserve">Bottom line.</w:t>
      </w:r>
      <w:r>
        <w:t xml:space="preserve"> </w:t>
      </w:r>
      <w:r>
        <w:t xml:space="preserve">The Proposal, taken as a whole, would increase Greenfield’s aggregate annual IP cost by approximately</w:t>
      </w:r>
      <w:r>
        <w:t xml:space="preserve"> </w:t>
      </w:r>
      <w:r>
        <w:rPr>
          <w:b/>
          <w:bCs/>
        </w:rPr>
        <w:t xml:space="preserve">$9.3 million (≈50%)</w:t>
      </w:r>
      <w:r>
        <w:t xml:space="preserve">, from ~$18.6 million to ~$27.95 million, raising IP spend from 4.81% to 7.22% of FY 2024 revenue. Every proposed rate and fee</w:t>
      </w:r>
      <w:r>
        <w:t xml:space="preserve"> </w:t>
      </w:r>
      <w:r>
        <w:rPr>
          <w:b/>
          <w:bCs/>
        </w:rPr>
        <w:t xml:space="preserve">exceeds the upper end of available market comparables</w:t>
      </w:r>
      <w:r>
        <w:t xml:space="preserve">, and the Proposal bundles several terms that are materially adverse to Greenfield and should not be accepted as presented. At the same time, the three licenses are</w:t>
      </w:r>
      <w:r>
        <w:t xml:space="preserve"> </w:t>
      </w:r>
      <w:r>
        <w:rPr>
          <w:b/>
          <w:bCs/>
        </w:rPr>
        <w:t xml:space="preserve">not equally substitutable</w:t>
      </w:r>
      <w:r>
        <w:t xml:space="preserve">: License B (TraitForge) is effectively irreplaceable and must be renewed; License A (CRISPR-Ag) is renewing into a period of declining patent exclusivity and should be re-priced downward over its term; and License C (GenoMap Pro) is the most substitutable and presents the strongest case for aggressive re-pricing or replacement.</w:t>
      </w:r>
    </w:p>
    <w:p>
      <w:pPr>
        <w:pStyle w:val="BodyText"/>
      </w:pPr>
      <w:r>
        <w:rPr>
          <w:b/>
          <w:bCs/>
        </w:rPr>
        <w:t xml:space="preserve">Recommended posture.</w:t>
      </w:r>
      <w:r>
        <w:t xml:space="preserve"> </w:t>
      </w:r>
      <w:r>
        <w:t xml:space="preserve">Greenfield should (1)</w:t>
      </w:r>
      <w:r>
        <w:t xml:space="preserve"> </w:t>
      </w:r>
      <w:r>
        <w:rPr>
          <w:b/>
          <w:bCs/>
        </w:rPr>
        <w:t xml:space="preserve">reject the Proposal as a package</w:t>
      </w:r>
      <w:r>
        <w:t xml:space="preserve"> </w:t>
      </w:r>
      <w:r>
        <w:t xml:space="preserve">and return a consolidated counter-proposal; (2)</w:t>
      </w:r>
      <w:r>
        <w:t xml:space="preserve"> </w:t>
      </w:r>
      <w:r>
        <w:rPr>
          <w:b/>
          <w:bCs/>
        </w:rPr>
        <w:t xml:space="preserve">treat the three licenses as separable</w:t>
      </w:r>
      <w:r>
        <w:t xml:space="preserve"> </w:t>
      </w:r>
      <w:r>
        <w:t xml:space="preserve">negotiations with distinct leverage profiles; (3)</w:t>
      </w:r>
      <w:r>
        <w:t xml:space="preserve"> </w:t>
      </w:r>
      <w:r>
        <w:rPr>
          <w:b/>
          <w:bCs/>
        </w:rPr>
        <w:t xml:space="preserve">resolve the License B standstill immediately</w:t>
      </w:r>
      <w:r>
        <w:t xml:space="preserve"> </w:t>
      </w:r>
      <w:r>
        <w:t xml:space="preserve">as the single most time-critical risk; and (4)</w:t>
      </w:r>
      <w:r>
        <w:t xml:space="preserve"> </w:t>
      </w:r>
      <w:r>
        <w:rPr>
          <w:b/>
          <w:bCs/>
        </w:rPr>
        <w:t xml:space="preserve">insist on a royalty step-down in License A</w:t>
      </w:r>
      <w:r>
        <w:t xml:space="preserve"> </w:t>
      </w:r>
      <w:r>
        <w:t xml:space="preserve">tied to the March 2028 expiry of the foundational U.S. Patent No. 9,234,117, which represents ~60% of that portfolio’s value. The detailed recommended counter-terms are set out in Section XI.</w:t>
      </w:r>
    </w:p>
    <w:p>
      <w:pPr>
        <w:pStyle w:val="BodyText"/>
      </w:pPr>
      <w:r>
        <w:t xml:space="preserve">The five most important conclusions are:</w:t>
      </w:r>
    </w:p>
    <w:p>
      <w:pPr>
        <w:numPr>
          <w:ilvl w:val="0"/>
          <w:numId w:val="1001"/>
        </w:numPr>
      </w:pPr>
      <w:r>
        <w:rPr>
          <w:b/>
          <w:bCs/>
        </w:rPr>
        <w:t xml:space="preserve">Timing is the dominant risk.</w:t>
      </w:r>
      <w:r>
        <w:t xml:space="preserve"> </w:t>
      </w:r>
      <w:r>
        <w:t xml:space="preserve">License B has already expired (December 31, 2024) and is operating under a 180-day standstill that terminates</w:t>
      </w:r>
      <w:r>
        <w:t xml:space="preserve"> </w:t>
      </w:r>
      <w:r>
        <w:rPr>
          <w:b/>
          <w:bCs/>
        </w:rPr>
        <w:t xml:space="preserve">June 29, 2025</w:t>
      </w:r>
      <w:r>
        <w:t xml:space="preserve">; License C expires</w:t>
      </w:r>
      <w:r>
        <w:t xml:space="preserve"> </w:t>
      </w:r>
      <w:r>
        <w:rPr>
          <w:b/>
          <w:bCs/>
        </w:rPr>
        <w:t xml:space="preserve">February 28, 2025</w:t>
      </w:r>
      <w:r>
        <w:t xml:space="preserve">; License A expires</w:t>
      </w:r>
      <w:r>
        <w:t xml:space="preserve"> </w:t>
      </w:r>
      <w:r>
        <w:rPr>
          <w:b/>
          <w:bCs/>
        </w:rPr>
        <w:t xml:space="preserve">June 30, 2025</w:t>
      </w:r>
      <w:r>
        <w:t xml:space="preserve">, with a renewal-notice deadline of</w:t>
      </w:r>
      <w:r>
        <w:t xml:space="preserve"> </w:t>
      </w:r>
      <w:r>
        <w:rPr>
          <w:b/>
          <w:bCs/>
        </w:rPr>
        <w:t xml:space="preserve">March 31, 2025</w:t>
      </w:r>
      <w:r>
        <w:t xml:space="preserve">. If the License B standstill lapses without a renewal or extension, Greenfield faces a 30-day obligation to return/destroy irreplaceable biological materials and a forced shutdown of the TraitForge platform — including the Prairielands sublicense.</w:t>
      </w:r>
    </w:p>
    <w:p>
      <w:pPr>
        <w:numPr>
          <w:ilvl w:val="0"/>
          <w:numId w:val="1001"/>
        </w:numPr>
      </w:pPr>
      <w:r>
        <w:rPr>
          <w:b/>
          <w:bCs/>
        </w:rPr>
        <w:t xml:space="preserve">The headline rate increases understate the true cost.</w:t>
      </w:r>
      <w:r>
        <w:t xml:space="preserve"> </w:t>
      </w:r>
      <w:r>
        <w:t xml:space="preserve">NovaTrait’s proposed redefinition of</w:t>
      </w:r>
      <w:r>
        <w:t xml:space="preserve"> </w:t>
      </w:r>
      <w:r>
        <w:t xml:space="preserve">“</w:t>
      </w:r>
      <w:r>
        <w:t xml:space="preserve">Net Sales</w:t>
      </w:r>
      <w:r>
        <w:t xml:space="preserve">”</w:t>
      </w:r>
      <w:r>
        <w:t xml:space="preserve"> </w:t>
      </w:r>
      <w:r>
        <w:t xml:space="preserve">(eliminating deductions for freight, insurance, returns/recalls, and bad debt) is a</w:t>
      </w:r>
      <w:r>
        <w:t xml:space="preserve"> </w:t>
      </w:r>
      <w:r>
        <w:rPr>
          <w:i/>
          <w:iCs/>
        </w:rPr>
        <w:t xml:space="preserve">second</w:t>
      </w:r>
      <w:r>
        <w:t xml:space="preserve"> </w:t>
      </w:r>
      <w:r>
        <w:t xml:space="preserve">rate increase layered on top of the nominal rate increase. For License A, the combined effective rate on the original Net Sales base is</w:t>
      </w:r>
      <w:r>
        <w:t xml:space="preserve"> </w:t>
      </w:r>
      <w:r>
        <w:rPr>
          <w:b/>
          <w:bCs/>
        </w:rPr>
        <w:t xml:space="preserve">6.70%</w:t>
      </w:r>
      <w:r>
        <w:t xml:space="preserve"> </w:t>
      </w:r>
      <w:r>
        <w:t xml:space="preserve">— 148.9% of the current 4.5% rate, which sits just inside the 150% cap of Section 14.3(a) but only by a hair, and only if one reads the cap to govern the</w:t>
      </w:r>
      <w:r>
        <w:t xml:space="preserve"> </w:t>
      </w:r>
      <w:r>
        <w:rPr>
          <w:i/>
          <w:iCs/>
        </w:rPr>
        <w:t xml:space="preserve">effective</w:t>
      </w:r>
      <w:r>
        <w:t xml:space="preserve"> </w:t>
      </w:r>
      <w:r>
        <w:t xml:space="preserve">economic burden rather than the nominal percentage.</w:t>
      </w:r>
    </w:p>
    <w:p>
      <w:pPr>
        <w:numPr>
          <w:ilvl w:val="0"/>
          <w:numId w:val="1001"/>
        </w:numPr>
      </w:pPr>
      <w:r>
        <w:rPr>
          <w:b/>
          <w:bCs/>
        </w:rPr>
        <w:t xml:space="preserve">The Improvements and data-ownership provisions are value transfers.</w:t>
      </w:r>
      <w:r>
        <w:t xml:space="preserve"> </w:t>
      </w:r>
      <w:r>
        <w:t xml:space="preserve">The Proposal reverses Greenfield’s sole ownership of improvements (License A §8.1) to joint ownership with a royalty-free, perpetual, sublicensable grant-back to NovaTrait, and would transfer ownership of all GenoMap Pro</w:t>
      </w:r>
      <w:r>
        <w:t xml:space="preserve"> </w:t>
      </w:r>
      <w:r>
        <w:rPr>
          <w:i/>
          <w:iCs/>
        </w:rPr>
        <w:t xml:space="preserve">output</w:t>
      </w:r>
      <w:r>
        <w:t xml:space="preserve"> </w:t>
      </w:r>
      <w:r>
        <w:t xml:space="preserve">data to NovaTrait. Both should be rejected.</w:t>
      </w:r>
    </w:p>
    <w:p>
      <w:pPr>
        <w:numPr>
          <w:ilvl w:val="0"/>
          <w:numId w:val="1001"/>
        </w:numPr>
      </w:pPr>
      <w:r>
        <w:rPr>
          <w:b/>
          <w:bCs/>
        </w:rPr>
        <w:t xml:space="preserve">The License A field-of-use change is a net contraction.</w:t>
      </w:r>
      <w:r>
        <w:t xml:space="preserve"> </w:t>
      </w:r>
      <w:r>
        <w:t xml:space="preserve">NovaTrait proposes to</w:t>
      </w:r>
      <w:r>
        <w:t xml:space="preserve"> </w:t>
      </w:r>
      <w:r>
        <w:rPr>
          <w:i/>
          <w:iCs/>
        </w:rPr>
        <w:t xml:space="preserve">add</w:t>
      </w:r>
      <w:r>
        <w:t xml:space="preserve"> </w:t>
      </w:r>
      <w:r>
        <w:t xml:space="preserve">wheat but</w:t>
      </w:r>
      <w:r>
        <w:t xml:space="preserve"> </w:t>
      </w:r>
      <w:r>
        <w:rPr>
          <w:i/>
          <w:iCs/>
        </w:rPr>
        <w:t xml:space="preserve">remove</w:t>
      </w:r>
      <w:r>
        <w:t xml:space="preserve"> </w:t>
      </w:r>
      <w:r>
        <w:t xml:space="preserve">insect resistance — a core Greenfield product line representing roughly 30% of License A revenue — because it has granted an exclusive insect-resistance license to a third party. Greenfield cannot accept removal of insect resistance without a grandfathered transition right, and the wheat addition must be validated against the actual scope of the licensed patents.</w:t>
      </w:r>
    </w:p>
    <w:p>
      <w:pPr>
        <w:numPr>
          <w:ilvl w:val="0"/>
          <w:numId w:val="1001"/>
        </w:numPr>
      </w:pPr>
      <w:r>
        <w:rPr>
          <w:b/>
          <w:bCs/>
        </w:rPr>
        <w:t xml:space="preserve">Greenfield has real, but uneven, leverage.</w:t>
      </w:r>
      <w:r>
        <w:t xml:space="preserve"> </w:t>
      </w:r>
      <w:r>
        <w:t xml:space="preserve">License C is over-priced relative to three identified alternatives and should be re-priced toward the $3.5–4.0M market range (or replaced). License A leverage grows materially after March 2028. License B is the one license where NovaTrait holds genuine pricing power, but even there the proposed 5.0% rate exceeds the 3.0–4.5% market range and should be negotiated down.</w:t>
      </w:r>
    </w:p>
    <w:p>
      <w:r>
        <w:pict>
          <v:rect style="width:0;height:1.5pt" o:hralign="center" o:hrstd="t" o:hr="t"/>
        </w:pict>
      </w:r>
    </w:p>
    <w:bookmarkEnd w:id="20"/>
    <w:bookmarkStart w:id="21" w:name="ii.-background-and-documents-reviewed"/>
    <w:p>
      <w:pPr>
        <w:pStyle w:val="Heading2"/>
      </w:pPr>
      <w:r>
        <w:t xml:space="preserve">II. Background and Documents Reviewed</w:t>
      </w:r>
    </w:p>
    <w:p>
      <w:pPr>
        <w:pStyle w:val="FirstParagraph"/>
      </w:pPr>
      <w:r>
        <w:t xml:space="preserve">This memorandum synthesizes the following source materials:</w:t>
      </w:r>
    </w:p>
    <w:p>
      <w:pPr>
        <w:pStyle w:val="Compact"/>
        <w:numPr>
          <w:ilvl w:val="0"/>
          <w:numId w:val="1002"/>
        </w:numPr>
      </w:pPr>
      <w:r>
        <w:rPr>
          <w:b/>
          <w:bCs/>
        </w:rPr>
        <w:t xml:space="preserve">License A</w:t>
      </w:r>
      <w:r>
        <w:t xml:space="preserve"> </w:t>
      </w:r>
      <w:r>
        <w:t xml:space="preserve">— Intellectual Property License Agreement (CRISPR-Ag Suite), No. NT-GF-2015-001, effective July 1, 2015 (with Exhibit A patent schedule and Schedule 5.2 encumbrances).</w:t>
      </w:r>
    </w:p>
    <w:p>
      <w:pPr>
        <w:pStyle w:val="Compact"/>
        <w:numPr>
          <w:ilvl w:val="0"/>
          <w:numId w:val="1002"/>
        </w:numPr>
      </w:pPr>
      <w:r>
        <w:rPr>
          <w:b/>
          <w:bCs/>
        </w:rPr>
        <w:t xml:space="preserve">License B</w:t>
      </w:r>
      <w:r>
        <w:t xml:space="preserve"> </w:t>
      </w:r>
      <w:r>
        <w:t xml:space="preserve">— Plant Trait Expression Platform License Agreement (TraitForge), effective January 1, 2018 (with Exhibits A–C).</w:t>
      </w:r>
    </w:p>
    <w:p>
      <w:pPr>
        <w:pStyle w:val="Compact"/>
        <w:numPr>
          <w:ilvl w:val="0"/>
          <w:numId w:val="1002"/>
        </w:numPr>
      </w:pPr>
      <w:r>
        <w:rPr>
          <w:b/>
          <w:bCs/>
        </w:rPr>
        <w:t xml:space="preserve">License C</w:t>
      </w:r>
      <w:r>
        <w:t xml:space="preserve"> </w:t>
      </w:r>
      <w:r>
        <w:t xml:space="preserve">— GenoMap Pro Software License Agreement, effective March 1, 2020 (with Exhibit A Accepted Use Policy).</w:t>
      </w:r>
    </w:p>
    <w:p>
      <w:pPr>
        <w:pStyle w:val="Compact"/>
        <w:numPr>
          <w:ilvl w:val="0"/>
          <w:numId w:val="1002"/>
        </w:numPr>
      </w:pPr>
      <w:r>
        <w:rPr>
          <w:b/>
          <w:bCs/>
        </w:rPr>
        <w:t xml:space="preserve">NovaTrait Consolidated Renewal Proposal</w:t>
      </w:r>
      <w:r>
        <w:t xml:space="preserve">, dated October 14, 2024 (Parts I–VIII, Appendices A–B), submitted under Fed. R. Evid. 408 / Mass. R. Evid. 408.</w:t>
      </w:r>
    </w:p>
    <w:p>
      <w:pPr>
        <w:pStyle w:val="Compact"/>
        <w:numPr>
          <w:ilvl w:val="0"/>
          <w:numId w:val="1002"/>
        </w:numPr>
      </w:pPr>
      <w:r>
        <w:rPr>
          <w:b/>
          <w:bCs/>
        </w:rPr>
        <w:t xml:space="preserve">Prairielands Sublicense Agreement</w:t>
      </w:r>
      <w:r>
        <w:t xml:space="preserve">, effective May 1, 2021 (soybean drought tolerance, Argentina/Brazil), with NovaTrait consent letter of April 15, 2021.</w:t>
      </w:r>
    </w:p>
    <w:p>
      <w:pPr>
        <w:pStyle w:val="Compact"/>
        <w:numPr>
          <w:ilvl w:val="0"/>
          <w:numId w:val="1002"/>
        </w:numPr>
      </w:pPr>
      <w:r>
        <w:rPr>
          <w:b/>
          <w:bCs/>
        </w:rPr>
        <w:t xml:space="preserve">Clarendon IP Consulting — Patent Landscape Analysis (Executive Summary)</w:t>
      </w:r>
      <w:r>
        <w:t xml:space="preserve">, dated September 14, 2020 (engagement CPC-2020-0447).</w:t>
      </w:r>
    </w:p>
    <w:p>
      <w:pPr>
        <w:pStyle w:val="Compact"/>
        <w:numPr>
          <w:ilvl w:val="0"/>
          <w:numId w:val="1002"/>
        </w:numPr>
      </w:pPr>
      <w:r>
        <w:rPr>
          <w:b/>
          <w:bCs/>
        </w:rPr>
        <w:t xml:space="preserve">Ridgemont/Oakvale Advisory Group — IP License Renewal Royalty &amp; Term Analysis</w:t>
      </w:r>
      <w:r>
        <w:t xml:space="preserve">, dated February 2025 (Summary, per-license royalty models, sensitivity analyses, market comparables, switching-cost analyses, negotiation priorities, timeline, rate-cap analysis, and assumptions).</w:t>
      </w:r>
    </w:p>
    <w:p>
      <w:pPr>
        <w:pStyle w:val="FirstParagraph"/>
      </w:pPr>
      <w:r>
        <w:rPr>
          <w:b/>
          <w:bCs/>
        </w:rPr>
        <w:t xml:space="preserve">Parties.</w:t>
      </w:r>
      <w:r>
        <w:t xml:space="preserve"> </w:t>
      </w:r>
      <w:r>
        <w:t xml:space="preserve">NovaTrait (licensor; ~$1.24B revenue) is a Massachusetts corporation; Greenfield (licensee; ~$387.2M FY 2024 revenue) is a Delaware corporation. All three agreements are governed by Massachusetts law. Greenfield’s outside counsel of record is Ashworth &amp; Calder LLP (Victoria Chen); NovaTrait is represented by Stonebridge Harmon LLP (Graham Whitfield). The Proposal references</w:t>
      </w:r>
      <w:r>
        <w:t xml:space="preserve"> </w:t>
      </w:r>
      <w:r>
        <w:t xml:space="preserve">“</w:t>
      </w:r>
      <w:r>
        <w:t xml:space="preserve">Bergerac Whitlock LLP</w:t>
      </w:r>
      <w:r>
        <w:t xml:space="preserve">”</w:t>
      </w:r>
      <w:r>
        <w:t xml:space="preserve"> </w:t>
      </w:r>
      <w:r>
        <w:t xml:space="preserve">as Greenfield’s counsel — this appears to be an error and should be clarified.</w:t>
      </w:r>
    </w:p>
    <w:p>
      <w:r>
        <w:pict>
          <v:rect style="width:0;height:1.5pt" o:hralign="center" o:hrstd="t" o:hr="t"/>
        </w:pict>
      </w:r>
    </w:p>
    <w:bookmarkEnd w:id="21"/>
    <w:bookmarkStart w:id="22" w:name="X94707d8f0d255d692ed25369557a3d43ef04559"/>
    <w:p>
      <w:pPr>
        <w:pStyle w:val="Heading2"/>
      </w:pPr>
      <w:r>
        <w:t xml:space="preserve">III. Critical Timing and Procedural Status</w:t>
      </w:r>
    </w:p>
    <w:p>
      <w:pPr>
        <w:pStyle w:val="FirstParagraph"/>
      </w:pPr>
      <w:r>
        <w:t xml:space="preserve">The three licenses expire on overlapping but misaligned dates, and two of the three renewal-notice deadlines have already passed. The procedural status is the single most urgent dimension of this matter.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License</w:t>
            </w:r>
          </w:p>
        </w:tc>
        <w:tc>
          <w:tcPr/>
          <w:p>
            <w:pPr>
              <w:pStyle w:val="Compact"/>
              <w:jc w:val="left"/>
            </w:pPr>
            <w:r>
              <w:t xml:space="preserve">Status</w:t>
            </w:r>
          </w:p>
        </w:tc>
      </w:tr>
      <w:tr>
        <w:tc>
          <w:tcPr/>
          <w:p>
            <w:pPr>
              <w:pStyle w:val="Compact"/>
              <w:jc w:val="left"/>
            </w:pPr>
            <w:r>
              <w:t xml:space="preserve">Sep 30, 2024</w:t>
            </w:r>
          </w:p>
        </w:tc>
        <w:tc>
          <w:tcPr/>
          <w:p>
            <w:pPr>
              <w:pStyle w:val="Compact"/>
              <w:jc w:val="left"/>
            </w:pPr>
            <w:r>
              <w:t xml:space="preserve">Renewal-notice deadline (§12.2)</w:t>
            </w:r>
          </w:p>
        </w:tc>
        <w:tc>
          <w:tcPr/>
          <w:p>
            <w:pPr>
              <w:pStyle w:val="Compact"/>
              <w:jc w:val="left"/>
            </w:pPr>
            <w:r>
              <w:t xml:space="preserve">B</w:t>
            </w:r>
          </w:p>
        </w:tc>
        <w:tc>
          <w:tcPr/>
          <w:p>
            <w:pPr>
              <w:pStyle w:val="Compact"/>
              <w:jc w:val="left"/>
            </w:pPr>
            <w:r>
              <w:rPr>
                <w:b/>
                <w:bCs/>
              </w:rPr>
              <w:t xml:space="preserve">Passed</w:t>
            </w:r>
            <w:r>
              <w:t xml:space="preserve"> </w:t>
            </w:r>
            <w:r>
              <w:t xml:space="preserve">— confirm timely notice was delivered</w:t>
            </w:r>
          </w:p>
        </w:tc>
      </w:tr>
      <w:tr>
        <w:tc>
          <w:tcPr/>
          <w:p>
            <w:pPr>
              <w:pStyle w:val="Compact"/>
              <w:jc w:val="left"/>
            </w:pPr>
            <w:r>
              <w:t xml:space="preserve">Nov 30, 2024</w:t>
            </w:r>
          </w:p>
        </w:tc>
        <w:tc>
          <w:tcPr/>
          <w:p>
            <w:pPr>
              <w:pStyle w:val="Compact"/>
              <w:jc w:val="left"/>
            </w:pPr>
            <w:r>
              <w:t xml:space="preserve">Renewal-notice deadline (§3.2)</w:t>
            </w:r>
          </w:p>
        </w:tc>
        <w:tc>
          <w:tcPr/>
          <w:p>
            <w:pPr>
              <w:pStyle w:val="Compact"/>
              <w:jc w:val="left"/>
            </w:pPr>
            <w:r>
              <w:t xml:space="preserve">C</w:t>
            </w:r>
          </w:p>
        </w:tc>
        <w:tc>
          <w:tcPr/>
          <w:p>
            <w:pPr>
              <w:pStyle w:val="Compact"/>
              <w:jc w:val="left"/>
            </w:pPr>
            <w:r>
              <w:rPr>
                <w:b/>
                <w:bCs/>
              </w:rPr>
              <w:t xml:space="preserve">Passed</w:t>
            </w:r>
            <w:r>
              <w:t xml:space="preserve"> </w:t>
            </w:r>
            <w:r>
              <w:t xml:space="preserve">— confirm timely notice was delivered</w:t>
            </w:r>
          </w:p>
        </w:tc>
      </w:tr>
      <w:tr>
        <w:tc>
          <w:tcPr/>
          <w:p>
            <w:pPr>
              <w:pStyle w:val="Compact"/>
              <w:jc w:val="left"/>
            </w:pPr>
            <w:r>
              <w:t xml:space="preserve">Dec 31, 2024</w:t>
            </w:r>
          </w:p>
        </w:tc>
        <w:tc>
          <w:tcPr/>
          <w:p>
            <w:pPr>
              <w:pStyle w:val="Compact"/>
              <w:jc w:val="left"/>
            </w:pPr>
            <w:r>
              <w:t xml:space="preserve">Initial Term expiration</w:t>
            </w:r>
          </w:p>
        </w:tc>
        <w:tc>
          <w:tcPr/>
          <w:p>
            <w:pPr>
              <w:pStyle w:val="Compact"/>
              <w:jc w:val="left"/>
            </w:pPr>
            <w:r>
              <w:t xml:space="preserve">B</w:t>
            </w:r>
          </w:p>
        </w:tc>
        <w:tc>
          <w:tcPr/>
          <w:p>
            <w:pPr>
              <w:pStyle w:val="Compact"/>
              <w:jc w:val="left"/>
            </w:pPr>
            <w:r>
              <w:rPr>
                <w:b/>
                <w:bCs/>
              </w:rPr>
              <w:t xml:space="preserve">Expired</w:t>
            </w:r>
            <w:r>
              <w:t xml:space="preserve"> </w:t>
            </w:r>
            <w:r>
              <w:t xml:space="preserve">— operating under §12.6 Standstill</w:t>
            </w:r>
          </w:p>
        </w:tc>
      </w:tr>
      <w:tr>
        <w:tc>
          <w:tcPr/>
          <w:p>
            <w:pPr>
              <w:pStyle w:val="Compact"/>
              <w:jc w:val="left"/>
            </w:pPr>
            <w:r>
              <w:t xml:space="preserve">Feb 28, 2025</w:t>
            </w:r>
          </w:p>
        </w:tc>
        <w:tc>
          <w:tcPr/>
          <w:p>
            <w:pPr>
              <w:pStyle w:val="Compact"/>
              <w:jc w:val="left"/>
            </w:pPr>
            <w:r>
              <w:t xml:space="preserve">Initial Term expiration</w:t>
            </w:r>
          </w:p>
        </w:tc>
        <w:tc>
          <w:tcPr/>
          <w:p>
            <w:pPr>
              <w:pStyle w:val="Compact"/>
              <w:jc w:val="left"/>
            </w:pPr>
            <w:r>
              <w:t xml:space="preserve">C</w:t>
            </w:r>
          </w:p>
        </w:tc>
        <w:tc>
          <w:tcPr/>
          <w:p>
            <w:pPr>
              <w:pStyle w:val="Compact"/>
              <w:jc w:val="left"/>
            </w:pPr>
            <w:r>
              <w:rPr>
                <w:b/>
                <w:bCs/>
              </w:rPr>
              <w:t xml:space="preserve">Imminent</w:t>
            </w:r>
            <w:r>
              <w:t xml:space="preserve"> </w:t>
            </w:r>
            <w:r>
              <w:t xml:space="preserve">— interim/holdover access required</w:t>
            </w:r>
          </w:p>
        </w:tc>
      </w:tr>
      <w:tr>
        <w:tc>
          <w:tcPr/>
          <w:p>
            <w:pPr>
              <w:pStyle w:val="Compact"/>
              <w:jc w:val="left"/>
            </w:pPr>
            <w:r>
              <w:t xml:space="preserve">Mar 31, 2025</w:t>
            </w:r>
          </w:p>
        </w:tc>
        <w:tc>
          <w:tcPr/>
          <w:p>
            <w:pPr>
              <w:pStyle w:val="Compact"/>
              <w:jc w:val="left"/>
            </w:pPr>
            <w:r>
              <w:t xml:space="preserve">Renewal-notice deadline (§14.2)</w:t>
            </w:r>
          </w:p>
        </w:tc>
        <w:tc>
          <w:tcPr/>
          <w:p>
            <w:pPr>
              <w:pStyle w:val="Compact"/>
              <w:jc w:val="left"/>
            </w:pPr>
            <w:r>
              <w:t xml:space="preserve">A</w:t>
            </w:r>
          </w:p>
        </w:tc>
        <w:tc>
          <w:tcPr/>
          <w:p>
            <w:pPr>
              <w:pStyle w:val="Compact"/>
              <w:jc w:val="left"/>
            </w:pPr>
            <w:r>
              <w:rPr>
                <w:b/>
                <w:bCs/>
              </w:rPr>
              <w:t xml:space="preserve">Upcoming</w:t>
            </w:r>
            <w:r>
              <w:t xml:space="preserve"> </w:t>
            </w:r>
            <w:r>
              <w:t xml:space="preserve">— notice must be delivered by this date</w:t>
            </w:r>
          </w:p>
        </w:tc>
      </w:tr>
      <w:tr>
        <w:tc>
          <w:tcPr/>
          <w:p>
            <w:pPr>
              <w:pStyle w:val="Compact"/>
              <w:jc w:val="left"/>
            </w:pPr>
            <w:r>
              <w:t xml:space="preserve">Apr 15, 2025</w:t>
            </w:r>
          </w:p>
        </w:tc>
        <w:tc>
          <w:tcPr/>
          <w:p>
            <w:pPr>
              <w:pStyle w:val="Compact"/>
              <w:jc w:val="left"/>
            </w:pPr>
            <w:r>
              <w:t xml:space="preserve">Target: Greenfield counter-proposal</w:t>
            </w:r>
          </w:p>
        </w:tc>
        <w:tc>
          <w:tcPr/>
          <w:p>
            <w:pPr>
              <w:pStyle w:val="Compact"/>
              <w:jc w:val="left"/>
            </w:pPr>
            <w:r>
              <w:t xml:space="preserve">A/B/C</w:t>
            </w:r>
          </w:p>
        </w:tc>
        <w:tc>
          <w:tcPr/>
          <w:p>
            <w:pPr>
              <w:pStyle w:val="Compact"/>
              <w:jc w:val="left"/>
            </w:pPr>
            <w:r>
              <w:t xml:space="preserve">Planned</w:t>
            </w:r>
          </w:p>
        </w:tc>
      </w:tr>
      <w:tr>
        <w:tc>
          <w:tcPr/>
          <w:p>
            <w:pPr>
              <w:pStyle w:val="Compact"/>
              <w:jc w:val="left"/>
            </w:pPr>
            <w:r>
              <w:rPr>
                <w:b/>
                <w:bCs/>
              </w:rPr>
              <w:t xml:space="preserve">Jun 29, 2025</w:t>
            </w:r>
          </w:p>
        </w:tc>
        <w:tc>
          <w:tcPr/>
          <w:p>
            <w:pPr>
              <w:pStyle w:val="Compact"/>
              <w:jc w:val="left"/>
            </w:pPr>
            <w:r>
              <w:rPr>
                <w:b/>
                <w:bCs/>
              </w:rPr>
              <w:t xml:space="preserve">Standstill expiration (180 days from Dec 31, 2024)</w:t>
            </w:r>
          </w:p>
        </w:tc>
        <w:tc>
          <w:tcPr/>
          <w:p>
            <w:pPr>
              <w:pStyle w:val="Compact"/>
              <w:jc w:val="left"/>
            </w:pPr>
            <w:r>
              <w:rPr>
                <w:b/>
                <w:bCs/>
              </w:rPr>
              <w:t xml:space="preserve">B</w:t>
            </w:r>
          </w:p>
        </w:tc>
        <w:tc>
          <w:tcPr/>
          <w:p>
            <w:pPr>
              <w:pStyle w:val="Compact"/>
              <w:jc w:val="left"/>
            </w:pPr>
            <w:r>
              <w:rPr>
                <w:b/>
                <w:bCs/>
              </w:rPr>
              <w:t xml:space="preserve">CRITICAL</w:t>
            </w:r>
            <w:r>
              <w:t xml:space="preserve"> </w:t>
            </w:r>
            <w:r>
              <w:t xml:space="preserve">— License B terminates entirely if not resolved/extended</w:t>
            </w:r>
          </w:p>
        </w:tc>
      </w:tr>
      <w:tr>
        <w:tc>
          <w:tcPr/>
          <w:p>
            <w:pPr>
              <w:pStyle w:val="Compact"/>
              <w:jc w:val="left"/>
            </w:pPr>
            <w:r>
              <w:t xml:space="preserve">Jun 30, 2025</w:t>
            </w:r>
          </w:p>
        </w:tc>
        <w:tc>
          <w:tcPr/>
          <w:p>
            <w:pPr>
              <w:pStyle w:val="Compact"/>
              <w:jc w:val="left"/>
            </w:pPr>
            <w:r>
              <w:t xml:space="preserve">Initial Term expiration</w:t>
            </w:r>
          </w:p>
        </w:tc>
        <w:tc>
          <w:tcPr/>
          <w:p>
            <w:pPr>
              <w:pStyle w:val="Compact"/>
              <w:jc w:val="left"/>
            </w:pPr>
            <w:r>
              <w:t xml:space="preserve">A</w:t>
            </w:r>
          </w:p>
        </w:tc>
        <w:tc>
          <w:tcPr/>
          <w:p>
            <w:pPr>
              <w:pStyle w:val="Compact"/>
              <w:jc w:val="left"/>
            </w:pPr>
            <w:r>
              <w:t xml:space="preserve">Upcoming — no standstill equivalent in License A</w:t>
            </w:r>
          </w:p>
        </w:tc>
      </w:tr>
      <w:tr>
        <w:tc>
          <w:tcPr/>
          <w:p>
            <w:pPr>
              <w:pStyle w:val="Compact"/>
              <w:jc w:val="left"/>
            </w:pPr>
            <w:r>
              <w:t xml:space="preserve">Mar 12, 2028</w:t>
            </w:r>
          </w:p>
        </w:tc>
        <w:tc>
          <w:tcPr/>
          <w:p>
            <w:pPr>
              <w:pStyle w:val="Compact"/>
              <w:jc w:val="left"/>
            </w:pPr>
            <w:r>
              <w:t xml:space="preserve">U.S. Patent 9,234,117 expiration</w:t>
            </w:r>
          </w:p>
        </w:tc>
        <w:tc>
          <w:tcPr/>
          <w:p>
            <w:pPr>
              <w:pStyle w:val="Compact"/>
              <w:jc w:val="left"/>
            </w:pPr>
            <w:r>
              <w:t xml:space="preserve">A</w:t>
            </w:r>
          </w:p>
        </w:tc>
        <w:tc>
          <w:tcPr/>
          <w:p>
            <w:pPr>
              <w:pStyle w:val="Compact"/>
              <w:jc w:val="left"/>
            </w:pPr>
            <w:r>
              <w:t xml:space="preserve">Future — royalty step-down trigger</w:t>
            </w:r>
          </w:p>
        </w:tc>
      </w:tr>
    </w:tbl>
    <w:p>
      <w:pPr>
        <w:pStyle w:val="BodyText"/>
      </w:pPr>
      <w:r>
        <w:rPr>
          <w:b/>
          <w:bCs/>
        </w:rPr>
        <w:t xml:space="preserve">Immediate actions required:</w:t>
      </w:r>
    </w:p>
    <w:p>
      <w:pPr>
        <w:pStyle w:val="Compact"/>
        <w:numPr>
          <w:ilvl w:val="0"/>
          <w:numId w:val="1003"/>
        </w:numPr>
      </w:pPr>
      <w:r>
        <w:rPr>
          <w:b/>
          <w:bCs/>
        </w:rPr>
        <w:t xml:space="preserve">Confirm renewal notices.</w:t>
      </w:r>
      <w:r>
        <w:t xml:space="preserve"> </w:t>
      </w:r>
      <w:r>
        <w:t xml:space="preserve">Verify with the General Counsel’s office that written renewal notices for License B (by Sep 30, 2024) and License C (by Nov 30, 2024) were in fact delivered. If either was missed, the contractual renewal mechanics are at risk and counsel should assess cure options immediately.</w:t>
      </w:r>
    </w:p>
    <w:p>
      <w:pPr>
        <w:pStyle w:val="Compact"/>
        <w:numPr>
          <w:ilvl w:val="0"/>
          <w:numId w:val="1003"/>
        </w:numPr>
      </w:pPr>
      <w:r>
        <w:rPr>
          <w:b/>
          <w:bCs/>
        </w:rPr>
        <w:t xml:space="preserve">License B standstill.</w:t>
      </w:r>
      <w:r>
        <w:t xml:space="preserve"> </w:t>
      </w:r>
      <w:r>
        <w:t xml:space="preserve">The §12.6 standstill runs at most 180 days from December 31, 2024 — i.e., through</w:t>
      </w:r>
      <w:r>
        <w:t xml:space="preserve"> </w:t>
      </w:r>
      <w:r>
        <w:rPr>
          <w:b/>
          <w:bCs/>
        </w:rPr>
        <w:t xml:space="preserve">June 29, 2025</w:t>
      </w:r>
      <w:r>
        <w:t xml:space="preserve">. NovaTrait has offered a short-form standstill confirmation (Appendix B to the Proposal) running to the earlier of renewal execution, June 30, 2025, or 30 days’ written termination.</w:t>
      </w:r>
      <w:r>
        <w:t xml:space="preserve"> </w:t>
      </w:r>
      <w:r>
        <w:rPr>
          <w:b/>
          <w:bCs/>
        </w:rPr>
        <w:t xml:space="preserve">Greenfield should not sign NovaTrait’s draft standstill confirmation as-is</w:t>
      </w:r>
      <w:r>
        <w:t xml:space="preserve"> </w:t>
      </w:r>
      <w:r>
        <w:t xml:space="preserve">(it permits either party to terminate on 30 days’ notice, which undercuts the protection Greenfield needs). Instead, Greenfield should seek a</w:t>
      </w:r>
      <w:r>
        <w:t xml:space="preserve"> </w:t>
      </w:r>
      <w:r>
        <w:rPr>
          <w:b/>
          <w:bCs/>
        </w:rPr>
        <w:t xml:space="preserve">unilateral extension of the standstill to December 31, 2025</w:t>
      </w:r>
      <w:r>
        <w:t xml:space="preserve"> </w:t>
      </w:r>
      <w:r>
        <w:t xml:space="preserve">as a condition of continued good-faith negotiation, preserving the existing 90-day biological-materials wind-down throughout.</w:t>
      </w:r>
    </w:p>
    <w:p>
      <w:pPr>
        <w:pStyle w:val="Compact"/>
        <w:numPr>
          <w:ilvl w:val="0"/>
          <w:numId w:val="1003"/>
        </w:numPr>
      </w:pPr>
      <w:r>
        <w:rPr>
          <w:b/>
          <w:bCs/>
        </w:rPr>
        <w:t xml:space="preserve">License C holdover.</w:t>
      </w:r>
      <w:r>
        <w:t xml:space="preserve"> </w:t>
      </w:r>
      <w:r>
        <w:t xml:space="preserve">Because License C expires February 28, 2025, Greenfield must secure an interim access/holdover arrangement (or a bridge letter) to avoid a lapse in GenoMap Pro access, on which the License A and License B workflows depend. A lapse would require 12–18 months to source and migrate to an alternative platform.</w:t>
      </w:r>
    </w:p>
    <w:p>
      <w:pPr>
        <w:pStyle w:val="Compact"/>
        <w:numPr>
          <w:ilvl w:val="0"/>
          <w:numId w:val="1003"/>
        </w:numPr>
      </w:pPr>
      <w:r>
        <w:rPr>
          <w:b/>
          <w:bCs/>
        </w:rPr>
        <w:t xml:space="preserve">License A notice.</w:t>
      </w:r>
      <w:r>
        <w:t xml:space="preserve"> </w:t>
      </w:r>
      <w:r>
        <w:t xml:space="preserve">Deliver the Section 14.2 renewal notice to NovaTrait on or before</w:t>
      </w:r>
      <w:r>
        <w:t xml:space="preserve"> </w:t>
      </w:r>
      <w:r>
        <w:rPr>
          <w:b/>
          <w:bCs/>
        </w:rPr>
        <w:t xml:space="preserve">March 31, 2025</w:t>
      </w:r>
      <w:r>
        <w:t xml:space="preserve">. This is a</w:t>
      </w:r>
      <w:r>
        <w:t xml:space="preserve"> </w:t>
      </w:r>
      <w:r>
        <w:t xml:space="preserve">“</w:t>
      </w:r>
      <w:r>
        <w:t xml:space="preserve">desire to renew</w:t>
      </w:r>
      <w:r>
        <w:t xml:space="preserve">”</w:t>
      </w:r>
      <w:r>
        <w:t xml:space="preserve"> </w:t>
      </w:r>
      <w:r>
        <w:t xml:space="preserve">notice; it does not commit Greenfield to NovaTrait’s terms and triggers a 180-day good-faith negotiation window (§14.4), after which the agreement expires absent agreement.</w:t>
      </w:r>
    </w:p>
    <w:p>
      <w:r>
        <w:pict>
          <v:rect style="width:0;height:1.5pt" o:hralign="center" o:hrstd="t" o:hr="t"/>
        </w:pict>
      </w:r>
    </w:p>
    <w:bookmarkEnd w:id="22"/>
    <w:bookmarkStart w:id="23" w:name="iv.-aggregate-financial-impact"/>
    <w:p>
      <w:pPr>
        <w:pStyle w:val="Heading2"/>
      </w:pPr>
      <w:r>
        <w:t xml:space="preserve">IV. Aggregate Financial Impact</w:t>
      </w:r>
    </w:p>
    <w:p>
      <w:pPr>
        <w:pStyle w:val="FirstParagraph"/>
      </w:pPr>
      <w:r>
        <w:t xml:space="preserve">The table below summarizes the steady-state annual cost impact (FY 2024 actuals as the base), consistent with the Ridgemont/Oakvale analysis and NovaTrait’s own Part VI estimate.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Component</w:t>
            </w:r>
          </w:p>
        </w:tc>
        <w:tc>
          <w:tcPr/>
          <w:p>
            <w:pPr>
              <w:pStyle w:val="Compact"/>
              <w:jc w:val="left"/>
            </w:pPr>
            <w:r>
              <w:t xml:space="preserve">Current (annualized)</w:t>
            </w:r>
          </w:p>
        </w:tc>
        <w:tc>
          <w:tcPr/>
          <w:p>
            <w:pPr>
              <w:pStyle w:val="Compact"/>
              <w:jc w:val="left"/>
            </w:pPr>
            <w:r>
              <w:t xml:space="preserve">Proposed (Year 1)</w:t>
            </w:r>
          </w:p>
        </w:tc>
        <w:tc>
          <w:tcPr/>
          <w:p>
            <w:pPr>
              <w:pStyle w:val="Compact"/>
              <w:jc w:val="left"/>
            </w:pPr>
            <w:r>
              <w:t xml:space="preserve">$ Change</w:t>
            </w:r>
          </w:p>
        </w:tc>
        <w:tc>
          <w:tcPr/>
          <w:p>
            <w:pPr>
              <w:pStyle w:val="Compact"/>
              <w:jc w:val="left"/>
            </w:pPr>
            <w:r>
              <w:t xml:space="preserve">% Change</w:t>
            </w:r>
          </w:p>
        </w:tc>
      </w:tr>
      <w:tr>
        <w:tc>
          <w:tcPr/>
          <w:p>
            <w:pPr>
              <w:pStyle w:val="Compact"/>
              <w:jc w:val="left"/>
            </w:pPr>
            <w:r>
              <w:t xml:space="preserve">License A — running royalty + MAR</w:t>
            </w:r>
          </w:p>
        </w:tc>
        <w:tc>
          <w:tcPr/>
          <w:p>
            <w:pPr>
              <w:pStyle w:val="Compact"/>
              <w:jc w:val="left"/>
            </w:pPr>
            <w:r>
              <w:t xml:space="preserve">~$9.12M</w:t>
            </w:r>
          </w:p>
        </w:tc>
        <w:tc>
          <w:tcPr/>
          <w:p>
            <w:pPr>
              <w:pStyle w:val="Compact"/>
              <w:jc w:val="left"/>
            </w:pPr>
            <w:r>
              <w:t xml:space="preserve">~$13.58M</w:t>
            </w:r>
          </w:p>
        </w:tc>
        <w:tc>
          <w:tcPr/>
          <w:p>
            <w:pPr>
              <w:pStyle w:val="Compact"/>
              <w:jc w:val="left"/>
            </w:pPr>
            <w:r>
              <w:t xml:space="preserve">+$4.46M</w:t>
            </w:r>
          </w:p>
        </w:tc>
        <w:tc>
          <w:tcPr/>
          <w:p>
            <w:pPr>
              <w:pStyle w:val="Compact"/>
              <w:jc w:val="left"/>
            </w:pPr>
            <w:r>
              <w:t xml:space="preserve">+48.9%</w:t>
            </w:r>
          </w:p>
        </w:tc>
      </w:tr>
      <w:tr>
        <w:tc>
          <w:tcPr/>
          <w:p>
            <w:pPr>
              <w:pStyle w:val="Compact"/>
              <w:jc w:val="left"/>
            </w:pPr>
            <w:r>
              <w:t xml:space="preserve">License B — running royalty + MAR</w:t>
            </w:r>
          </w:p>
        </w:tc>
        <w:tc>
          <w:tcPr/>
          <w:p>
            <w:pPr>
              <w:pStyle w:val="Compact"/>
              <w:jc w:val="left"/>
            </w:pPr>
            <w:r>
              <w:t xml:space="preserve">~$6.38M</w:t>
            </w:r>
          </w:p>
        </w:tc>
        <w:tc>
          <w:tcPr/>
          <w:p>
            <w:pPr>
              <w:pStyle w:val="Compact"/>
              <w:jc w:val="left"/>
            </w:pPr>
            <w:r>
              <w:t xml:space="preserve">~$9.09M</w:t>
            </w:r>
          </w:p>
        </w:tc>
        <w:tc>
          <w:tcPr/>
          <w:p>
            <w:pPr>
              <w:pStyle w:val="Compact"/>
              <w:jc w:val="left"/>
            </w:pPr>
            <w:r>
              <w:t xml:space="preserve">+$2.71M</w:t>
            </w:r>
          </w:p>
        </w:tc>
        <w:tc>
          <w:tcPr/>
          <w:p>
            <w:pPr>
              <w:pStyle w:val="Compact"/>
              <w:jc w:val="left"/>
            </w:pPr>
            <w:r>
              <w:t xml:space="preserve">+42.5%</w:t>
            </w:r>
          </w:p>
        </w:tc>
      </w:tr>
      <w:tr>
        <w:tc>
          <w:tcPr/>
          <w:p>
            <w:pPr>
              <w:pStyle w:val="Compact"/>
              <w:jc w:val="left"/>
            </w:pPr>
            <w:r>
              <w:t xml:space="preserve">License C — fees (base + overage)</w:t>
            </w:r>
          </w:p>
        </w:tc>
        <w:tc>
          <w:tcPr/>
          <w:p>
            <w:pPr>
              <w:pStyle w:val="Compact"/>
              <w:jc w:val="left"/>
            </w:pPr>
            <w:r>
              <w:t xml:space="preserve">~$3.14M</w:t>
            </w:r>
          </w:p>
        </w:tc>
        <w:tc>
          <w:tcPr/>
          <w:p>
            <w:pPr>
              <w:pStyle w:val="Compact"/>
              <w:jc w:val="left"/>
            </w:pPr>
            <w:r>
              <w:t xml:space="preserve">~$5.28M</w:t>
            </w:r>
          </w:p>
        </w:tc>
        <w:tc>
          <w:tcPr/>
          <w:p>
            <w:pPr>
              <w:pStyle w:val="Compact"/>
              <w:jc w:val="left"/>
            </w:pPr>
            <w:r>
              <w:t xml:space="preserve">+$2.14M</w:t>
            </w:r>
          </w:p>
        </w:tc>
        <w:tc>
          <w:tcPr/>
          <w:p>
            <w:pPr>
              <w:pStyle w:val="Compact"/>
              <w:jc w:val="left"/>
            </w:pPr>
            <w:r>
              <w:t xml:space="preserve">+68.0%</w:t>
            </w:r>
          </w:p>
        </w:tc>
      </w:tr>
      <w:tr>
        <w:tc>
          <w:tcPr/>
          <w:p>
            <w:pPr>
              <w:pStyle w:val="Compact"/>
              <w:jc w:val="left"/>
            </w:pPr>
            <w:r>
              <w:rPr>
                <w:b/>
                <w:bCs/>
              </w:rPr>
              <w:t xml:space="preserve">Total</w:t>
            </w:r>
          </w:p>
        </w:tc>
        <w:tc>
          <w:tcPr/>
          <w:p>
            <w:pPr>
              <w:pStyle w:val="Compact"/>
              <w:jc w:val="left"/>
            </w:pPr>
            <w:r>
              <w:rPr>
                <w:b/>
                <w:bCs/>
              </w:rPr>
              <w:t xml:space="preserve">~$18.64M</w:t>
            </w:r>
          </w:p>
        </w:tc>
        <w:tc>
          <w:tcPr/>
          <w:p>
            <w:pPr>
              <w:pStyle w:val="Compact"/>
              <w:jc w:val="left"/>
            </w:pPr>
            <w:r>
              <w:rPr>
                <w:b/>
                <w:bCs/>
              </w:rPr>
              <w:t xml:space="preserve">~$27.95M</w:t>
            </w:r>
          </w:p>
        </w:tc>
        <w:tc>
          <w:tcPr/>
          <w:p>
            <w:pPr>
              <w:pStyle w:val="Compact"/>
              <w:jc w:val="left"/>
            </w:pPr>
            <w:r>
              <w:rPr>
                <w:b/>
                <w:bCs/>
              </w:rPr>
              <w:t xml:space="preserve">+$9.31M</w:t>
            </w:r>
          </w:p>
        </w:tc>
        <w:tc>
          <w:tcPr/>
          <w:p>
            <w:pPr>
              <w:pStyle w:val="Compact"/>
              <w:jc w:val="left"/>
            </w:pPr>
            <w:r>
              <w:rPr>
                <w:b/>
                <w:bCs/>
              </w:rPr>
              <w:t xml:space="preserve">+49.9%</w:t>
            </w:r>
          </w:p>
        </w:tc>
      </w:tr>
      <w:tr>
        <w:tc>
          <w:tcPr/>
          <w:p>
            <w:pPr>
              <w:pStyle w:val="Compact"/>
              <w:jc w:val="left"/>
            </w:pPr>
            <w:r>
              <w:t xml:space="preserve">As % of FY 2024 revenue ($387.2M)</w:t>
            </w:r>
          </w:p>
        </w:tc>
        <w:tc>
          <w:tcPr/>
          <w:p>
            <w:pPr>
              <w:pStyle w:val="Compact"/>
              <w:jc w:val="left"/>
            </w:pPr>
            <w:r>
              <w:t xml:space="preserve">4.81%</w:t>
            </w:r>
          </w:p>
        </w:tc>
        <w:tc>
          <w:tcPr/>
          <w:p>
            <w:pPr>
              <w:pStyle w:val="Compact"/>
              <w:jc w:val="left"/>
            </w:pPr>
            <w:r>
              <w:t xml:space="preserve">7.22%</w:t>
            </w:r>
          </w:p>
        </w:tc>
        <w:tc>
          <w:tcPr/>
          <w:p>
            <w:pPr>
              <w:pStyle w:val="Compact"/>
              <w:jc w:val="left"/>
            </w:pPr>
            <w:r>
              <w:t xml:space="preserve">+2.41 pts</w:t>
            </w:r>
          </w:p>
        </w:tc>
        <w:tc>
          <w:tcPr/>
          <w:p>
            <w:pPr>
              <w:pStyle w:val="Compact"/>
              <w:jc w:val="left"/>
            </w:pPr>
            <w:r>
              <w:t xml:space="preserve">—</w:t>
            </w:r>
          </w:p>
        </w:tc>
      </w:tr>
    </w:tbl>
    <w:p>
      <w:pPr>
        <w:pStyle w:val="BodyText"/>
      </w:pPr>
      <w:r>
        <w:rPr>
          <w:b/>
          <w:bCs/>
        </w:rPr>
        <w:t xml:space="preserve">Over the renewal terms (modeled), the cumulative incremental cost is substantial:</w:t>
      </w:r>
    </w:p>
    <w:p>
      <w:pPr>
        <w:pStyle w:val="Compact"/>
        <w:numPr>
          <w:ilvl w:val="0"/>
          <w:numId w:val="1004"/>
        </w:numPr>
      </w:pPr>
      <w:r>
        <w:rPr>
          <w:b/>
          <w:bCs/>
        </w:rPr>
        <w:t xml:space="preserve">License A (5-yr, 5% growth):</w:t>
      </w:r>
      <w:r>
        <w:t xml:space="preserve"> </w:t>
      </w:r>
      <w:r>
        <w:t xml:space="preserve">cumulative incremental royalty ~</w:t>
      </w:r>
      <w:r>
        <w:rPr>
          <w:b/>
          <w:bCs/>
        </w:rPr>
        <w:t xml:space="preserve">$31.8M</w:t>
      </w:r>
      <w:r>
        <w:t xml:space="preserve"> </w:t>
      </w:r>
      <w:r>
        <w:t xml:space="preserve">(current ~$65.1M vs. proposed ~$96.9M over FY 2025–2030).</w:t>
      </w:r>
    </w:p>
    <w:p>
      <w:pPr>
        <w:pStyle w:val="Compact"/>
        <w:numPr>
          <w:ilvl w:val="0"/>
          <w:numId w:val="1004"/>
        </w:numPr>
      </w:pPr>
      <w:r>
        <w:rPr>
          <w:b/>
          <w:bCs/>
        </w:rPr>
        <w:t xml:space="preserve">License B (5-yr, 4% growth):</w:t>
      </w:r>
      <w:r>
        <w:t xml:space="preserve"> </w:t>
      </w:r>
      <w:r>
        <w:t xml:space="preserve">cumulative incremental cost ~</w:t>
      </w:r>
      <w:r>
        <w:rPr>
          <w:b/>
          <w:bCs/>
        </w:rPr>
        <w:t xml:space="preserve">$42.3M</w:t>
      </w:r>
      <w:r>
        <w:t xml:space="preserve"> </w:t>
      </w:r>
      <w:r>
        <w:t xml:space="preserve">when the new Prairielands pass-through is included (direct royalty incremental ~$15.3M plus ~$26.0M of sublicense pass-through).</w:t>
      </w:r>
    </w:p>
    <w:p>
      <w:pPr>
        <w:pStyle w:val="Compact"/>
        <w:numPr>
          <w:ilvl w:val="0"/>
          <w:numId w:val="1004"/>
        </w:numPr>
      </w:pPr>
      <w:r>
        <w:rPr>
          <w:b/>
          <w:bCs/>
        </w:rPr>
        <w:t xml:space="preserve">License C (3-yr):</w:t>
      </w:r>
      <w:r>
        <w:t xml:space="preserve"> </w:t>
      </w:r>
      <w:r>
        <w:t xml:space="preserve">3-year total cost of ownership rises from ~$9.42M to ~$16.10M, an incremental ~</w:t>
      </w:r>
      <w:r>
        <w:rPr>
          <w:b/>
          <w:bCs/>
        </w:rPr>
        <w:t xml:space="preserve">$6.68M</w:t>
      </w:r>
      <w:r>
        <w:t xml:space="preserve"> </w:t>
      </w:r>
      <w:r>
        <w:t xml:space="preserve">(+70.9%), before the one-time $175K conversion-tool and ~$95K integration costs.</w:t>
      </w:r>
    </w:p>
    <w:p>
      <w:pPr>
        <w:pStyle w:val="Compact"/>
        <w:numPr>
          <w:ilvl w:val="0"/>
          <w:numId w:val="1004"/>
        </w:numPr>
      </w:pPr>
      <w:r>
        <w:rPr>
          <w:b/>
          <w:bCs/>
        </w:rPr>
        <w:t xml:space="preserve">Aggregate 3-year (FY 2025–2027, base case):</w:t>
      </w:r>
      <w:r>
        <w:t xml:space="preserve"> </w:t>
      </w:r>
      <w:r>
        <w:t xml:space="preserve">~$60.3M (current) vs. ~$90.3M (proposed) — an incremental ~</w:t>
      </w:r>
      <w:r>
        <w:rPr>
          <w:b/>
          <w:bCs/>
        </w:rPr>
        <w:t xml:space="preserve">$30.0M</w:t>
      </w:r>
      <w:r>
        <w:t xml:space="preserve">, with IP spend rising from ~5.0% to ~7.5–8.1% of revenue.</w:t>
      </w:r>
    </w:p>
    <w:p>
      <w:pPr>
        <w:pStyle w:val="FirstParagraph"/>
      </w:pPr>
      <w:r>
        <w:t xml:space="preserve">These figures exclude the one-time GenoMap Pro Version 5.x migration costs and assume the anti-stacking offset is not utilized. The effective burden is therefore a floor, not a ceiling.</w:t>
      </w:r>
    </w:p>
    <w:p>
      <w:r>
        <w:pict>
          <v:rect style="width:0;height:1.5pt" o:hralign="center" o:hrstd="t" o:hr="t"/>
        </w:pict>
      </w:r>
    </w:p>
    <w:bookmarkEnd w:id="23"/>
    <w:bookmarkStart w:id="28" w:name="X3010b90098482db66ec8fd4bff8a2eae78eaa4d"/>
    <w:p>
      <w:pPr>
        <w:pStyle w:val="Heading2"/>
      </w:pPr>
      <w:r>
        <w:t xml:space="preserve">V. License A — CRISPR-Ag Suite Gene-Editing Platform</w:t>
      </w:r>
    </w:p>
    <w:bookmarkStart w:id="24" w:name="a.-current-terms-snapshot"/>
    <w:p>
      <w:pPr>
        <w:pStyle w:val="Heading3"/>
      </w:pPr>
      <w:r>
        <w:t xml:space="preserve">A. Current terms (snapshot)</w:t>
      </w:r>
    </w:p>
    <w:p>
      <w:pPr>
        <w:pStyle w:val="Compact"/>
        <w:numPr>
          <w:ilvl w:val="0"/>
          <w:numId w:val="1005"/>
        </w:numPr>
      </w:pPr>
      <w:r>
        <w:rPr>
          <w:b/>
          <w:bCs/>
        </w:rPr>
        <w:t xml:space="preserve">Term:</w:t>
      </w:r>
      <w:r>
        <w:t xml:space="preserve"> </w:t>
      </w:r>
      <w:r>
        <w:t xml:space="preserve">10 years, expiring</w:t>
      </w:r>
      <w:r>
        <w:t xml:space="preserve"> </w:t>
      </w:r>
      <w:r>
        <w:rPr>
          <w:b/>
          <w:bCs/>
        </w:rPr>
        <w:t xml:space="preserve">June 30, 2025</w:t>
      </w:r>
      <w:r>
        <w:t xml:space="preserve">; renewal notice due</w:t>
      </w:r>
      <w:r>
        <w:t xml:space="preserve"> </w:t>
      </w:r>
      <w:r>
        <w:rPr>
          <w:b/>
          <w:bCs/>
        </w:rPr>
        <w:t xml:space="preserve">March 31, 2025</w:t>
      </w:r>
      <w:r>
        <w:t xml:space="preserve"> </w:t>
      </w:r>
      <w:r>
        <w:t xml:space="preserve">(§14.2).</w:t>
      </w:r>
    </w:p>
    <w:p>
      <w:pPr>
        <w:pStyle w:val="Compact"/>
        <w:numPr>
          <w:ilvl w:val="0"/>
          <w:numId w:val="1005"/>
        </w:numPr>
      </w:pPr>
      <w:r>
        <w:rPr>
          <w:b/>
          <w:bCs/>
        </w:rPr>
        <w:t xml:space="preserve">Grant:</w:t>
      </w:r>
      <w:r>
        <w:t xml:space="preserve"> </w:t>
      </w:r>
      <w:r>
        <w:t xml:space="preserve">Exclusive within the Field of Use and Territory for corn and soybean (§2.2), subject to NovaTrait’s retained internal-research right and the China/India territorial exclusion.</w:t>
      </w:r>
    </w:p>
    <w:p>
      <w:pPr>
        <w:pStyle w:val="Compact"/>
        <w:numPr>
          <w:ilvl w:val="0"/>
          <w:numId w:val="1005"/>
        </w:numPr>
      </w:pPr>
      <w:r>
        <w:rPr>
          <w:b/>
          <w:bCs/>
        </w:rPr>
        <w:t xml:space="preserve">Field of Use:</w:t>
      </w:r>
      <w:r>
        <w:t xml:space="preserve"> </w:t>
      </w:r>
      <w:r>
        <w:t xml:space="preserve">Herbicide tolerance</w:t>
      </w:r>
      <w:r>
        <w:t xml:space="preserve"> </w:t>
      </w:r>
      <w:r>
        <w:rPr>
          <w:i/>
          <w:iCs/>
        </w:rPr>
        <w:t xml:space="preserve">and</w:t>
      </w:r>
      <w:r>
        <w:t xml:space="preserve"> </w:t>
      </w:r>
      <w:r>
        <w:t xml:space="preserve">insect resistance in corn and soybean (§1.7).</w:t>
      </w:r>
    </w:p>
    <w:p>
      <w:pPr>
        <w:pStyle w:val="Compact"/>
        <w:numPr>
          <w:ilvl w:val="0"/>
          <w:numId w:val="1005"/>
        </w:numPr>
      </w:pPr>
      <w:r>
        <w:rPr>
          <w:b/>
          <w:bCs/>
        </w:rPr>
        <w:t xml:space="preserve">Royalty:</w:t>
      </w:r>
      <w:r>
        <w:t xml:space="preserve"> </w:t>
      </w:r>
      <w:r>
        <w:t xml:space="preserve">4.5% of Net Sales (§7.1); Minimum Annual Royalty $4.0M, creditable (§7.2); $2.5M upfront (paid).</w:t>
      </w:r>
    </w:p>
    <w:p>
      <w:pPr>
        <w:pStyle w:val="Compact"/>
        <w:numPr>
          <w:ilvl w:val="0"/>
          <w:numId w:val="1005"/>
        </w:numPr>
      </w:pPr>
      <w:r>
        <w:rPr>
          <w:b/>
          <w:bCs/>
        </w:rPr>
        <w:t xml:space="preserve">Sublicense pass-through:</w:t>
      </w:r>
      <w:r>
        <w:t xml:space="preserve"> </w:t>
      </w:r>
      <w:r>
        <w:t xml:space="preserve">35% of sublicensee consideration (§10.3).</w:t>
      </w:r>
    </w:p>
    <w:p>
      <w:pPr>
        <w:pStyle w:val="Compact"/>
        <w:numPr>
          <w:ilvl w:val="0"/>
          <w:numId w:val="1005"/>
        </w:numPr>
      </w:pPr>
      <w:r>
        <w:rPr>
          <w:b/>
          <w:bCs/>
        </w:rPr>
        <w:t xml:space="preserve">Improvements:</w:t>
      </w:r>
      <w:r>
        <w:t xml:space="preserve"> </w:t>
      </w:r>
      <w:r>
        <w:t xml:space="preserve">Solely owned by Greenfield; non-exclusive license back to NovaTrait at a commercially reasonable royalty (§8.1).</w:t>
      </w:r>
    </w:p>
    <w:p>
      <w:pPr>
        <w:pStyle w:val="Compact"/>
        <w:numPr>
          <w:ilvl w:val="0"/>
          <w:numId w:val="1005"/>
        </w:numPr>
      </w:pPr>
      <w:r>
        <w:rPr>
          <w:b/>
          <w:bCs/>
        </w:rPr>
        <w:t xml:space="preserve">Rate cap (§14.3(a)):</w:t>
      </w:r>
      <w:r>
        <w:t xml:space="preserve"> </w:t>
      </w:r>
      <w:r>
        <w:t xml:space="preserve">Any renewal royalty-rate increase above 150% of the then-current rate (i.e., above</w:t>
      </w:r>
      <w:r>
        <w:t xml:space="preserve"> </w:t>
      </w:r>
      <w:r>
        <w:rPr>
          <w:b/>
          <w:bCs/>
        </w:rPr>
        <w:t xml:space="preserve">6.75%</w:t>
      </w:r>
      <w:r>
        <w:t xml:space="preserve">) requires an independent fair-market-value (IFMV) assessment.</w:t>
      </w:r>
    </w:p>
    <w:p>
      <w:pPr>
        <w:pStyle w:val="Compact"/>
        <w:numPr>
          <w:ilvl w:val="0"/>
          <w:numId w:val="1005"/>
        </w:numPr>
      </w:pPr>
      <w:r>
        <w:rPr>
          <w:b/>
          <w:bCs/>
        </w:rPr>
        <w:t xml:space="preserve">Licensed patents:</w:t>
      </w:r>
      <w:r>
        <w:t xml:space="preserve"> </w:t>
      </w:r>
      <w:r>
        <w:t xml:space="preserve">U.S. 9,234,117 (exp. Mar 12, 2028), 9,234,118 (exp. ~2033), 9,651,002 (exp. ~2034), 10,112,445 (exp. ~2035), plus EP/BR/AR/AU counterparts.</w:t>
      </w:r>
    </w:p>
    <w:p>
      <w:pPr>
        <w:pStyle w:val="Compact"/>
        <w:numPr>
          <w:ilvl w:val="0"/>
          <w:numId w:val="1005"/>
        </w:numPr>
      </w:pPr>
      <w:r>
        <w:rPr>
          <w:b/>
          <w:bCs/>
        </w:rPr>
        <w:t xml:space="preserve">Other:</w:t>
      </w:r>
      <w:r>
        <w:t xml:space="preserve"> </w:t>
      </w:r>
      <w:r>
        <w:t xml:space="preserve">12-month sell-off period (§15.5(b)); patent-challenge termination right for NovaTrait (§15.4); security-interest acknowledgment in favor of Greenfield’s lenders (§17.12).</w:t>
      </w:r>
    </w:p>
    <w:bookmarkEnd w:id="24"/>
    <w:bookmarkStart w:id="25" w:name="b.-proposed-changes-and-assessment"/>
    <w:p>
      <w:pPr>
        <w:pStyle w:val="Heading3"/>
      </w:pPr>
      <w:r>
        <w:t xml:space="preserve">B. Proposed changes and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Direction</w:t>
            </w:r>
          </w:p>
        </w:tc>
        <w:tc>
          <w:tcPr/>
          <w:p>
            <w:pPr>
              <w:pStyle w:val="Compact"/>
              <w:jc w:val="left"/>
            </w:pPr>
            <w:r>
              <w:t xml:space="preserve">Greenfield assessment</w:t>
            </w:r>
          </w:p>
        </w:tc>
      </w:tr>
      <w:tr>
        <w:tc>
          <w:tcPr/>
          <w:p>
            <w:pPr>
              <w:pStyle w:val="Compact"/>
              <w:jc w:val="left"/>
            </w:pPr>
            <w:r>
              <w:t xml:space="preserve">Royalty rate (§7.1)</w:t>
            </w:r>
          </w:p>
        </w:tc>
        <w:tc>
          <w:tcPr/>
          <w:p>
            <w:pPr>
              <w:pStyle w:val="Compact"/>
              <w:jc w:val="left"/>
            </w:pPr>
            <w:r>
              <w:t xml:space="preserve">4.5%</w:t>
            </w:r>
          </w:p>
        </w:tc>
        <w:tc>
          <w:tcPr/>
          <w:p>
            <w:pPr>
              <w:pStyle w:val="Compact"/>
              <w:jc w:val="left"/>
            </w:pPr>
            <w:r>
              <w:t xml:space="preserve">6.25%</w:t>
            </w:r>
          </w:p>
        </w:tc>
        <w:tc>
          <w:tcPr/>
          <w:p>
            <w:pPr>
              <w:pStyle w:val="Compact"/>
              <w:jc w:val="left"/>
            </w:pPr>
            <w:r>
              <w:t xml:space="preserve">+38.9%</w:t>
            </w:r>
          </w:p>
        </w:tc>
        <w:tc>
          <w:tcPr/>
          <w:p>
            <w:pPr>
              <w:pStyle w:val="Compact"/>
              <w:jc w:val="left"/>
            </w:pPr>
            <w:r>
              <w:t xml:space="preserve">Above market high (5.5%); reject as presented</w:t>
            </w:r>
          </w:p>
        </w:tc>
      </w:tr>
      <w:tr>
        <w:tc>
          <w:tcPr/>
          <w:p>
            <w:pPr>
              <w:pStyle w:val="Compact"/>
              <w:jc w:val="left"/>
            </w:pPr>
            <w:r>
              <w:t xml:space="preserve">Minimum Annual Royalty (§7.2)</w:t>
            </w:r>
          </w:p>
        </w:tc>
        <w:tc>
          <w:tcPr/>
          <w:p>
            <w:pPr>
              <w:pStyle w:val="Compact"/>
              <w:jc w:val="left"/>
            </w:pPr>
            <w:r>
              <w:t xml:space="preserve">$4.0M</w:t>
            </w:r>
          </w:p>
        </w:tc>
        <w:tc>
          <w:tcPr/>
          <w:p>
            <w:pPr>
              <w:pStyle w:val="Compact"/>
              <w:jc w:val="left"/>
            </w:pPr>
            <w:r>
              <w:t xml:space="preserve">$8.0M</w:t>
            </w:r>
          </w:p>
        </w:tc>
        <w:tc>
          <w:tcPr/>
          <w:p>
            <w:pPr>
              <w:pStyle w:val="Compact"/>
              <w:jc w:val="left"/>
            </w:pPr>
            <w:r>
              <w:t xml:space="preserve">+100%</w:t>
            </w:r>
          </w:p>
        </w:tc>
        <w:tc>
          <w:tcPr/>
          <w:p>
            <w:pPr>
              <w:pStyle w:val="Compact"/>
              <w:jc w:val="left"/>
            </w:pPr>
            <w:r>
              <w:t xml:space="preserve">Doubling is unjustified; counter ~$5.0–6.0M</w:t>
            </w:r>
          </w:p>
        </w:tc>
      </w:tr>
      <w:tr>
        <w:tc>
          <w:tcPr/>
          <w:p>
            <w:pPr>
              <w:pStyle w:val="Compact"/>
              <w:jc w:val="left"/>
            </w:pPr>
            <w:r>
              <w:t xml:space="preserve">Net Sales definition (§1.14)</w:t>
            </w:r>
          </w:p>
        </w:tc>
        <w:tc>
          <w:tcPr/>
          <w:p>
            <w:pPr>
              <w:pStyle w:val="Compact"/>
              <w:jc w:val="left"/>
            </w:pPr>
            <w:r>
              <w:t xml:space="preserve">Standard deductions</w:t>
            </w:r>
          </w:p>
        </w:tc>
        <w:tc>
          <w:tcPr/>
          <w:p>
            <w:pPr>
              <w:pStyle w:val="Compact"/>
              <w:jc w:val="left"/>
            </w:pPr>
            <w:r>
              <w:t xml:space="preserve">Only taxes + trade discounts</w:t>
            </w:r>
          </w:p>
        </w:tc>
        <w:tc>
          <w:tcPr/>
          <w:p>
            <w:pPr>
              <w:pStyle w:val="Compact"/>
              <w:jc w:val="left"/>
            </w:pPr>
            <w:r>
              <w:t xml:space="preserve">Narrowed</w:t>
            </w:r>
          </w:p>
        </w:tc>
        <w:tc>
          <w:tcPr/>
          <w:p>
            <w:pPr>
              <w:pStyle w:val="Compact"/>
              <w:jc w:val="left"/>
            </w:pPr>
            <w:r>
              <w:rPr>
                <w:b/>
                <w:bCs/>
              </w:rPr>
              <w:t xml:space="preserve">Hidden rate increase</w:t>
            </w:r>
            <w:r>
              <w:t xml:space="preserve"> </w:t>
            </w:r>
            <w:r>
              <w:t xml:space="preserve">— see §VIII.A</w:t>
            </w:r>
          </w:p>
        </w:tc>
      </w:tr>
      <w:tr>
        <w:tc>
          <w:tcPr/>
          <w:p>
            <w:pPr>
              <w:pStyle w:val="Compact"/>
              <w:jc w:val="left"/>
            </w:pPr>
            <w:r>
              <w:t xml:space="preserve">Field of Use — crops</w:t>
            </w:r>
          </w:p>
        </w:tc>
        <w:tc>
          <w:tcPr/>
          <w:p>
            <w:pPr>
              <w:pStyle w:val="Compact"/>
              <w:jc w:val="left"/>
            </w:pPr>
            <w:r>
              <w:t xml:space="preserve">Corn, soybean</w:t>
            </w:r>
          </w:p>
        </w:tc>
        <w:tc>
          <w:tcPr/>
          <w:p>
            <w:pPr>
              <w:pStyle w:val="Compact"/>
              <w:jc w:val="left"/>
            </w:pPr>
            <w:r>
              <w:t xml:space="preserve">Corn, soybean,</w:t>
            </w:r>
            <w:r>
              <w:t xml:space="preserve"> </w:t>
            </w:r>
            <w:r>
              <w:rPr>
                <w:b/>
                <w:bCs/>
              </w:rPr>
              <w:t xml:space="preserve">wheat</w:t>
            </w:r>
          </w:p>
        </w:tc>
        <w:tc>
          <w:tcPr/>
          <w:p>
            <w:pPr>
              <w:pStyle w:val="Compact"/>
              <w:jc w:val="left"/>
            </w:pPr>
            <w:r>
              <w:t xml:space="preserve">Expanded</w:t>
            </w:r>
          </w:p>
        </w:tc>
        <w:tc>
          <w:tcPr/>
          <w:p>
            <w:pPr>
              <w:pStyle w:val="Compact"/>
              <w:jc w:val="left"/>
            </w:pPr>
            <w:r>
              <w:t xml:space="preserve">Welcome, but validate patent coverage</w:t>
            </w:r>
          </w:p>
        </w:tc>
      </w:tr>
      <w:tr>
        <w:tc>
          <w:tcPr/>
          <w:p>
            <w:pPr>
              <w:pStyle w:val="Compact"/>
              <w:jc w:val="left"/>
            </w:pPr>
            <w:r>
              <w:t xml:space="preserve">Field of Use — traits</w:t>
            </w:r>
          </w:p>
        </w:tc>
        <w:tc>
          <w:tcPr/>
          <w:p>
            <w:pPr>
              <w:pStyle w:val="Compact"/>
              <w:jc w:val="left"/>
            </w:pPr>
            <w:r>
              <w:t xml:space="preserve">Herbicide tol. + insect resist.</w:t>
            </w:r>
          </w:p>
        </w:tc>
        <w:tc>
          <w:tcPr/>
          <w:p>
            <w:pPr>
              <w:pStyle w:val="Compact"/>
              <w:jc w:val="left"/>
            </w:pPr>
            <w:r>
              <w:t xml:space="preserve">Herbicide tol.</w:t>
            </w:r>
            <w:r>
              <w:t xml:space="preserve"> </w:t>
            </w:r>
            <w:r>
              <w:rPr>
                <w:b/>
                <w:bCs/>
              </w:rPr>
              <w:t xml:space="preserve">only</w:t>
            </w:r>
          </w:p>
        </w:tc>
        <w:tc>
          <w:tcPr/>
          <w:p>
            <w:pPr>
              <w:pStyle w:val="Compact"/>
              <w:jc w:val="left"/>
            </w:pPr>
            <w:r>
              <w:rPr>
                <w:b/>
                <w:bCs/>
              </w:rPr>
              <w:t xml:space="preserve">Narrowed</w:t>
            </w:r>
          </w:p>
        </w:tc>
        <w:tc>
          <w:tcPr/>
          <w:p>
            <w:pPr>
              <w:pStyle w:val="Compact"/>
              <w:jc w:val="left"/>
            </w:pPr>
            <w:r>
              <w:rPr>
                <w:b/>
                <w:bCs/>
              </w:rPr>
              <w:t xml:space="preserve">Unacceptable</w:t>
            </w:r>
            <w:r>
              <w:t xml:space="preserve"> </w:t>
            </w:r>
            <w:r>
              <w:t xml:space="preserve">— see §V.C</w:t>
            </w:r>
          </w:p>
        </w:tc>
      </w:tr>
      <w:tr>
        <w:tc>
          <w:tcPr/>
          <w:p>
            <w:pPr>
              <w:pStyle w:val="Compact"/>
              <w:jc w:val="left"/>
            </w:pPr>
            <w:r>
              <w:t xml:space="preserve">Territory</w:t>
            </w:r>
          </w:p>
        </w:tc>
        <w:tc>
          <w:tcPr/>
          <w:p>
            <w:pPr>
              <w:pStyle w:val="Compact"/>
              <w:jc w:val="left"/>
            </w:pPr>
            <w:r>
              <w:t xml:space="preserve">Worldwide ex China/India</w:t>
            </w:r>
          </w:p>
        </w:tc>
        <w:tc>
          <w:tcPr/>
          <w:p>
            <w:pPr>
              <w:pStyle w:val="Compact"/>
              <w:jc w:val="left"/>
            </w:pPr>
            <w:r>
              <w:t xml:space="preserve">Unchanged</w:t>
            </w:r>
          </w:p>
        </w:tc>
        <w:tc>
          <w:tcPr/>
          <w:p>
            <w:pPr>
              <w:pStyle w:val="Compact"/>
              <w:jc w:val="left"/>
            </w:pPr>
            <w:r>
              <w:t xml:space="preserve">—</w:t>
            </w:r>
          </w:p>
        </w:tc>
        <w:tc>
          <w:tcPr/>
          <w:p>
            <w:pPr>
              <w:pStyle w:val="Compact"/>
              <w:jc w:val="left"/>
            </w:pPr>
            <w:r>
              <w:t xml:space="preserve">Accept</w:t>
            </w:r>
          </w:p>
        </w:tc>
      </w:tr>
      <w:tr>
        <w:tc>
          <w:tcPr/>
          <w:p>
            <w:pPr>
              <w:pStyle w:val="Compact"/>
              <w:jc w:val="left"/>
            </w:pPr>
            <w:r>
              <w:t xml:space="preserve">Sublicense pass-through (§10.3)</w:t>
            </w:r>
          </w:p>
        </w:tc>
        <w:tc>
          <w:tcPr/>
          <w:p>
            <w:pPr>
              <w:pStyle w:val="Compact"/>
              <w:jc w:val="left"/>
            </w:pPr>
            <w:r>
              <w:t xml:space="preserve">35%</w:t>
            </w:r>
          </w:p>
        </w:tc>
        <w:tc>
          <w:tcPr/>
          <w:p>
            <w:pPr>
              <w:pStyle w:val="Compact"/>
              <w:jc w:val="left"/>
            </w:pPr>
            <w:r>
              <w:t xml:space="preserve">50%</w:t>
            </w:r>
          </w:p>
        </w:tc>
        <w:tc>
          <w:tcPr/>
          <w:p>
            <w:pPr>
              <w:pStyle w:val="Compact"/>
              <w:jc w:val="left"/>
            </w:pPr>
            <w:r>
              <w:t xml:space="preserve">+15 pts</w:t>
            </w:r>
          </w:p>
        </w:tc>
        <w:tc>
          <w:tcPr/>
          <w:p>
            <w:pPr>
              <w:pStyle w:val="Compact"/>
              <w:jc w:val="left"/>
            </w:pPr>
            <w:r>
              <w:t xml:space="preserve">Above market; counter 35–40%</w:t>
            </w:r>
          </w:p>
        </w:tc>
      </w:tr>
      <w:tr>
        <w:tc>
          <w:tcPr/>
          <w:p>
            <w:pPr>
              <w:pStyle w:val="Compact"/>
              <w:jc w:val="left"/>
            </w:pPr>
            <w:r>
              <w:t xml:space="preserve">Improvements (§8.1)</w:t>
            </w:r>
          </w:p>
        </w:tc>
        <w:tc>
          <w:tcPr/>
          <w:p>
            <w:pPr>
              <w:pStyle w:val="Compact"/>
              <w:jc w:val="left"/>
            </w:pPr>
            <w:r>
              <w:t xml:space="preserve">Greenfield sole owner; license back at commercial rate</w:t>
            </w:r>
          </w:p>
        </w:tc>
        <w:tc>
          <w:tcPr/>
          <w:p>
            <w:pPr>
              <w:pStyle w:val="Compact"/>
              <w:jc w:val="left"/>
            </w:pPr>
            <w:r>
              <w:t xml:space="preserve">Joint ownership; royalty-free grant-back to NovaTrait</w:t>
            </w:r>
          </w:p>
        </w:tc>
        <w:tc>
          <w:tcPr/>
          <w:p>
            <w:pPr>
              <w:pStyle w:val="Compact"/>
              <w:jc w:val="left"/>
            </w:pPr>
            <w:r>
              <w:rPr>
                <w:b/>
                <w:bCs/>
              </w:rPr>
              <w:t xml:space="preserve">Reversed</w:t>
            </w:r>
          </w:p>
        </w:tc>
        <w:tc>
          <w:tcPr/>
          <w:p>
            <w:pPr>
              <w:pStyle w:val="Compact"/>
              <w:jc w:val="left"/>
            </w:pPr>
            <w:r>
              <w:rPr>
                <w:b/>
                <w:bCs/>
              </w:rPr>
              <w:t xml:space="preserve">Reject</w:t>
            </w:r>
            <w:r>
              <w:t xml:space="preserve"> </w:t>
            </w:r>
            <w:r>
              <w:t xml:space="preserve">— see §VIII.B</w:t>
            </w:r>
          </w:p>
        </w:tc>
      </w:tr>
      <w:tr>
        <w:tc>
          <w:tcPr/>
          <w:p>
            <w:pPr>
              <w:pStyle w:val="Compact"/>
              <w:jc w:val="left"/>
            </w:pPr>
            <w:r>
              <w:t xml:space="preserve">Anti-stacking offset</w:t>
            </w:r>
          </w:p>
        </w:tc>
        <w:tc>
          <w:tcPr/>
          <w:p>
            <w:pPr>
              <w:pStyle w:val="Compact"/>
              <w:jc w:val="left"/>
            </w:pPr>
            <w:r>
              <w:t xml:space="preserve">None</w:t>
            </w:r>
          </w:p>
        </w:tc>
        <w:tc>
          <w:tcPr/>
          <w:p>
            <w:pPr>
              <w:pStyle w:val="Compact"/>
              <w:jc w:val="left"/>
            </w:pPr>
            <w:r>
              <w:t xml:space="preserve">50% offset, capped 25%/qtr, floor 4.75%</w:t>
            </w:r>
          </w:p>
        </w:tc>
        <w:tc>
          <w:tcPr/>
          <w:p>
            <w:pPr>
              <w:pStyle w:val="Compact"/>
              <w:jc w:val="left"/>
            </w:pPr>
            <w:r>
              <w:t xml:space="preserve">New/beneficial</w:t>
            </w:r>
          </w:p>
        </w:tc>
        <w:tc>
          <w:tcPr/>
          <w:p>
            <w:pPr>
              <w:pStyle w:val="Compact"/>
              <w:jc w:val="left"/>
            </w:pPr>
            <w:r>
              <w:t xml:space="preserve">Accept with floor modification</w:t>
            </w:r>
          </w:p>
        </w:tc>
      </w:tr>
      <w:tr>
        <w:tc>
          <w:tcPr/>
          <w:p>
            <w:pPr>
              <w:pStyle w:val="Compact"/>
              <w:jc w:val="left"/>
            </w:pPr>
            <w:r>
              <w:t xml:space="preserve">Term</w:t>
            </w:r>
          </w:p>
        </w:tc>
        <w:tc>
          <w:tcPr/>
          <w:p>
            <w:pPr>
              <w:pStyle w:val="Compact"/>
              <w:jc w:val="left"/>
            </w:pPr>
            <w:r>
              <w:t xml:space="preserve">10 yrs (to 6/30/2025)</w:t>
            </w:r>
          </w:p>
        </w:tc>
        <w:tc>
          <w:tcPr/>
          <w:p>
            <w:pPr>
              <w:pStyle w:val="Compact"/>
              <w:jc w:val="left"/>
            </w:pPr>
            <w:r>
              <w:t xml:space="preserve">5 yrs (to 6/30/2030)</w:t>
            </w:r>
          </w:p>
        </w:tc>
        <w:tc>
          <w:tcPr/>
          <w:p>
            <w:pPr>
              <w:pStyle w:val="Compact"/>
              <w:jc w:val="left"/>
            </w:pPr>
            <w:r>
              <w:t xml:space="preserve">Shorter</w:t>
            </w:r>
          </w:p>
        </w:tc>
        <w:tc>
          <w:tcPr/>
          <w:p>
            <w:pPr>
              <w:pStyle w:val="Compact"/>
              <w:jc w:val="left"/>
            </w:pPr>
            <w:r>
              <w:t xml:space="preserve">Accept 5 yrs</w:t>
            </w:r>
            <w:r>
              <w:t xml:space="preserve"> </w:t>
            </w:r>
            <w:r>
              <w:rPr>
                <w:i/>
                <w:iCs/>
              </w:rPr>
              <w:t xml:space="preserve">with step-down</w:t>
            </w:r>
          </w:p>
        </w:tc>
      </w:tr>
      <w:tr>
        <w:tc>
          <w:tcPr/>
          <w:p>
            <w:pPr>
              <w:pStyle w:val="Compact"/>
              <w:jc w:val="left"/>
            </w:pPr>
            <w:r>
              <w:t xml:space="preserve">Audit (§9.2)</w:t>
            </w:r>
          </w:p>
        </w:tc>
        <w:tc>
          <w:tcPr/>
          <w:p>
            <w:pPr>
              <w:pStyle w:val="Compact"/>
              <w:jc w:val="left"/>
            </w:pPr>
            <w:r>
              <w:t xml:space="preserve">1×/yr, 30 days’ notice</w:t>
            </w:r>
          </w:p>
        </w:tc>
        <w:tc>
          <w:tcPr/>
          <w:p>
            <w:pPr>
              <w:pStyle w:val="Compact"/>
              <w:jc w:val="left"/>
            </w:pPr>
            <w:r>
              <w:t xml:space="preserve">Unchanged</w:t>
            </w:r>
          </w:p>
        </w:tc>
        <w:tc>
          <w:tcPr/>
          <w:p>
            <w:pPr>
              <w:pStyle w:val="Compact"/>
              <w:jc w:val="left"/>
            </w:pPr>
            <w:r>
              <w:t xml:space="preserve">—</w:t>
            </w:r>
          </w:p>
        </w:tc>
        <w:tc>
          <w:tcPr/>
          <w:p>
            <w:pPr>
              <w:pStyle w:val="Compact"/>
              <w:jc w:val="left"/>
            </w:pPr>
            <w:r>
              <w:t xml:space="preserve">Accept</w:t>
            </w:r>
          </w:p>
        </w:tc>
      </w:tr>
    </w:tbl>
    <w:bookmarkEnd w:id="25"/>
    <w:bookmarkStart w:id="26" w:name="c.-key-issues"/>
    <w:p>
      <w:pPr>
        <w:pStyle w:val="Heading3"/>
      </w:pPr>
      <w:r>
        <w:t xml:space="preserve">C. Key issues</w:t>
      </w:r>
    </w:p>
    <w:p>
      <w:pPr>
        <w:pStyle w:val="FirstParagraph"/>
      </w:pPr>
      <w:r>
        <w:rPr>
          <w:b/>
          <w:bCs/>
        </w:rPr>
        <w:t xml:space="preserve">1. Insect-resistance removal is a material scope reduction and must be resisted.</w:t>
      </w:r>
      <w:r>
        <w:t xml:space="preserve"> </w:t>
      </w:r>
      <w:r>
        <w:t xml:space="preserve">NovaTrait proposes to delete insect resistance from the Field of Use because it has granted an</w:t>
      </w:r>
      <w:r>
        <w:t xml:space="preserve"> </w:t>
      </w:r>
      <w:r>
        <w:rPr>
          <w:i/>
          <w:iCs/>
        </w:rPr>
        <w:t xml:space="preserve">exclusive</w:t>
      </w:r>
      <w:r>
        <w:t xml:space="preserve"> </w:t>
      </w:r>
      <w:r>
        <w:t xml:space="preserve">insect-resistance license to another party. Insect resistance is a core Greenfield product line (~30% of License A revenue). Removing it mid-stream would strand existing products and pipeline investments.</w:t>
      </w:r>
      <w:r>
        <w:t xml:space="preserve"> </w:t>
      </w:r>
      <w:r>
        <w:rPr>
          <w:b/>
          <w:bCs/>
        </w:rPr>
        <w:t xml:space="preserve">Greenfield’s position:</w:t>
      </w:r>
      <w:r>
        <w:t xml:space="preserve"> </w:t>
      </w:r>
      <w:r>
        <w:t xml:space="preserve">retain insect resistance</w:t>
      </w:r>
      <w:r>
        <w:t xml:space="preserve"> </w:t>
      </w:r>
      <w:r>
        <w:rPr>
          <w:i/>
          <w:iCs/>
        </w:rPr>
        <w:t xml:space="preserve">and</w:t>
      </w:r>
      <w:r>
        <w:t xml:space="preserve"> </w:t>
      </w:r>
      <w:r>
        <w:t xml:space="preserve">add wheat; if NovaTrait cannot retain insect resistance, Greenfield must receive (a) a grandfathered, non-exclusive, royalty-bearing transitional license for existing and in-development insect-resistance products with a multi-year sunset, and (b) corresponding royalty/MAR relief. Accepting a scope contraction</w:t>
      </w:r>
      <w:r>
        <w:t xml:space="preserve"> </w:t>
      </w:r>
      <w:r>
        <w:rPr>
          <w:i/>
          <w:iCs/>
        </w:rPr>
        <w:t xml:space="preserve">while</w:t>
      </w:r>
      <w:r>
        <w:t xml:space="preserve"> </w:t>
      </w:r>
      <w:r>
        <w:t xml:space="preserve">accepting a rate increase is not commercially rational.</w:t>
      </w:r>
    </w:p>
    <w:p>
      <w:pPr>
        <w:pStyle w:val="BodyText"/>
      </w:pPr>
      <w:r>
        <w:rPr>
          <w:b/>
          <w:bCs/>
        </w:rPr>
        <w:t xml:space="preserve">2. The wheat addition must be validated against patent scope.</w:t>
      </w:r>
      <w:r>
        <w:t xml:space="preserve"> </w:t>
      </w:r>
      <w:r>
        <w:t xml:space="preserve">Per Clarendon, any field-of-use expansion must be evaluated against the actual scope of the licensed patents; the value of an expanded field is diminished if the patents do not actually block third-party competition in the expanded field (e.g., if the patents lack wheat-specific embodiments or data). Greenfield should require NovaTrait to demonstrate meaningful exclusivity for wheat before paying any premium for the expansion.</w:t>
      </w:r>
    </w:p>
    <w:p>
      <w:pPr>
        <w:pStyle w:val="BodyText"/>
      </w:pPr>
      <w:r>
        <w:rPr>
          <w:b/>
          <w:bCs/>
        </w:rPr>
        <w:t xml:space="preserve">3. A royalty step-down is essential because the foundational patent expires mid-term.</w:t>
      </w:r>
      <w:r>
        <w:t xml:space="preserve"> </w:t>
      </w:r>
      <w:r>
        <w:t xml:space="preserve">U.S. Patent No. 9,234,117 — which Clarendon values at</w:t>
      </w:r>
      <w:r>
        <w:t xml:space="preserve"> </w:t>
      </w:r>
      <w:r>
        <w:rPr>
          <w:b/>
          <w:bCs/>
        </w:rPr>
        <w:t xml:space="preserve">~60% of the entire License A portfolio</w:t>
      </w:r>
      <w:r>
        <w:t xml:space="preserve"> </w:t>
      </w:r>
      <w:r>
        <w:t xml:space="preserve">— expires</w:t>
      </w:r>
      <w:r>
        <w:t xml:space="preserve"> </w:t>
      </w:r>
      <w:r>
        <w:rPr>
          <w:b/>
          <w:bCs/>
        </w:rPr>
        <w:t xml:space="preserve">March 12, 2028</w:t>
      </w:r>
      <w:r>
        <w:t xml:space="preserve">, roughly two years into the proposed five-year renewal. Clarendon estimates the residual portfolio value after the ’117 expiry at only</w:t>
      </w:r>
      <w:r>
        <w:t xml:space="preserve"> </w:t>
      </w:r>
      <w:r>
        <w:rPr>
          <w:b/>
          <w:bCs/>
        </w:rPr>
        <w:t xml:space="preserve">35–40%</w:t>
      </w:r>
      <w:r>
        <w:t xml:space="preserve"> </w:t>
      </w:r>
      <w:r>
        <w:t xml:space="preserve">of current aggregate value, and projects that at least two commercially viable alternative platforms (AgriGenome Solutions, CropTech Innovations) will be available by 2029–2030, exerting downward pressure on market rates (currently 3.5–5.5%; expected to gravitate toward the low end or below post-2028).</w:t>
      </w:r>
      <w:r>
        <w:t xml:space="preserve"> </w:t>
      </w:r>
      <w:r>
        <w:rPr>
          <w:b/>
          <w:bCs/>
        </w:rPr>
        <w:t xml:space="preserve">A flat 6.25% across the full term would have Greenfield overpaying for the final ~2.25 years.</w:t>
      </w:r>
      <w:r>
        <w:t xml:space="preserve"> </w:t>
      </w:r>
      <w:r>
        <w:t xml:space="preserve">Greenfield should insist on a step-down to the</w:t>
      </w:r>
      <w:r>
        <w:t xml:space="preserve"> </w:t>
      </w:r>
      <w:r>
        <w:rPr>
          <w:b/>
          <w:bCs/>
        </w:rPr>
        <w:t xml:space="preserve">2.0–3.5%</w:t>
      </w:r>
      <w:r>
        <w:t xml:space="preserve"> </w:t>
      </w:r>
      <w:r>
        <w:t xml:space="preserve">range from March 12, 2028 through term end, or a renegotiation trigger upon ’117 expiry.</w:t>
      </w:r>
    </w:p>
    <w:p>
      <w:pPr>
        <w:pStyle w:val="BodyText"/>
      </w:pPr>
      <w:r>
        <w:rPr>
          <w:b/>
          <w:bCs/>
        </w:rPr>
        <w:t xml:space="preserve">4. The anti-stacking offset is a genuine concession but limited.</w:t>
      </w:r>
      <w:r>
        <w:t xml:space="preserve"> </w:t>
      </w:r>
      <w:r>
        <w:t xml:space="preserve">The proposed 50% third-party-royalty offset (capped at 25% of quarterly royalties, with a 4.75% effective floor) is favorable in principle and should be accepted, but the floor should be re-cast as 75% of the</w:t>
      </w:r>
      <w:r>
        <w:t xml:space="preserve"> </w:t>
      </w:r>
      <w:r>
        <w:rPr>
          <w:i/>
          <w:iCs/>
        </w:rPr>
        <w:t xml:space="preserve">calculated</w:t>
      </w:r>
      <w:r>
        <w:t xml:space="preserve"> </w:t>
      </w:r>
      <w:r>
        <w:t xml:space="preserve">royalty (not the minimum) so the offset retains real utility.</w:t>
      </w:r>
    </w:p>
    <w:bookmarkEnd w:id="26"/>
    <w:bookmarkStart w:id="27" w:name="d.-recommended-license-a-position"/>
    <w:p>
      <w:pPr>
        <w:pStyle w:val="Heading3"/>
      </w:pPr>
      <w:r>
        <w:t xml:space="preserve">D. Recommended License A position</w:t>
      </w:r>
    </w:p>
    <w:p>
      <w:pPr>
        <w:pStyle w:val="Compact"/>
        <w:numPr>
          <w:ilvl w:val="0"/>
          <w:numId w:val="1006"/>
        </w:numPr>
      </w:pPr>
      <w:r>
        <w:rPr>
          <w:b/>
          <w:bCs/>
        </w:rPr>
        <w:t xml:space="preserve">Royalty:</w:t>
      </w:r>
      <w:r>
        <w:t xml:space="preserve"> </w:t>
      </w:r>
      <w:r>
        <w:t xml:space="preserve">5.0% on the</w:t>
      </w:r>
      <w:r>
        <w:t xml:space="preserve"> </w:t>
      </w:r>
      <w:r>
        <w:rPr>
          <w:i/>
          <w:iCs/>
        </w:rPr>
        <w:t xml:space="preserve">original</w:t>
      </w:r>
      <w:r>
        <w:t xml:space="preserve"> </w:t>
      </w:r>
      <w:r>
        <w:t xml:space="preserve">Net Sales definition (or 4.75% on the redefined definition), with a</w:t>
      </w:r>
      <w:r>
        <w:t xml:space="preserve"> </w:t>
      </w:r>
      <w:r>
        <w:rPr>
          <w:b/>
          <w:bCs/>
        </w:rPr>
        <w:t xml:space="preserve">step-down to 2.5–3.0% effective March 12, 2028</w:t>
      </w:r>
      <w:r>
        <w:t xml:space="preserve">.</w:t>
      </w:r>
    </w:p>
    <w:p>
      <w:pPr>
        <w:pStyle w:val="Compact"/>
        <w:numPr>
          <w:ilvl w:val="0"/>
          <w:numId w:val="1006"/>
        </w:numPr>
      </w:pPr>
      <w:r>
        <w:rPr>
          <w:b/>
          <w:bCs/>
        </w:rPr>
        <w:t xml:space="preserve">MAR:</w:t>
      </w:r>
      <w:r>
        <w:t xml:space="preserve"> </w:t>
      </w:r>
      <w:r>
        <w:t xml:space="preserve">$5.0–6.0M (not $8.0M), creditable as today.</w:t>
      </w:r>
    </w:p>
    <w:p>
      <w:pPr>
        <w:pStyle w:val="Compact"/>
        <w:numPr>
          <w:ilvl w:val="0"/>
          <w:numId w:val="1006"/>
        </w:numPr>
      </w:pPr>
      <w:r>
        <w:rPr>
          <w:b/>
          <w:bCs/>
        </w:rPr>
        <w:t xml:space="preserve">Net Sales:</w:t>
      </w:r>
      <w:r>
        <w:t xml:space="preserve"> </w:t>
      </w:r>
      <w:r>
        <w:t xml:space="preserve">retain the current definition; reject the redefinition.</w:t>
      </w:r>
    </w:p>
    <w:p>
      <w:pPr>
        <w:pStyle w:val="Compact"/>
        <w:numPr>
          <w:ilvl w:val="0"/>
          <w:numId w:val="1006"/>
        </w:numPr>
      </w:pPr>
      <w:r>
        <w:rPr>
          <w:b/>
          <w:bCs/>
        </w:rPr>
        <w:t xml:space="preserve">Field of Use:</w:t>
      </w:r>
      <w:r>
        <w:t xml:space="preserve"> </w:t>
      </w:r>
      <w:r>
        <w:t xml:space="preserve">retain insect resistance</w:t>
      </w:r>
      <w:r>
        <w:t xml:space="preserve"> </w:t>
      </w:r>
      <w:r>
        <w:rPr>
          <w:i/>
          <w:iCs/>
        </w:rPr>
        <w:t xml:space="preserve">and</w:t>
      </w:r>
      <w:r>
        <w:t xml:space="preserve"> </w:t>
      </w:r>
      <w:r>
        <w:t xml:space="preserve">add wheat, conditioned on NovaTrait demonstrating patent coverage for wheat.</w:t>
      </w:r>
    </w:p>
    <w:p>
      <w:pPr>
        <w:pStyle w:val="Compact"/>
        <w:numPr>
          <w:ilvl w:val="0"/>
          <w:numId w:val="1006"/>
        </w:numPr>
      </w:pPr>
      <w:r>
        <w:rPr>
          <w:b/>
          <w:bCs/>
        </w:rPr>
        <w:t xml:space="preserve">Sublicense pass-through:</w:t>
      </w:r>
      <w:r>
        <w:t xml:space="preserve"> </w:t>
      </w:r>
      <w:r>
        <w:t xml:space="preserve">retain 35%, or accept 40% with a volume discount above $2M of pass-through.</w:t>
      </w:r>
    </w:p>
    <w:p>
      <w:pPr>
        <w:pStyle w:val="Compact"/>
        <w:numPr>
          <w:ilvl w:val="0"/>
          <w:numId w:val="1006"/>
        </w:numPr>
      </w:pPr>
      <w:r>
        <w:rPr>
          <w:b/>
          <w:bCs/>
        </w:rPr>
        <w:t xml:space="preserve">Improvements:</w:t>
      </w:r>
      <w:r>
        <w:t xml:space="preserve"> </w:t>
      </w:r>
      <w:r>
        <w:t xml:space="preserve">retain Greenfield sole ownership with a non-exclusive license back to NovaTrait at a reduced (not royalty-free) rate.</w:t>
      </w:r>
    </w:p>
    <w:p>
      <w:pPr>
        <w:pStyle w:val="Compact"/>
        <w:numPr>
          <w:ilvl w:val="0"/>
          <w:numId w:val="1006"/>
        </w:numPr>
      </w:pPr>
      <w:r>
        <w:rPr>
          <w:b/>
          <w:bCs/>
        </w:rPr>
        <w:t xml:space="preserve">Anti-stacking:</w:t>
      </w:r>
      <w:r>
        <w:t xml:space="preserve"> </w:t>
      </w:r>
      <w:r>
        <w:t xml:space="preserve">accept with the floor modified as above.</w:t>
      </w:r>
    </w:p>
    <w:p>
      <w:pPr>
        <w:pStyle w:val="Compact"/>
        <w:numPr>
          <w:ilvl w:val="0"/>
          <w:numId w:val="1006"/>
        </w:numPr>
      </w:pPr>
      <w:r>
        <w:rPr>
          <w:b/>
          <w:bCs/>
        </w:rPr>
        <w:t xml:space="preserve">Term:</w:t>
      </w:r>
      <w:r>
        <w:t xml:space="preserve"> </w:t>
      </w:r>
      <w:r>
        <w:t xml:space="preserve">5 years (to June 30, 2030) with the step-down and a further 5-year renewal option.</w:t>
      </w:r>
    </w:p>
    <w:p>
      <w:r>
        <w:pict>
          <v:rect style="width:0;height:1.5pt" o:hralign="center" o:hrstd="t" o:hr="t"/>
        </w:pict>
      </w:r>
    </w:p>
    <w:bookmarkEnd w:id="27"/>
    <w:bookmarkEnd w:id="28"/>
    <w:bookmarkStart w:id="33" w:name="X3734f3adea4d7b20b4c8c9e6fdb91488a20cb21"/>
    <w:p>
      <w:pPr>
        <w:pStyle w:val="Heading2"/>
      </w:pPr>
      <w:r>
        <w:t xml:space="preserve">VI. License B — TraitForge Plant Trait Expression Platform</w:t>
      </w:r>
    </w:p>
    <w:bookmarkStart w:id="29" w:name="a.-current-terms-snapshot-1"/>
    <w:p>
      <w:pPr>
        <w:pStyle w:val="Heading3"/>
      </w:pPr>
      <w:r>
        <w:t xml:space="preserve">A. Current terms (snapshot)</w:t>
      </w:r>
    </w:p>
    <w:p>
      <w:pPr>
        <w:pStyle w:val="Compact"/>
        <w:numPr>
          <w:ilvl w:val="0"/>
          <w:numId w:val="1007"/>
        </w:numPr>
      </w:pPr>
      <w:r>
        <w:rPr>
          <w:b/>
          <w:bCs/>
        </w:rPr>
        <w:t xml:space="preserve">Term:</w:t>
      </w:r>
      <w:r>
        <w:t xml:space="preserve"> </w:t>
      </w:r>
      <w:r>
        <w:t xml:space="preserve">7 years,</w:t>
      </w:r>
      <w:r>
        <w:t xml:space="preserve"> </w:t>
      </w:r>
      <w:r>
        <w:rPr>
          <w:b/>
          <w:bCs/>
        </w:rPr>
        <w:t xml:space="preserve">expired December 31, 2024</w:t>
      </w:r>
      <w:r>
        <w:t xml:space="preserve">; now operating under the §12.6 Standstill (through ~June 29, 2025).</w:t>
      </w:r>
    </w:p>
    <w:p>
      <w:pPr>
        <w:pStyle w:val="Compact"/>
        <w:numPr>
          <w:ilvl w:val="0"/>
          <w:numId w:val="1007"/>
        </w:numPr>
      </w:pPr>
      <w:r>
        <w:rPr>
          <w:b/>
          <w:bCs/>
        </w:rPr>
        <w:t xml:space="preserve">Grant:</w:t>
      </w:r>
      <w:r>
        <w:t xml:space="preserve"> </w:t>
      </w:r>
      <w:r>
        <w:t xml:space="preserve">Exclusive for the first 3 years, converting to</w:t>
      </w:r>
      <w:r>
        <w:t xml:space="preserve"> </w:t>
      </w:r>
      <w:r>
        <w:rPr>
          <w:b/>
          <w:bCs/>
        </w:rPr>
        <w:t xml:space="preserve">non-exclusive</w:t>
      </w:r>
      <w:r>
        <w:t xml:space="preserve"> </w:t>
      </w:r>
      <w:r>
        <w:t xml:space="preserve">thereafter (§3.2) — i.e., the license is currently non-exclusive.</w:t>
      </w:r>
    </w:p>
    <w:p>
      <w:pPr>
        <w:pStyle w:val="Compact"/>
        <w:numPr>
          <w:ilvl w:val="0"/>
          <w:numId w:val="1007"/>
        </w:numPr>
      </w:pPr>
      <w:r>
        <w:rPr>
          <w:b/>
          <w:bCs/>
        </w:rPr>
        <w:t xml:space="preserve">Field of Use:</w:t>
      </w:r>
      <w:r>
        <w:t xml:space="preserve"> </w:t>
      </w:r>
      <w:r>
        <w:t xml:space="preserve">Drought tolerance and nutrient-uptake efficiency in corn, soybean, and cotton (§1.5).</w:t>
      </w:r>
    </w:p>
    <w:p>
      <w:pPr>
        <w:pStyle w:val="Compact"/>
        <w:numPr>
          <w:ilvl w:val="0"/>
          <w:numId w:val="1007"/>
        </w:numPr>
      </w:pPr>
      <w:r>
        <w:rPr>
          <w:b/>
          <w:bCs/>
        </w:rPr>
        <w:t xml:space="preserve">Territory:</w:t>
      </w:r>
      <w:r>
        <w:t xml:space="preserve"> </w:t>
      </w:r>
      <w:r>
        <w:t xml:space="preserve">Western Hemisphere (§1.19).</w:t>
      </w:r>
    </w:p>
    <w:p>
      <w:pPr>
        <w:pStyle w:val="Compact"/>
        <w:numPr>
          <w:ilvl w:val="0"/>
          <w:numId w:val="1007"/>
        </w:numPr>
      </w:pPr>
      <w:r>
        <w:rPr>
          <w:b/>
          <w:bCs/>
        </w:rPr>
        <w:t xml:space="preserve">Royalty:</w:t>
      </w:r>
      <w:r>
        <w:t xml:space="preserve"> </w:t>
      </w:r>
      <w:r>
        <w:t xml:space="preserve">3.75% of Net Sales (§4.1); MAR $2.5M (§4.2).</w:t>
      </w:r>
      <w:r>
        <w:t xml:space="preserve"> </w:t>
      </w:r>
      <w:r>
        <w:rPr>
          <w:b/>
          <w:bCs/>
        </w:rPr>
        <w:t xml:space="preserve">No rate-cap provision.</w:t>
      </w:r>
    </w:p>
    <w:p>
      <w:pPr>
        <w:pStyle w:val="Compact"/>
        <w:numPr>
          <w:ilvl w:val="0"/>
          <w:numId w:val="1007"/>
        </w:numPr>
      </w:pPr>
      <w:r>
        <w:rPr>
          <w:b/>
          <w:bCs/>
        </w:rPr>
        <w:t xml:space="preserve">Sublicensing:</w:t>
      </w:r>
      <w:r>
        <w:t xml:space="preserve"> </w:t>
      </w:r>
      <w:r>
        <w:t xml:space="preserve">Permitted with NovaTrait consent (§3.3);</w:t>
      </w:r>
      <w:r>
        <w:t xml:space="preserve"> </w:t>
      </w:r>
      <w:r>
        <w:rPr>
          <w:b/>
          <w:bCs/>
        </w:rPr>
        <w:t xml:space="preserve">no contractual pass-through</w:t>
      </w:r>
      <w:r>
        <w:t xml:space="preserve"> </w:t>
      </w:r>
      <w:r>
        <w:t xml:space="preserve">to NovaTrait (confirmed by the Prairielands consent letter).</w:t>
      </w:r>
    </w:p>
    <w:p>
      <w:pPr>
        <w:pStyle w:val="Compact"/>
        <w:numPr>
          <w:ilvl w:val="0"/>
          <w:numId w:val="1007"/>
        </w:numPr>
      </w:pPr>
      <w:r>
        <w:rPr>
          <w:b/>
          <w:bCs/>
        </w:rPr>
        <w:t xml:space="preserve">Improvements:</w:t>
      </w:r>
      <w:r>
        <w:t xml:space="preserve"> </w:t>
      </w:r>
      <w:r>
        <w:t xml:space="preserve">NovaTrait owns NovaTrait Improvements (licensed to Greenfield); Greenfield owns Greenfield Improvements (license back to NovaTrait at commercial rate); Joint Improvements jointly owned (§6).</w:t>
      </w:r>
    </w:p>
    <w:p>
      <w:pPr>
        <w:pStyle w:val="Compact"/>
        <w:numPr>
          <w:ilvl w:val="0"/>
          <w:numId w:val="1007"/>
        </w:numPr>
      </w:pPr>
      <w:r>
        <w:rPr>
          <w:b/>
          <w:bCs/>
        </w:rPr>
        <w:t xml:space="preserve">Biological materials:</w:t>
      </w:r>
      <w:r>
        <w:t xml:space="preserve"> </w:t>
      </w:r>
      <w:r>
        <w:t xml:space="preserve">90-day wind-down period permitting continued use in initiated programs/trials (§7.4).</w:t>
      </w:r>
    </w:p>
    <w:p>
      <w:pPr>
        <w:pStyle w:val="Compact"/>
        <w:numPr>
          <w:ilvl w:val="0"/>
          <w:numId w:val="1007"/>
        </w:numPr>
      </w:pPr>
      <w:r>
        <w:rPr>
          <w:b/>
          <w:bCs/>
        </w:rPr>
        <w:t xml:space="preserve">Licensed patents:</w:t>
      </w:r>
      <w:r>
        <w:t xml:space="preserve"> </w:t>
      </w:r>
      <w:r>
        <w:t xml:space="preserve">U.S. 10,443,076 (exp. ~2036), 10,443,077 (exp. ~2036), 10,889,201 (exp. ~2038), plus EP/BR counterparts.</w:t>
      </w:r>
    </w:p>
    <w:p>
      <w:pPr>
        <w:pStyle w:val="Compact"/>
        <w:numPr>
          <w:ilvl w:val="0"/>
          <w:numId w:val="1007"/>
        </w:numPr>
      </w:pPr>
      <w:r>
        <w:rPr>
          <w:b/>
          <w:bCs/>
        </w:rPr>
        <w:t xml:space="preserve">Standstill (§12.6):</w:t>
      </w:r>
      <w:r>
        <w:t xml:space="preserve"> </w:t>
      </w:r>
      <w:r>
        <w:t xml:space="preserve">up to 180 days; either party may terminate on 30 days’ notice.</w:t>
      </w:r>
    </w:p>
    <w:bookmarkEnd w:id="29"/>
    <w:bookmarkStart w:id="30" w:name="b.-proposed-changes-and-assessment-1"/>
    <w:p>
      <w:pPr>
        <w:pStyle w:val="Heading3"/>
      </w:pPr>
      <w:r>
        <w:t xml:space="preserve">B. Proposed changes and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Direction</w:t>
            </w:r>
          </w:p>
        </w:tc>
        <w:tc>
          <w:tcPr/>
          <w:p>
            <w:pPr>
              <w:pStyle w:val="Compact"/>
              <w:jc w:val="left"/>
            </w:pPr>
            <w:r>
              <w:t xml:space="preserve">Greenfield assessment</w:t>
            </w:r>
          </w:p>
        </w:tc>
      </w:tr>
      <w:tr>
        <w:tc>
          <w:tcPr/>
          <w:p>
            <w:pPr>
              <w:pStyle w:val="Compact"/>
              <w:jc w:val="left"/>
            </w:pPr>
            <w:r>
              <w:t xml:space="preserve">Royalty rate (§4.1)</w:t>
            </w:r>
          </w:p>
        </w:tc>
        <w:tc>
          <w:tcPr/>
          <w:p>
            <w:pPr>
              <w:pStyle w:val="Compact"/>
              <w:jc w:val="left"/>
            </w:pPr>
            <w:r>
              <w:t xml:space="preserve">3.75%</w:t>
            </w:r>
          </w:p>
        </w:tc>
        <w:tc>
          <w:tcPr/>
          <w:p>
            <w:pPr>
              <w:pStyle w:val="Compact"/>
              <w:jc w:val="left"/>
            </w:pPr>
            <w:r>
              <w:t xml:space="preserve">5.0%</w:t>
            </w:r>
          </w:p>
        </w:tc>
        <w:tc>
          <w:tcPr/>
          <w:p>
            <w:pPr>
              <w:pStyle w:val="Compact"/>
              <w:jc w:val="left"/>
            </w:pPr>
            <w:r>
              <w:t xml:space="preserve">+33.3%</w:t>
            </w:r>
          </w:p>
        </w:tc>
        <w:tc>
          <w:tcPr/>
          <w:p>
            <w:pPr>
              <w:pStyle w:val="Compact"/>
              <w:jc w:val="left"/>
            </w:pPr>
            <w:r>
              <w:t xml:space="preserve">Above market high (4.5%); counter 4.25%</w:t>
            </w:r>
          </w:p>
        </w:tc>
      </w:tr>
      <w:tr>
        <w:tc>
          <w:tcPr/>
          <w:p>
            <w:pPr>
              <w:pStyle w:val="Compact"/>
              <w:jc w:val="left"/>
            </w:pPr>
            <w:r>
              <w:t xml:space="preserve">Minimum Annual Royalty (§4.2)</w:t>
            </w:r>
          </w:p>
        </w:tc>
        <w:tc>
          <w:tcPr/>
          <w:p>
            <w:pPr>
              <w:pStyle w:val="Compact"/>
              <w:jc w:val="left"/>
            </w:pPr>
            <w:r>
              <w:t xml:space="preserve">$2.5M</w:t>
            </w:r>
          </w:p>
        </w:tc>
        <w:tc>
          <w:tcPr/>
          <w:p>
            <w:pPr>
              <w:pStyle w:val="Compact"/>
              <w:jc w:val="left"/>
            </w:pPr>
            <w:r>
              <w:t xml:space="preserve">$5.0M</w:t>
            </w:r>
          </w:p>
        </w:tc>
        <w:tc>
          <w:tcPr/>
          <w:p>
            <w:pPr>
              <w:pStyle w:val="Compact"/>
              <w:jc w:val="left"/>
            </w:pPr>
            <w:r>
              <w:t xml:space="preserve">+100%</w:t>
            </w:r>
          </w:p>
        </w:tc>
        <w:tc>
          <w:tcPr/>
          <w:p>
            <w:pPr>
              <w:pStyle w:val="Compact"/>
              <w:jc w:val="left"/>
            </w:pPr>
            <w:r>
              <w:t xml:space="preserve">Counter ~$3.0–3.5M</w:t>
            </w:r>
          </w:p>
        </w:tc>
      </w:tr>
      <w:tr>
        <w:tc>
          <w:tcPr/>
          <w:p>
            <w:pPr>
              <w:pStyle w:val="Compact"/>
              <w:jc w:val="left"/>
            </w:pPr>
            <w:r>
              <w:t xml:space="preserve">Net Sales definition</w:t>
            </w:r>
          </w:p>
        </w:tc>
        <w:tc>
          <w:tcPr/>
          <w:p>
            <w:pPr>
              <w:pStyle w:val="Compact"/>
              <w:jc w:val="left"/>
            </w:pPr>
            <w:r>
              <w:t xml:space="preserve">Standard</w:t>
            </w:r>
          </w:p>
        </w:tc>
        <w:tc>
          <w:tcPr/>
          <w:p>
            <w:pPr>
              <w:pStyle w:val="Compact"/>
              <w:jc w:val="left"/>
            </w:pPr>
            <w:r>
              <w:t xml:space="preserve">Redefined (per Proposal)</w:t>
            </w:r>
          </w:p>
        </w:tc>
        <w:tc>
          <w:tcPr/>
          <w:p>
            <w:pPr>
              <w:pStyle w:val="Compact"/>
              <w:jc w:val="left"/>
            </w:pPr>
            <w:r>
              <w:t xml:space="preserve">Narrowed</w:t>
            </w:r>
          </w:p>
        </w:tc>
        <w:tc>
          <w:tcPr/>
          <w:p>
            <w:pPr>
              <w:pStyle w:val="Compact"/>
              <w:jc w:val="left"/>
            </w:pPr>
            <w:r>
              <w:t xml:space="preserve">Reject; retain current</w:t>
            </w:r>
          </w:p>
        </w:tc>
      </w:tr>
      <w:tr>
        <w:tc>
          <w:tcPr/>
          <w:p>
            <w:pPr>
              <w:pStyle w:val="Compact"/>
              <w:jc w:val="left"/>
            </w:pPr>
            <w:r>
              <w:t xml:space="preserve">Field of Use</w:t>
            </w:r>
          </w:p>
        </w:tc>
        <w:tc>
          <w:tcPr/>
          <w:p>
            <w:pPr>
              <w:pStyle w:val="Compact"/>
              <w:jc w:val="left"/>
            </w:pPr>
            <w:r>
              <w:t xml:space="preserve">Drought + nutrient, corn/soy/cotton</w:t>
            </w:r>
          </w:p>
        </w:tc>
        <w:tc>
          <w:tcPr/>
          <w:p>
            <w:pPr>
              <w:pStyle w:val="Compact"/>
              <w:jc w:val="left"/>
            </w:pPr>
            <w:r>
              <w:t xml:space="preserve">Unchanged</w:t>
            </w:r>
          </w:p>
        </w:tc>
        <w:tc>
          <w:tcPr/>
          <w:p>
            <w:pPr>
              <w:pStyle w:val="Compact"/>
              <w:jc w:val="left"/>
            </w:pPr>
            <w:r>
              <w:t xml:space="preserve">—</w:t>
            </w:r>
          </w:p>
        </w:tc>
        <w:tc>
          <w:tcPr/>
          <w:p>
            <w:pPr>
              <w:pStyle w:val="Compact"/>
              <w:jc w:val="left"/>
            </w:pPr>
            <w:r>
              <w:t xml:space="preserve">Accept</w:t>
            </w:r>
          </w:p>
        </w:tc>
      </w:tr>
      <w:tr>
        <w:tc>
          <w:tcPr/>
          <w:p>
            <w:pPr>
              <w:pStyle w:val="Compact"/>
              <w:jc w:val="left"/>
            </w:pPr>
            <w:r>
              <w:t xml:space="preserve">Territory</w:t>
            </w:r>
          </w:p>
        </w:tc>
        <w:tc>
          <w:tcPr/>
          <w:p>
            <w:pPr>
              <w:pStyle w:val="Compact"/>
              <w:jc w:val="left"/>
            </w:pPr>
            <w:r>
              <w:t xml:space="preserve">Western Hemisphere</w:t>
            </w:r>
          </w:p>
        </w:tc>
        <w:tc>
          <w:tcPr/>
          <w:p>
            <w:pPr>
              <w:pStyle w:val="Compact"/>
              <w:jc w:val="left"/>
            </w:pPr>
            <w:r>
              <w:t xml:space="preserve">Unchanged</w:t>
            </w:r>
          </w:p>
        </w:tc>
        <w:tc>
          <w:tcPr/>
          <w:p>
            <w:pPr>
              <w:pStyle w:val="Compact"/>
              <w:jc w:val="left"/>
            </w:pPr>
            <w:r>
              <w:t xml:space="preserve">—</w:t>
            </w:r>
          </w:p>
        </w:tc>
        <w:tc>
          <w:tcPr/>
          <w:p>
            <w:pPr>
              <w:pStyle w:val="Compact"/>
              <w:jc w:val="left"/>
            </w:pPr>
            <w:r>
              <w:t xml:space="preserve">Accept</w:t>
            </w:r>
          </w:p>
        </w:tc>
      </w:tr>
      <w:tr>
        <w:tc>
          <w:tcPr/>
          <w:p>
            <w:pPr>
              <w:pStyle w:val="Compact"/>
              <w:jc w:val="left"/>
            </w:pPr>
            <w:r>
              <w:t xml:space="preserve">Audit (§5.2)</w:t>
            </w:r>
          </w:p>
        </w:tc>
        <w:tc>
          <w:tcPr/>
          <w:p>
            <w:pPr>
              <w:pStyle w:val="Compact"/>
              <w:jc w:val="left"/>
            </w:pPr>
            <w:r>
              <w:t xml:space="preserve">1×/yr, 30 cal. days’ notice, 3-yr lookback</w:t>
            </w:r>
          </w:p>
        </w:tc>
        <w:tc>
          <w:tcPr/>
          <w:p>
            <w:pPr>
              <w:pStyle w:val="Compact"/>
              <w:jc w:val="left"/>
            </w:pPr>
            <w:r>
              <w:t xml:space="preserve">2×/yr, 15 bus. days’ notice, 5-yr lookback</w:t>
            </w:r>
          </w:p>
        </w:tc>
        <w:tc>
          <w:tcPr/>
          <w:p>
            <w:pPr>
              <w:pStyle w:val="Compact"/>
              <w:jc w:val="left"/>
            </w:pPr>
            <w:r>
              <w:t xml:space="preserve">Expanded</w:t>
            </w:r>
          </w:p>
        </w:tc>
        <w:tc>
          <w:tcPr/>
          <w:p>
            <w:pPr>
              <w:pStyle w:val="Compact"/>
              <w:jc w:val="left"/>
            </w:pPr>
            <w:r>
              <w:t xml:space="preserve">Reject; retain 1×/yr, 20 bus. days</w:t>
            </w:r>
          </w:p>
        </w:tc>
      </w:tr>
      <w:tr>
        <w:tc>
          <w:tcPr/>
          <w:p>
            <w:pPr>
              <w:pStyle w:val="Compact"/>
              <w:jc w:val="left"/>
            </w:pPr>
            <w:r>
              <w:t xml:space="preserve">Bio materials return (§7.4)</w:t>
            </w:r>
          </w:p>
        </w:tc>
        <w:tc>
          <w:tcPr/>
          <w:p>
            <w:pPr>
              <w:pStyle w:val="Compact"/>
              <w:jc w:val="left"/>
            </w:pPr>
            <w:r>
              <w:t xml:space="preserve">90-day wind-down</w:t>
            </w:r>
          </w:p>
        </w:tc>
        <w:tc>
          <w:tcPr/>
          <w:p>
            <w:pPr>
              <w:pStyle w:val="Compact"/>
              <w:jc w:val="left"/>
            </w:pPr>
            <w:r>
              <w:t xml:space="preserve">30-day return/destroy, no wind-down</w:t>
            </w:r>
          </w:p>
        </w:tc>
        <w:tc>
          <w:tcPr/>
          <w:p>
            <w:pPr>
              <w:pStyle w:val="Compact"/>
              <w:jc w:val="left"/>
            </w:pPr>
            <w:r>
              <w:rPr>
                <w:b/>
                <w:bCs/>
              </w:rPr>
              <w:t xml:space="preserve">Shortened</w:t>
            </w:r>
          </w:p>
        </w:tc>
        <w:tc>
          <w:tcPr/>
          <w:p>
            <w:pPr>
              <w:pStyle w:val="Compact"/>
              <w:jc w:val="left"/>
            </w:pPr>
            <w:r>
              <w:rPr>
                <w:b/>
                <w:bCs/>
              </w:rPr>
              <w:t xml:space="preserve">Reject</w:t>
            </w:r>
            <w:r>
              <w:t xml:space="preserve"> </w:t>
            </w:r>
            <w:r>
              <w:t xml:space="preserve">— operational risk</w:t>
            </w:r>
          </w:p>
        </w:tc>
      </w:tr>
      <w:tr>
        <w:tc>
          <w:tcPr/>
          <w:p>
            <w:pPr>
              <w:pStyle w:val="Compact"/>
              <w:jc w:val="left"/>
            </w:pPr>
            <w:r>
              <w:t xml:space="preserve">Improvements (§6)</w:t>
            </w:r>
          </w:p>
        </w:tc>
        <w:tc>
          <w:tcPr/>
          <w:p>
            <w:pPr>
              <w:pStyle w:val="Compact"/>
              <w:jc w:val="left"/>
            </w:pPr>
            <w:r>
              <w:t xml:space="preserve">Split ownership w/ license-back</w:t>
            </w:r>
          </w:p>
        </w:tc>
        <w:tc>
          <w:tcPr/>
          <w:p>
            <w:pPr>
              <w:pStyle w:val="Compact"/>
              <w:jc w:val="left"/>
            </w:pPr>
            <w:r>
              <w:t xml:space="preserve">Joint ownership; royalty-free grant-back</w:t>
            </w:r>
          </w:p>
        </w:tc>
        <w:tc>
          <w:tcPr/>
          <w:p>
            <w:pPr>
              <w:pStyle w:val="Compact"/>
              <w:jc w:val="left"/>
            </w:pPr>
            <w:r>
              <w:t xml:space="preserve">Modified</w:t>
            </w:r>
          </w:p>
        </w:tc>
        <w:tc>
          <w:tcPr/>
          <w:p>
            <w:pPr>
              <w:pStyle w:val="Compact"/>
              <w:jc w:val="left"/>
            </w:pPr>
            <w:r>
              <w:rPr>
                <w:b/>
                <w:bCs/>
              </w:rPr>
              <w:t xml:space="preserve">Reject</w:t>
            </w:r>
            <w:r>
              <w:t xml:space="preserve"> </w:t>
            </w:r>
            <w:r>
              <w:t xml:space="preserve">— see §VIII.B</w:t>
            </w:r>
          </w:p>
        </w:tc>
      </w:tr>
      <w:tr>
        <w:tc>
          <w:tcPr/>
          <w:p>
            <w:pPr>
              <w:pStyle w:val="Compact"/>
              <w:jc w:val="left"/>
            </w:pPr>
            <w:r>
              <w:t xml:space="preserve">Standstill (§12.6)</w:t>
            </w:r>
          </w:p>
        </w:tc>
        <w:tc>
          <w:tcPr/>
          <w:p>
            <w:pPr>
              <w:pStyle w:val="Compact"/>
              <w:jc w:val="left"/>
            </w:pPr>
            <w:r>
              <w:t xml:space="preserve">180 days</w:t>
            </w:r>
          </w:p>
        </w:tc>
        <w:tc>
          <w:tcPr/>
          <w:p>
            <w:pPr>
              <w:pStyle w:val="Compact"/>
              <w:jc w:val="left"/>
            </w:pPr>
            <w:r>
              <w:t xml:space="preserve">Retained</w:t>
            </w:r>
          </w:p>
        </w:tc>
        <w:tc>
          <w:tcPr/>
          <w:p>
            <w:pPr>
              <w:pStyle w:val="Compact"/>
              <w:jc w:val="left"/>
            </w:pPr>
            <w:r>
              <w:t xml:space="preserve">—</w:t>
            </w:r>
          </w:p>
        </w:tc>
        <w:tc>
          <w:tcPr/>
          <w:p>
            <w:pPr>
              <w:pStyle w:val="Compact"/>
              <w:jc w:val="left"/>
            </w:pPr>
            <w:r>
              <w:t xml:space="preserve">Accept, but extend now</w:t>
            </w:r>
          </w:p>
        </w:tc>
      </w:tr>
      <w:tr>
        <w:tc>
          <w:tcPr/>
          <w:p>
            <w:pPr>
              <w:pStyle w:val="Compact"/>
              <w:jc w:val="left"/>
            </w:pPr>
            <w:r>
              <w:t xml:space="preserve">Term</w:t>
            </w:r>
          </w:p>
        </w:tc>
        <w:tc>
          <w:tcPr/>
          <w:p>
            <w:pPr>
              <w:pStyle w:val="Compact"/>
              <w:jc w:val="left"/>
            </w:pPr>
            <w:r>
              <w:t xml:space="preserve">7 yrs (ended 12/31/2024)</w:t>
            </w:r>
          </w:p>
        </w:tc>
        <w:tc>
          <w:tcPr/>
          <w:p>
            <w:pPr>
              <w:pStyle w:val="Compact"/>
              <w:jc w:val="left"/>
            </w:pPr>
            <w:r>
              <w:t xml:space="preserve">5 yrs (1/1/2025–12/31/2029)</w:t>
            </w:r>
          </w:p>
        </w:tc>
        <w:tc>
          <w:tcPr/>
          <w:p>
            <w:pPr>
              <w:pStyle w:val="Compact"/>
              <w:jc w:val="left"/>
            </w:pPr>
            <w:r>
              <w:t xml:space="preserve">Renewal</w:t>
            </w:r>
          </w:p>
        </w:tc>
        <w:tc>
          <w:tcPr/>
          <w:p>
            <w:pPr>
              <w:pStyle w:val="Compact"/>
              <w:jc w:val="left"/>
            </w:pPr>
            <w:r>
              <w:t xml:space="preserve">Accept 5 yrs; seek longest term</w:t>
            </w:r>
          </w:p>
        </w:tc>
      </w:tr>
    </w:tbl>
    <w:bookmarkEnd w:id="30"/>
    <w:bookmarkStart w:id="31" w:name="c.-key-issues-1"/>
    <w:p>
      <w:pPr>
        <w:pStyle w:val="Heading3"/>
      </w:pPr>
      <w:r>
        <w:t xml:space="preserve">C. Key issues</w:t>
      </w:r>
    </w:p>
    <w:p>
      <w:pPr>
        <w:pStyle w:val="FirstParagraph"/>
      </w:pPr>
      <w:r>
        <w:rPr>
          <w:b/>
          <w:bCs/>
        </w:rPr>
        <w:t xml:space="preserve">1. TraitForge is irreplaceable — this is the one license where NovaTrait has genuine leverage.</w:t>
      </w:r>
      <w:r>
        <w:t xml:space="preserve"> </w:t>
      </w:r>
      <w:r>
        <w:t xml:space="preserve">Clarendon rates the TraitForge portfolio</w:t>
      </w:r>
      <w:r>
        <w:t xml:space="preserve"> </w:t>
      </w:r>
      <w:r>
        <w:rPr>
          <w:b/>
          <w:bCs/>
        </w:rPr>
        <w:t xml:space="preserve">VERY STRONG</w:t>
      </w:r>
      <w:r>
        <w:t xml:space="preserve"> </w:t>
      </w:r>
      <w:r>
        <w:t xml:space="preserve">and found</w:t>
      </w:r>
      <w:r>
        <w:t xml:space="preserve"> </w:t>
      </w:r>
      <w:r>
        <w:rPr>
          <w:b/>
          <w:bCs/>
        </w:rPr>
        <w:t xml:space="preserve">no commercial alternatives</w:t>
      </w:r>
      <w:r>
        <w:t xml:space="preserve">: the proprietary promoter-enhancer system (U.S. 10,443,076) has no equivalent in the patent literature or marketplace, and the biological materials are not available from any other source. Internal development of a comparable platform is estimated at</w:t>
      </w:r>
      <w:r>
        <w:t xml:space="preserve"> </w:t>
      </w:r>
      <w:r>
        <w:rPr>
          <w:b/>
          <w:bCs/>
        </w:rPr>
        <w:t xml:space="preserve">$24.3–33.7M over 3–4 years</w:t>
      </w:r>
      <w:r>
        <w:t xml:space="preserve"> </w:t>
      </w:r>
      <w:r>
        <w:t xml:space="preserve">with no guarantee of success, and $44.3–66.7M including opportunity/revenue-at-risk. Patent terms extend to 2036–2038, well beyond any renewal period.</w:t>
      </w:r>
      <w:r>
        <w:t xml:space="preserve"> </w:t>
      </w:r>
      <w:r>
        <w:rPr>
          <w:b/>
          <w:bCs/>
        </w:rPr>
        <w:t xml:space="preserve">Strategic implication:</w:t>
      </w:r>
      <w:r>
        <w:t xml:space="preserve"> </w:t>
      </w:r>
      <w:r>
        <w:t xml:space="preserve">Greenfield should secure the</w:t>
      </w:r>
      <w:r>
        <w:t xml:space="preserve"> </w:t>
      </w:r>
      <w:r>
        <w:rPr>
          <w:i/>
          <w:iCs/>
        </w:rPr>
        <w:t xml:space="preserve">longest</w:t>
      </w:r>
      <w:r>
        <w:t xml:space="preserve"> </w:t>
      </w:r>
      <w:r>
        <w:t xml:space="preserve">reasonable renewal term to lock in rates, while still challenging any rate above the 3.0–4.5% market range.</w:t>
      </w:r>
    </w:p>
    <w:p>
      <w:pPr>
        <w:pStyle w:val="BodyText"/>
      </w:pPr>
      <w:r>
        <w:rPr>
          <w:b/>
          <w:bCs/>
        </w:rPr>
        <w:t xml:space="preserve">2. The 30-day biological-materials return is operationally dangerous and must be rejected.</w:t>
      </w:r>
      <w:r>
        <w:t xml:space="preserve"> </w:t>
      </w:r>
      <w:r>
        <w:t xml:space="preserve">The Proposal would replace the current 90-day wind-down (which permits continued use of materials in already-initiated breeding programs and field trials, subject to ongoing royalties) with a 30-day return-or-destroy obligation and</w:t>
      </w:r>
      <w:r>
        <w:t xml:space="preserve"> </w:t>
      </w:r>
      <w:r>
        <w:rPr>
          <w:i/>
          <w:iCs/>
        </w:rPr>
        <w:t xml:space="preserve">no</w:t>
      </w:r>
      <w:r>
        <w:t xml:space="preserve"> </w:t>
      </w:r>
      <w:r>
        <w:t xml:space="preserve">wind-down. This would force Greenfield to abandon in-progress trials and breeding cycles and would simultaneously disrupt the Prairielands sublicense.</w:t>
      </w:r>
      <w:r>
        <w:t xml:space="preserve"> </w:t>
      </w:r>
      <w:r>
        <w:rPr>
          <w:b/>
          <w:bCs/>
        </w:rPr>
        <w:t xml:space="preserve">Greenfield’s position:</w:t>
      </w:r>
      <w:r>
        <w:t xml:space="preserve"> </w:t>
      </w:r>
      <w:r>
        <w:t xml:space="preserve">retain at least a</w:t>
      </w:r>
      <w:r>
        <w:t xml:space="preserve"> </w:t>
      </w:r>
      <w:r>
        <w:rPr>
          <w:b/>
          <w:bCs/>
        </w:rPr>
        <w:t xml:space="preserve">180-day wind-down</w:t>
      </w:r>
      <w:r>
        <w:t xml:space="preserve"> </w:t>
      </w:r>
      <w:r>
        <w:t xml:space="preserve">with the right to continue using remaining materials in ongoing trials, consistent with the current §7.4 framework. This is also the single most important protection if the standstill lapses.</w:t>
      </w:r>
    </w:p>
    <w:p>
      <w:pPr>
        <w:pStyle w:val="BodyText"/>
      </w:pPr>
      <w:r>
        <w:rPr>
          <w:b/>
          <w:bCs/>
        </w:rPr>
        <w:t xml:space="preserve">3. The audit expansion is burdensome.</w:t>
      </w:r>
      <w:r>
        <w:t xml:space="preserve"> </w:t>
      </w:r>
      <w:r>
        <w:t xml:space="preserve">Doubling audit frequency to twice per year, cutting notice to 15 business days, and extending the lookback to five years materially increases compliance burden and intrusion. Greenfield should retain the current once-per-year frequency and accept at most a modest notice reduction (20 business days) and a 3-year lookback.</w:t>
      </w:r>
    </w:p>
    <w:p>
      <w:pPr>
        <w:pStyle w:val="BodyText"/>
      </w:pPr>
      <w:r>
        <w:rPr>
          <w:b/>
          <w:bCs/>
        </w:rPr>
        <w:t xml:space="preserve">4. The proposed 5.0% rate exceeds market.</w:t>
      </w:r>
      <w:r>
        <w:t xml:space="preserve"> </w:t>
      </w:r>
      <w:r>
        <w:t xml:space="preserve">Clarendon and the Ridgemont comparables place trait-expression platform rates at 3.0–4.5% (median 3.25%, mean 3.58%). Even accounting for TraitForge’s irreplaceability, 5.0% is above the market high. Greenfield should counter at</w:t>
      </w:r>
      <w:r>
        <w:t xml:space="preserve"> </w:t>
      </w:r>
      <w:r>
        <w:rPr>
          <w:b/>
          <w:bCs/>
        </w:rPr>
        <w:t xml:space="preserve">4.25%</w:t>
      </w:r>
      <w:r>
        <w:t xml:space="preserve"> </w:t>
      </w:r>
      <w:r>
        <w:t xml:space="preserve">on the original Net Sales definition.</w:t>
      </w:r>
    </w:p>
    <w:bookmarkEnd w:id="31"/>
    <w:bookmarkStart w:id="32" w:name="d.-recommended-license-b-position"/>
    <w:p>
      <w:pPr>
        <w:pStyle w:val="Heading3"/>
      </w:pPr>
      <w:r>
        <w:t xml:space="preserve">D. Recommended License B position</w:t>
      </w:r>
    </w:p>
    <w:p>
      <w:pPr>
        <w:pStyle w:val="Compact"/>
        <w:numPr>
          <w:ilvl w:val="0"/>
          <w:numId w:val="1008"/>
        </w:numPr>
      </w:pPr>
      <w:r>
        <w:rPr>
          <w:b/>
          <w:bCs/>
        </w:rPr>
        <w:t xml:space="preserve">Royalty:</w:t>
      </w:r>
      <w:r>
        <w:t xml:space="preserve"> </w:t>
      </w:r>
      <w:r>
        <w:t xml:space="preserve">4.25% on the original Net Sales definition.</w:t>
      </w:r>
    </w:p>
    <w:p>
      <w:pPr>
        <w:pStyle w:val="Compact"/>
        <w:numPr>
          <w:ilvl w:val="0"/>
          <w:numId w:val="1008"/>
        </w:numPr>
      </w:pPr>
      <w:r>
        <w:rPr>
          <w:b/>
          <w:bCs/>
        </w:rPr>
        <w:t xml:space="preserve">MAR:</w:t>
      </w:r>
      <w:r>
        <w:t xml:space="preserve"> </w:t>
      </w:r>
      <w:r>
        <w:t xml:space="preserve">$3.0–3.5M (not $5.0M).</w:t>
      </w:r>
    </w:p>
    <w:p>
      <w:pPr>
        <w:pStyle w:val="Compact"/>
        <w:numPr>
          <w:ilvl w:val="0"/>
          <w:numId w:val="1008"/>
        </w:numPr>
      </w:pPr>
      <w:r>
        <w:rPr>
          <w:b/>
          <w:bCs/>
        </w:rPr>
        <w:t xml:space="preserve">Bio materials:</w:t>
      </w:r>
      <w:r>
        <w:t xml:space="preserve"> </w:t>
      </w:r>
      <w:r>
        <w:t xml:space="preserve">retain 90-day wind-down minimum; seek 180-day wind-down.</w:t>
      </w:r>
    </w:p>
    <w:p>
      <w:pPr>
        <w:pStyle w:val="Compact"/>
        <w:numPr>
          <w:ilvl w:val="0"/>
          <w:numId w:val="1008"/>
        </w:numPr>
      </w:pPr>
      <w:r>
        <w:rPr>
          <w:b/>
          <w:bCs/>
        </w:rPr>
        <w:t xml:space="preserve">Audit:</w:t>
      </w:r>
      <w:r>
        <w:t xml:space="preserve"> </w:t>
      </w:r>
      <w:r>
        <w:t xml:space="preserve">retain 1×/year; 20 business days’ notice; 3-year lookback.</w:t>
      </w:r>
    </w:p>
    <w:p>
      <w:pPr>
        <w:pStyle w:val="Compact"/>
        <w:numPr>
          <w:ilvl w:val="0"/>
          <w:numId w:val="1008"/>
        </w:numPr>
      </w:pPr>
      <w:r>
        <w:rPr>
          <w:b/>
          <w:bCs/>
        </w:rPr>
        <w:t xml:space="preserve">Improvements:</w:t>
      </w:r>
      <w:r>
        <w:t xml:space="preserve"> </w:t>
      </w:r>
      <w:r>
        <w:t xml:space="preserve">retain the current split-ownership structure (reject joint ownership + royalty-free grant-back).</w:t>
      </w:r>
    </w:p>
    <w:p>
      <w:pPr>
        <w:pStyle w:val="Compact"/>
        <w:numPr>
          <w:ilvl w:val="0"/>
          <w:numId w:val="1008"/>
        </w:numPr>
      </w:pPr>
      <w:r>
        <w:rPr>
          <w:b/>
          <w:bCs/>
        </w:rPr>
        <w:t xml:space="preserve">Prairielands pass-through:</w:t>
      </w:r>
      <w:r>
        <w:t xml:space="preserve"> </w:t>
      </w:r>
      <w:r>
        <w:t xml:space="preserve">resist any new pass-through; if unavoidable, counter 20% with a 12-month phase-in (see §VIII.C).</w:t>
      </w:r>
    </w:p>
    <w:p>
      <w:pPr>
        <w:pStyle w:val="Compact"/>
        <w:numPr>
          <w:ilvl w:val="0"/>
          <w:numId w:val="1008"/>
        </w:numPr>
      </w:pPr>
      <w:r>
        <w:rPr>
          <w:b/>
          <w:bCs/>
        </w:rPr>
        <w:t xml:space="preserve">Term:</w:t>
      </w:r>
      <w:r>
        <w:t xml:space="preserve"> </w:t>
      </w:r>
      <w:r>
        <w:t xml:space="preserve">5 years (to December 31, 2029) with a further 3-year option;</w:t>
      </w:r>
      <w:r>
        <w:t xml:space="preserve"> </w:t>
      </w:r>
      <w:r>
        <w:rPr>
          <w:b/>
          <w:bCs/>
        </w:rPr>
        <w:t xml:space="preserve">extend the standstill to December 31, 2025 immediately.</w:t>
      </w:r>
    </w:p>
    <w:p>
      <w:r>
        <w:pict>
          <v:rect style="width:0;height:1.5pt" o:hralign="center" o:hrstd="t" o:hr="t"/>
        </w:pict>
      </w:r>
    </w:p>
    <w:bookmarkEnd w:id="32"/>
    <w:bookmarkEnd w:id="33"/>
    <w:bookmarkStart w:id="38" w:name="vii.-license-c-genomap-pro-software"/>
    <w:p>
      <w:pPr>
        <w:pStyle w:val="Heading2"/>
      </w:pPr>
      <w:r>
        <w:t xml:space="preserve">VII. License C — GenoMap Pro Software</w:t>
      </w:r>
    </w:p>
    <w:bookmarkStart w:id="34" w:name="a.-current-terms-snapshot-2"/>
    <w:p>
      <w:pPr>
        <w:pStyle w:val="Heading3"/>
      </w:pPr>
      <w:r>
        <w:t xml:space="preserve">A. Current terms (snapshot)</w:t>
      </w:r>
    </w:p>
    <w:p>
      <w:pPr>
        <w:pStyle w:val="Compact"/>
        <w:numPr>
          <w:ilvl w:val="0"/>
          <w:numId w:val="1009"/>
        </w:numPr>
      </w:pPr>
      <w:r>
        <w:rPr>
          <w:b/>
          <w:bCs/>
        </w:rPr>
        <w:t xml:space="preserve">Term:</w:t>
      </w:r>
      <w:r>
        <w:t xml:space="preserve"> </w:t>
      </w:r>
      <w:r>
        <w:t xml:space="preserve">5 years, expiring</w:t>
      </w:r>
      <w:r>
        <w:t xml:space="preserve"> </w:t>
      </w:r>
      <w:r>
        <w:rPr>
          <w:b/>
          <w:bCs/>
        </w:rPr>
        <w:t xml:space="preserve">February 28, 2025</w:t>
      </w:r>
      <w:r>
        <w:t xml:space="preserve">; renewal notice due November 30, 2024.</w:t>
      </w:r>
    </w:p>
    <w:p>
      <w:pPr>
        <w:pStyle w:val="Compact"/>
        <w:numPr>
          <w:ilvl w:val="0"/>
          <w:numId w:val="1009"/>
        </w:numPr>
      </w:pPr>
      <w:r>
        <w:rPr>
          <w:b/>
          <w:bCs/>
        </w:rPr>
        <w:t xml:space="preserve">Grant:</w:t>
      </w:r>
      <w:r>
        <w:t xml:space="preserve"> </w:t>
      </w:r>
      <w:r>
        <w:t xml:space="preserve">Non-exclusive, internal business use, worldwide (§2.1);</w:t>
      </w:r>
      <w:r>
        <w:t xml:space="preserve"> </w:t>
      </w:r>
      <w:r>
        <w:rPr>
          <w:b/>
          <w:bCs/>
        </w:rPr>
        <w:t xml:space="preserve">no sublicensing</w:t>
      </w:r>
      <w:r>
        <w:t xml:space="preserve"> </w:t>
      </w:r>
      <w:r>
        <w:t xml:space="preserve">(§2.4).</w:t>
      </w:r>
    </w:p>
    <w:p>
      <w:pPr>
        <w:pStyle w:val="Compact"/>
        <w:numPr>
          <w:ilvl w:val="0"/>
          <w:numId w:val="1009"/>
        </w:numPr>
      </w:pPr>
      <w:r>
        <w:rPr>
          <w:b/>
          <w:bCs/>
        </w:rPr>
        <w:t xml:space="preserve">Fee:</w:t>
      </w:r>
      <w:r>
        <w:t xml:space="preserve"> </w:t>
      </w:r>
      <w:r>
        <w:t xml:space="preserve">$3.14M flat annual ($785K/quarter), inclusive of Minor Updates and support (§4.1); unlimited users.</w:t>
      </w:r>
    </w:p>
    <w:p>
      <w:pPr>
        <w:pStyle w:val="Compact"/>
        <w:numPr>
          <w:ilvl w:val="0"/>
          <w:numId w:val="1009"/>
        </w:numPr>
      </w:pPr>
      <w:r>
        <w:rPr>
          <w:b/>
          <w:bCs/>
        </w:rPr>
        <w:t xml:space="preserve">Source code:</w:t>
      </w:r>
      <w:r>
        <w:t xml:space="preserve"> </w:t>
      </w:r>
      <w:r>
        <w:t xml:space="preserve">Full source-code access for internal modification (§5.2); source-code escrow with release conditions (§5.3).</w:t>
      </w:r>
    </w:p>
    <w:p>
      <w:pPr>
        <w:pStyle w:val="Compact"/>
        <w:numPr>
          <w:ilvl w:val="0"/>
          <w:numId w:val="1009"/>
        </w:numPr>
      </w:pPr>
      <w:r>
        <w:rPr>
          <w:b/>
          <w:bCs/>
        </w:rPr>
        <w:t xml:space="preserve">Licensee Modifications:</w:t>
      </w:r>
      <w:r>
        <w:t xml:space="preserve"> </w:t>
      </w:r>
      <w:r>
        <w:t xml:space="preserve">Owned by Greenfield; royalty-free license back to NovaTrait (§5.2(b)).</w:t>
      </w:r>
    </w:p>
    <w:p>
      <w:pPr>
        <w:pStyle w:val="Compact"/>
        <w:numPr>
          <w:ilvl w:val="0"/>
          <w:numId w:val="1009"/>
        </w:numPr>
      </w:pPr>
      <w:r>
        <w:rPr>
          <w:b/>
          <w:bCs/>
        </w:rPr>
        <w:t xml:space="preserve">Data ownership:</w:t>
      </w:r>
      <w:r>
        <w:t xml:space="preserve"> </w:t>
      </w:r>
      <w:r>
        <w:t xml:space="preserve">Input Data owned by Greenfield (§9.2); Derivative Data (outputs)</w:t>
      </w:r>
      <w:r>
        <w:t xml:space="preserve"> </w:t>
      </w:r>
      <w:r>
        <w:rPr>
          <w:b/>
          <w:bCs/>
        </w:rPr>
        <w:t xml:space="preserve">not addressed</w:t>
      </w:r>
      <w:r>
        <w:t xml:space="preserve">.</w:t>
      </w:r>
    </w:p>
    <w:p>
      <w:pPr>
        <w:pStyle w:val="Compact"/>
        <w:numPr>
          <w:ilvl w:val="0"/>
          <w:numId w:val="1009"/>
        </w:numPr>
      </w:pPr>
      <w:r>
        <w:rPr>
          <w:b/>
          <w:bCs/>
        </w:rPr>
        <w:t xml:space="preserve">Version:</w:t>
      </w:r>
      <w:r>
        <w:t xml:space="preserve"> </w:t>
      </w:r>
      <w:r>
        <w:t xml:space="preserve">4.x; Major Version Upgrades (e.g., 5.x) not included (§6.2).</w:t>
      </w:r>
    </w:p>
    <w:p>
      <w:pPr>
        <w:pStyle w:val="Compact"/>
        <w:numPr>
          <w:ilvl w:val="0"/>
          <w:numId w:val="1009"/>
        </w:numPr>
      </w:pPr>
      <w:r>
        <w:rPr>
          <w:b/>
          <w:bCs/>
        </w:rPr>
        <w:t xml:space="preserve">Liability cap:</w:t>
      </w:r>
      <w:r>
        <w:t xml:space="preserve"> </w:t>
      </w:r>
      <w:r>
        <w:t xml:space="preserve">12 months of fees (~$3.14M) (§12.2); binding AAA arbitration in Boston (§13.2).</w:t>
      </w:r>
    </w:p>
    <w:bookmarkEnd w:id="34"/>
    <w:bookmarkStart w:id="35" w:name="b.-proposed-changes-and-assessment-2"/>
    <w:p>
      <w:pPr>
        <w:pStyle w:val="Heading3"/>
      </w:pPr>
      <w:r>
        <w:t xml:space="preserve">B. Proposed changes and assessment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Current</w:t>
            </w:r>
          </w:p>
        </w:tc>
        <w:tc>
          <w:tcPr/>
          <w:p>
            <w:pPr>
              <w:pStyle w:val="Compact"/>
              <w:jc w:val="left"/>
            </w:pPr>
            <w:r>
              <w:t xml:space="preserve">Proposed</w:t>
            </w:r>
          </w:p>
        </w:tc>
        <w:tc>
          <w:tcPr/>
          <w:p>
            <w:pPr>
              <w:pStyle w:val="Compact"/>
              <w:jc w:val="left"/>
            </w:pPr>
            <w:r>
              <w:t xml:space="preserve">Direction</w:t>
            </w:r>
          </w:p>
        </w:tc>
        <w:tc>
          <w:tcPr/>
          <w:p>
            <w:pPr>
              <w:pStyle w:val="Compact"/>
              <w:jc w:val="left"/>
            </w:pPr>
            <w:r>
              <w:t xml:space="preserve">Greenfield assessment</w:t>
            </w:r>
          </w:p>
        </w:tc>
      </w:tr>
      <w:tr>
        <w:tc>
          <w:tcPr/>
          <w:p>
            <w:pPr>
              <w:pStyle w:val="Compact"/>
              <w:jc w:val="left"/>
            </w:pPr>
            <w:r>
              <w:t xml:space="preserve">Annual fee</w:t>
            </w:r>
          </w:p>
        </w:tc>
        <w:tc>
          <w:tcPr/>
          <w:p>
            <w:pPr>
              <w:pStyle w:val="Compact"/>
              <w:jc w:val="left"/>
            </w:pPr>
            <w:r>
              <w:t xml:space="preserve">~$3.14M (unlimited users)</w:t>
            </w:r>
          </w:p>
        </w:tc>
        <w:tc>
          <w:tcPr/>
          <w:p>
            <w:pPr>
              <w:pStyle w:val="Compact"/>
              <w:jc w:val="left"/>
            </w:pPr>
            <w:r>
              <w:t xml:space="preserve">~$5.28M ($4.85M base + 50-user cap + $18.5K/user overage for 23 excess users)</w:t>
            </w:r>
          </w:p>
        </w:tc>
        <w:tc>
          <w:tcPr/>
          <w:p>
            <w:pPr>
              <w:pStyle w:val="Compact"/>
              <w:jc w:val="left"/>
            </w:pPr>
            <w:r>
              <w:t xml:space="preserve">+68%</w:t>
            </w:r>
          </w:p>
        </w:tc>
        <w:tc>
          <w:tcPr/>
          <w:p>
            <w:pPr>
              <w:pStyle w:val="Compact"/>
              <w:jc w:val="left"/>
            </w:pPr>
            <w:r>
              <w:rPr>
                <w:b/>
                <w:bCs/>
              </w:rPr>
              <w:t xml:space="preserve">31.9% above market high</w:t>
            </w:r>
            <w:r>
              <w:t xml:space="preserve">; reject</w:t>
            </w:r>
          </w:p>
        </w:tc>
      </w:tr>
      <w:tr>
        <w:tc>
          <w:tcPr/>
          <w:p>
            <w:pPr>
              <w:pStyle w:val="Compact"/>
              <w:jc w:val="left"/>
            </w:pPr>
            <w:r>
              <w:t xml:space="preserve">One-time costs</w:t>
            </w:r>
          </w:p>
        </w:tc>
        <w:tc>
          <w:tcPr/>
          <w:p>
            <w:pPr>
              <w:pStyle w:val="Compact"/>
              <w:jc w:val="left"/>
            </w:pPr>
            <w:r>
              <w:t xml:space="preserve">None</w:t>
            </w:r>
          </w:p>
        </w:tc>
        <w:tc>
          <w:tcPr/>
          <w:p>
            <w:pPr>
              <w:pStyle w:val="Compact"/>
              <w:jc w:val="left"/>
            </w:pPr>
            <w:r>
              <w:t xml:space="preserve">$175K conversion tool + ~$95K integration</w:t>
            </w:r>
          </w:p>
        </w:tc>
        <w:tc>
          <w:tcPr/>
          <w:p>
            <w:pPr>
              <w:pStyle w:val="Compact"/>
              <w:jc w:val="left"/>
            </w:pPr>
            <w:r>
              <w:t xml:space="preserve">New</w:t>
            </w:r>
          </w:p>
        </w:tc>
        <w:tc>
          <w:tcPr/>
          <w:p>
            <w:pPr>
              <w:pStyle w:val="Compact"/>
              <w:jc w:val="left"/>
            </w:pPr>
            <w:r>
              <w:t xml:space="preserve">Should be included in renewal fee</w:t>
            </w:r>
          </w:p>
        </w:tc>
      </w:tr>
      <w:tr>
        <w:tc>
          <w:tcPr/>
          <w:p>
            <w:pPr>
              <w:pStyle w:val="Compact"/>
              <w:jc w:val="left"/>
            </w:pPr>
            <w:r>
              <w:t xml:space="preserve">Software version</w:t>
            </w:r>
          </w:p>
        </w:tc>
        <w:tc>
          <w:tcPr/>
          <w:p>
            <w:pPr>
              <w:pStyle w:val="Compact"/>
              <w:jc w:val="left"/>
            </w:pPr>
            <w:r>
              <w:t xml:space="preserve">4.x</w:t>
            </w:r>
          </w:p>
        </w:tc>
        <w:tc>
          <w:tcPr/>
          <w:p>
            <w:pPr>
              <w:pStyle w:val="Compact"/>
              <w:jc w:val="left"/>
            </w:pPr>
            <w:r>
              <w:t xml:space="preserve">5.x (ML trait prediction, ~22% accuracy gain)</w:t>
            </w:r>
          </w:p>
        </w:tc>
        <w:tc>
          <w:tcPr/>
          <w:p>
            <w:pPr>
              <w:pStyle w:val="Compact"/>
              <w:jc w:val="left"/>
            </w:pPr>
            <w:r>
              <w:t xml:space="preserve">Upgraded</w:t>
            </w:r>
          </w:p>
        </w:tc>
        <w:tc>
          <w:tcPr/>
          <w:p>
            <w:pPr>
              <w:pStyle w:val="Compact"/>
              <w:jc w:val="left"/>
            </w:pPr>
            <w:r>
              <w:t xml:space="preserve">Welcome, but not at this price</w:t>
            </w:r>
          </w:p>
        </w:tc>
      </w:tr>
      <w:tr>
        <w:tc>
          <w:tcPr/>
          <w:p>
            <w:pPr>
              <w:pStyle w:val="Compact"/>
              <w:jc w:val="left"/>
            </w:pPr>
            <w:r>
              <w:t xml:space="preserve">Source-code access (§5.2)</w:t>
            </w:r>
          </w:p>
        </w:tc>
        <w:tc>
          <w:tcPr/>
          <w:p>
            <w:pPr>
              <w:pStyle w:val="Compact"/>
              <w:jc w:val="left"/>
            </w:pPr>
            <w:r>
              <w:t xml:space="preserve">Full access for internal modification</w:t>
            </w:r>
          </w:p>
        </w:tc>
        <w:tc>
          <w:tcPr/>
          <w:p>
            <w:pPr>
              <w:pStyle w:val="Compact"/>
              <w:jc w:val="left"/>
            </w:pPr>
            <w:r>
              <w:rPr>
                <w:b/>
                <w:bCs/>
              </w:rPr>
              <w:t xml:space="preserve">Eliminated</w:t>
            </w:r>
            <w:r>
              <w:t xml:space="preserve"> </w:t>
            </w:r>
            <w:r>
              <w:t xml:space="preserve">(object code only); escrow retained</w:t>
            </w:r>
          </w:p>
        </w:tc>
        <w:tc>
          <w:tcPr/>
          <w:p>
            <w:pPr>
              <w:pStyle w:val="Compact"/>
              <w:jc w:val="left"/>
            </w:pPr>
            <w:r>
              <w:rPr>
                <w:b/>
                <w:bCs/>
              </w:rPr>
              <w:t xml:space="preserve">Narrowed</w:t>
            </w:r>
          </w:p>
        </w:tc>
        <w:tc>
          <w:tcPr/>
          <w:p>
            <w:pPr>
              <w:pStyle w:val="Compact"/>
              <w:jc w:val="left"/>
            </w:pPr>
            <w:r>
              <w:rPr>
                <w:b/>
                <w:bCs/>
              </w:rPr>
              <w:t xml:space="preserve">Material adverse change</w:t>
            </w:r>
            <w:r>
              <w:t xml:space="preserve"> </w:t>
            </w:r>
            <w:r>
              <w:t xml:space="preserve">— reject</w:t>
            </w:r>
          </w:p>
        </w:tc>
      </w:tr>
      <w:tr>
        <w:tc>
          <w:tcPr/>
          <w:p>
            <w:pPr>
              <w:pStyle w:val="Compact"/>
              <w:jc w:val="left"/>
            </w:pPr>
            <w:r>
              <w:t xml:space="preserve">Existing modifications</w:t>
            </w:r>
          </w:p>
        </w:tc>
        <w:tc>
          <w:tcPr/>
          <w:p>
            <w:pPr>
              <w:pStyle w:val="Compact"/>
              <w:jc w:val="left"/>
            </w:pPr>
            <w:r>
              <w:t xml:space="preserve">Greenfield-owned</w:t>
            </w:r>
          </w:p>
        </w:tc>
        <w:tc>
          <w:tcPr/>
          <w:p>
            <w:pPr>
              <w:pStyle w:val="Compact"/>
              <w:jc w:val="left"/>
            </w:pPr>
            <w:r>
              <w:t xml:space="preserve">Jointly owned</w:t>
            </w:r>
            <w:r>
              <w:t xml:space="preserve"> </w:t>
            </w:r>
            <w:r>
              <w:rPr>
                <w:i/>
                <w:iCs/>
              </w:rPr>
              <w:t xml:space="preserve">or</w:t>
            </w:r>
            <w:r>
              <w:t xml:space="preserve"> </w:t>
            </w:r>
            <w:r>
              <w:t xml:space="preserve">purchased by NovaTrait</w:t>
            </w:r>
          </w:p>
        </w:tc>
        <w:tc>
          <w:tcPr/>
          <w:p>
            <w:pPr>
              <w:pStyle w:val="Compact"/>
              <w:jc w:val="left"/>
            </w:pPr>
            <w:r>
              <w:t xml:space="preserve">Reversed</w:t>
            </w:r>
          </w:p>
        </w:tc>
        <w:tc>
          <w:tcPr/>
          <w:p>
            <w:pPr>
              <w:pStyle w:val="Compact"/>
              <w:jc w:val="left"/>
            </w:pPr>
            <w:r>
              <w:t xml:space="preserve">Reject; preserve Greenfield ownership</w:t>
            </w:r>
          </w:p>
        </w:tc>
      </w:tr>
      <w:tr>
        <w:tc>
          <w:tcPr/>
          <w:p>
            <w:pPr>
              <w:pStyle w:val="Compact"/>
              <w:jc w:val="left"/>
            </w:pPr>
            <w:r>
              <w:t xml:space="preserve">Input Data ownership (§9.2)</w:t>
            </w:r>
          </w:p>
        </w:tc>
        <w:tc>
          <w:tcPr/>
          <w:p>
            <w:pPr>
              <w:pStyle w:val="Compact"/>
              <w:jc w:val="left"/>
            </w:pPr>
            <w:r>
              <w:t xml:space="preserve">Greenfield</w:t>
            </w:r>
          </w:p>
        </w:tc>
        <w:tc>
          <w:tcPr/>
          <w:p>
            <w:pPr>
              <w:pStyle w:val="Compact"/>
              <w:jc w:val="left"/>
            </w:pPr>
            <w:r>
              <w:t xml:space="preserve">Greenfield</w:t>
            </w:r>
          </w:p>
        </w:tc>
        <w:tc>
          <w:tcPr/>
          <w:p>
            <w:pPr>
              <w:pStyle w:val="Compact"/>
              <w:jc w:val="left"/>
            </w:pPr>
            <w:r>
              <w:t xml:space="preserve">Unchanged</w:t>
            </w:r>
          </w:p>
        </w:tc>
        <w:tc>
          <w:tcPr/>
          <w:p>
            <w:pPr>
              <w:pStyle w:val="Compact"/>
              <w:jc w:val="left"/>
            </w:pPr>
            <w:r>
              <w:t xml:space="preserve">Accept</w:t>
            </w:r>
          </w:p>
        </w:tc>
      </w:tr>
      <w:tr>
        <w:tc>
          <w:tcPr/>
          <w:p>
            <w:pPr>
              <w:pStyle w:val="Compact"/>
              <w:jc w:val="left"/>
            </w:pPr>
            <w:r>
              <w:t xml:space="preserve">Derivative Data ownership</w:t>
            </w:r>
          </w:p>
        </w:tc>
        <w:tc>
          <w:tcPr/>
          <w:p>
            <w:pPr>
              <w:pStyle w:val="Compact"/>
              <w:jc w:val="left"/>
            </w:pPr>
            <w:r>
              <w:t xml:space="preserve">Silent</w:t>
            </w:r>
          </w:p>
        </w:tc>
        <w:tc>
          <w:tcPr/>
          <w:p>
            <w:pPr>
              <w:pStyle w:val="Compact"/>
              <w:jc w:val="left"/>
            </w:pPr>
            <w:r>
              <w:rPr>
                <w:b/>
                <w:bCs/>
              </w:rPr>
              <w:t xml:space="preserve">NovaTrait owns</w:t>
            </w:r>
            <w:r>
              <w:t xml:space="preserve">; Greenfield non-exclusive license</w:t>
            </w:r>
          </w:p>
        </w:tc>
        <w:tc>
          <w:tcPr/>
          <w:p>
            <w:pPr>
              <w:pStyle w:val="Compact"/>
              <w:jc w:val="left"/>
            </w:pPr>
            <w:r>
              <w:rPr>
                <w:b/>
                <w:bCs/>
              </w:rPr>
              <w:t xml:space="preserve">New/narrowed</w:t>
            </w:r>
          </w:p>
        </w:tc>
        <w:tc>
          <w:tcPr/>
          <w:p>
            <w:pPr>
              <w:pStyle w:val="Compact"/>
              <w:jc w:val="left"/>
            </w:pPr>
            <w:r>
              <w:rPr>
                <w:b/>
                <w:bCs/>
              </w:rPr>
              <w:t xml:space="preserve">Material adverse change</w:t>
            </w:r>
            <w:r>
              <w:t xml:space="preserve"> </w:t>
            </w:r>
            <w:r>
              <w:t xml:space="preserve">— reject</w:t>
            </w:r>
          </w:p>
        </w:tc>
      </w:tr>
      <w:tr>
        <w:tc>
          <w:tcPr/>
          <w:p>
            <w:pPr>
              <w:pStyle w:val="Compact"/>
              <w:jc w:val="left"/>
            </w:pPr>
            <w:r>
              <w:t xml:space="preserve">Term</w:t>
            </w:r>
          </w:p>
        </w:tc>
        <w:tc>
          <w:tcPr/>
          <w:p>
            <w:pPr>
              <w:pStyle w:val="Compact"/>
              <w:jc w:val="left"/>
            </w:pPr>
            <w:r>
              <w:t xml:space="preserve">5 yrs (to 2/28/2025)</w:t>
            </w:r>
          </w:p>
        </w:tc>
        <w:tc>
          <w:tcPr/>
          <w:p>
            <w:pPr>
              <w:pStyle w:val="Compact"/>
              <w:jc w:val="left"/>
            </w:pPr>
            <w:r>
              <w:t xml:space="preserve">3 yrs (to 2/28/2028)</w:t>
            </w:r>
          </w:p>
        </w:tc>
        <w:tc>
          <w:tcPr/>
          <w:p>
            <w:pPr>
              <w:pStyle w:val="Compact"/>
              <w:jc w:val="left"/>
            </w:pPr>
            <w:r>
              <w:t xml:space="preserve">Shorter</w:t>
            </w:r>
          </w:p>
        </w:tc>
        <w:tc>
          <w:tcPr/>
          <w:p>
            <w:pPr>
              <w:pStyle w:val="Compact"/>
              <w:jc w:val="left"/>
            </w:pPr>
            <w:r>
              <w:t xml:space="preserve">Accept 3 yrs</w:t>
            </w:r>
          </w:p>
        </w:tc>
      </w:tr>
      <w:tr>
        <w:tc>
          <w:tcPr/>
          <w:p>
            <w:pPr>
              <w:pStyle w:val="Compact"/>
              <w:jc w:val="left"/>
            </w:pPr>
            <w:r>
              <w:t xml:space="preserve">Audit (§4.6)</w:t>
            </w:r>
          </w:p>
        </w:tc>
        <w:tc>
          <w:tcPr/>
          <w:p>
            <w:pPr>
              <w:pStyle w:val="Compact"/>
              <w:jc w:val="left"/>
            </w:pPr>
            <w:r>
              <w:t xml:space="preserve">1×/yr, 30 days’ notice</w:t>
            </w:r>
          </w:p>
        </w:tc>
        <w:tc>
          <w:tcPr/>
          <w:p>
            <w:pPr>
              <w:pStyle w:val="Compact"/>
              <w:jc w:val="left"/>
            </w:pPr>
            <w:r>
              <w:t xml:space="preserve">Unchanged</w:t>
            </w:r>
          </w:p>
        </w:tc>
        <w:tc>
          <w:tcPr/>
          <w:p>
            <w:pPr>
              <w:pStyle w:val="Compact"/>
              <w:jc w:val="left"/>
            </w:pPr>
            <w:r>
              <w:t xml:space="preserve">—</w:t>
            </w:r>
          </w:p>
        </w:tc>
        <w:tc>
          <w:tcPr/>
          <w:p>
            <w:pPr>
              <w:pStyle w:val="Compact"/>
              <w:jc w:val="left"/>
            </w:pPr>
            <w:r>
              <w:t xml:space="preserve">Accept</w:t>
            </w:r>
          </w:p>
        </w:tc>
      </w:tr>
    </w:tbl>
    <w:bookmarkEnd w:id="35"/>
    <w:bookmarkStart w:id="36" w:name="c.-key-issues-2"/>
    <w:p>
      <w:pPr>
        <w:pStyle w:val="Heading3"/>
      </w:pPr>
      <w:r>
        <w:t xml:space="preserve">C. Key issues</w:t>
      </w:r>
    </w:p>
    <w:p>
      <w:pPr>
        <w:pStyle w:val="FirstParagraph"/>
      </w:pPr>
      <w:r>
        <w:rPr>
          <w:b/>
          <w:bCs/>
        </w:rPr>
        <w:t xml:space="preserve">1. License C is the most substitutable license and the strongest re-pricing candidate.</w:t>
      </w:r>
      <w:r>
        <w:t xml:space="preserve"> </w:t>
      </w:r>
      <w:r>
        <w:t xml:space="preserve">Clarendon identifies three commercial alternatives — BioSphere Analytics (~$2.8M), PlantLogic Suite (~$3.5M), and TraitView Pro (~$1.8M) — with a market range of</w:t>
      </w:r>
      <w:r>
        <w:t xml:space="preserve"> </w:t>
      </w:r>
      <w:r>
        <w:rPr>
          <w:b/>
          <w:bCs/>
        </w:rPr>
        <w:t xml:space="preserve">$2.5–4.0M</w:t>
      </w:r>
      <w:r>
        <w:t xml:space="preserve"> </w:t>
      </w:r>
      <w:r>
        <w:t xml:space="preserve">annually. The proposed ~$5.28M effective cost is</w:t>
      </w:r>
      <w:r>
        <w:t xml:space="preserve"> </w:t>
      </w:r>
      <w:r>
        <w:rPr>
          <w:b/>
          <w:bCs/>
        </w:rPr>
        <w:t xml:space="preserve">31.9% above the market high</w:t>
      </w:r>
      <w:r>
        <w:t xml:space="preserve"> </w:t>
      </w:r>
      <w:r>
        <w:t xml:space="preserve">and ~65% above the comparable mean (~$3.05M). Switching costs are modest ($2.55–4.375M one-time) with break-even in</w:t>
      </w:r>
      <w:r>
        <w:t xml:space="preserve"> </w:t>
      </w:r>
      <w:r>
        <w:rPr>
          <w:b/>
          <w:bCs/>
        </w:rPr>
        <w:t xml:space="preserve">0.7–2.5 years</w:t>
      </w:r>
      <w:r>
        <w:t xml:space="preserve">. Greenfield should obtain competitive proposals from the alternatives to support its negotiating position and credibly signal willingness to switch.</w:t>
      </w:r>
    </w:p>
    <w:p>
      <w:pPr>
        <w:pStyle w:val="BodyText"/>
      </w:pPr>
      <w:r>
        <w:rPr>
          <w:b/>
          <w:bCs/>
        </w:rPr>
        <w:t xml:space="preserve">2. Loss of source-code access is a material adverse change.</w:t>
      </w:r>
      <w:r>
        <w:t xml:space="preserve"> </w:t>
      </w:r>
      <w:r>
        <w:t xml:space="preserve">Eliminating source-code access removes Greenfield’s ability to customize analytics pipelines built on the Version 4.x source — a significant R&amp;D capability. The Proposal’s treatment of existing Licensee Modifications (joint ownership or forced sale to NovaTrait) compounds the harm.</w:t>
      </w:r>
      <w:r>
        <w:t xml:space="preserve"> </w:t>
      </w:r>
      <w:r>
        <w:rPr>
          <w:b/>
          <w:bCs/>
        </w:rPr>
        <w:t xml:space="preserve">Greenfield’s position:</w:t>
      </w:r>
      <w:r>
        <w:t xml:space="preserve"> </w:t>
      </w:r>
      <w:r>
        <w:t xml:space="preserve">retain source-code access (with reasonable security/escrow provisions) and preserve Greenfield ownership of Licensee Modifications.</w:t>
      </w:r>
    </w:p>
    <w:p>
      <w:pPr>
        <w:pStyle w:val="BodyText"/>
      </w:pPr>
      <w:r>
        <w:rPr>
          <w:b/>
          <w:bCs/>
        </w:rPr>
        <w:t xml:space="preserve">3. The Derivative Data ownership grab is a material adverse change and must be rejected.</w:t>
      </w:r>
      <w:r>
        <w:t xml:space="preserve"> </w:t>
      </w:r>
      <w:r>
        <w:t xml:space="preserve">The Proposal would make NovaTrait the sole owner of all output/derivative data, licensing it back to Greenfield on a non-exclusive, non-transferable, term-limited basis that expires with the renewal. This directly conflicts with the §9.2 principle that Greenfield’s data remains its own and could jeopardize Greenfield’s proprietary trait-mapping datasets — a core competitive asset.</w:t>
      </w:r>
      <w:r>
        <w:t xml:space="preserve"> </w:t>
      </w:r>
      <w:r>
        <w:rPr>
          <w:b/>
          <w:bCs/>
        </w:rPr>
        <w:t xml:space="preserve">Greenfield’s position:</w:t>
      </w:r>
      <w:r>
        <w:t xml:space="preserve"> </w:t>
      </w:r>
      <w:r>
        <w:t xml:space="preserve">all output and derived data must be solely owned by Greenfield, consistent with §9.2.</w:t>
      </w:r>
    </w:p>
    <w:p>
      <w:pPr>
        <w:pStyle w:val="BodyText"/>
      </w:pPr>
      <w:r>
        <w:rPr>
          <w:b/>
          <w:bCs/>
        </w:rPr>
        <w:t xml:space="preserve">4. Operational dependency cuts both ways.</w:t>
      </w:r>
      <w:r>
        <w:t xml:space="preserve"> </w:t>
      </w:r>
      <w:r>
        <w:t xml:space="preserve">GenoMap Pro is integral to the License A and License B workflows, and a lapse would require 12–18 months to remediate. This argues for securing a holdover/bridge now (License C expires February 28, 2025), but it does</w:t>
      </w:r>
      <w:r>
        <w:t xml:space="preserve"> </w:t>
      </w:r>
      <w:r>
        <w:rPr>
          <w:i/>
          <w:iCs/>
        </w:rPr>
        <w:t xml:space="preserve">not</w:t>
      </w:r>
      <w:r>
        <w:t xml:space="preserve"> </w:t>
      </w:r>
      <w:r>
        <w:t xml:space="preserve">justify accepting the proposed economics — the alternatives can be migrated within the same 12–18 month window, and the switching analysis shows break-even well within the renewal term.</w:t>
      </w:r>
    </w:p>
    <w:bookmarkEnd w:id="36"/>
    <w:bookmarkStart w:id="37" w:name="d.-recommended-license-c-position"/>
    <w:p>
      <w:pPr>
        <w:pStyle w:val="Heading3"/>
      </w:pPr>
      <w:r>
        <w:t xml:space="preserve">D. Recommended License C position</w:t>
      </w:r>
    </w:p>
    <w:p>
      <w:pPr>
        <w:pStyle w:val="Compact"/>
        <w:numPr>
          <w:ilvl w:val="0"/>
          <w:numId w:val="1010"/>
        </w:numPr>
      </w:pPr>
      <w:r>
        <w:rPr>
          <w:b/>
          <w:bCs/>
        </w:rPr>
        <w:t xml:space="preserve">Fee:</w:t>
      </w:r>
      <w:r>
        <w:t xml:space="preserve"> </w:t>
      </w:r>
      <w:r>
        <w:t xml:space="preserve">$3.5–4.0M annually (within market range), with</w:t>
      </w:r>
      <w:r>
        <w:t xml:space="preserve"> </w:t>
      </w:r>
      <w:r>
        <w:rPr>
          <w:b/>
          <w:bCs/>
        </w:rPr>
        <w:t xml:space="preserve">no user cap</w:t>
      </w:r>
      <w:r>
        <w:t xml:space="preserve"> </w:t>
      </w:r>
      <w:r>
        <w:t xml:space="preserve">(or a cap of ≥100 users) and overage at no more than $12,000/user.</w:t>
      </w:r>
    </w:p>
    <w:p>
      <w:pPr>
        <w:pStyle w:val="Compact"/>
        <w:numPr>
          <w:ilvl w:val="0"/>
          <w:numId w:val="1010"/>
        </w:numPr>
      </w:pPr>
      <w:r>
        <w:rPr>
          <w:b/>
          <w:bCs/>
        </w:rPr>
        <w:t xml:space="preserve">One-time costs:</w:t>
      </w:r>
      <w:r>
        <w:t xml:space="preserve"> </w:t>
      </w:r>
      <w:r>
        <w:t xml:space="preserve">the Version 5.x conversion tool and migration assistance should be</w:t>
      </w:r>
      <w:r>
        <w:t xml:space="preserve"> </w:t>
      </w:r>
      <w:r>
        <w:rPr>
          <w:b/>
          <w:bCs/>
        </w:rPr>
        <w:t xml:space="preserve">included at no additional cost</w:t>
      </w:r>
      <w:r>
        <w:t xml:space="preserve"> </w:t>
      </w:r>
      <w:r>
        <w:t xml:space="preserve">as a condition of renewal.</w:t>
      </w:r>
    </w:p>
    <w:p>
      <w:pPr>
        <w:pStyle w:val="Compact"/>
        <w:numPr>
          <w:ilvl w:val="0"/>
          <w:numId w:val="1010"/>
        </w:numPr>
      </w:pPr>
      <w:r>
        <w:rPr>
          <w:b/>
          <w:bCs/>
        </w:rPr>
        <w:t xml:space="preserve">Source code:</w:t>
      </w:r>
      <w:r>
        <w:t xml:space="preserve"> </w:t>
      </w:r>
      <w:r>
        <w:t xml:space="preserve">retain source-code access for internal modification (with enhanced security/escrow).</w:t>
      </w:r>
    </w:p>
    <w:p>
      <w:pPr>
        <w:pStyle w:val="Compact"/>
        <w:numPr>
          <w:ilvl w:val="0"/>
          <w:numId w:val="1010"/>
        </w:numPr>
      </w:pPr>
      <w:r>
        <w:rPr>
          <w:b/>
          <w:bCs/>
        </w:rPr>
        <w:t xml:space="preserve">Data:</w:t>
      </w:r>
      <w:r>
        <w:t xml:space="preserve"> </w:t>
      </w:r>
      <w:r>
        <w:t xml:space="preserve">Greenfield retains sole ownership of all Input</w:t>
      </w:r>
      <w:r>
        <w:t xml:space="preserve"> </w:t>
      </w:r>
      <w:r>
        <w:rPr>
          <w:i/>
          <w:iCs/>
        </w:rPr>
        <w:t xml:space="preserve">and</w:t>
      </w:r>
      <w:r>
        <w:t xml:space="preserve"> </w:t>
      </w:r>
      <w:r>
        <w:t xml:space="preserve">Derivative Data; reject the NovaTrait-ownership clause.</w:t>
      </w:r>
    </w:p>
    <w:p>
      <w:pPr>
        <w:pStyle w:val="Compact"/>
        <w:numPr>
          <w:ilvl w:val="0"/>
          <w:numId w:val="1010"/>
        </w:numPr>
      </w:pPr>
      <w:r>
        <w:rPr>
          <w:b/>
          <w:bCs/>
        </w:rPr>
        <w:t xml:space="preserve">Modifications:</w:t>
      </w:r>
      <w:r>
        <w:t xml:space="preserve"> </w:t>
      </w:r>
      <w:r>
        <w:t xml:space="preserve">retain Greenfield ownership of Licensee Modifications.</w:t>
      </w:r>
    </w:p>
    <w:p>
      <w:pPr>
        <w:pStyle w:val="Compact"/>
        <w:numPr>
          <w:ilvl w:val="0"/>
          <w:numId w:val="1010"/>
        </w:numPr>
      </w:pPr>
      <w:r>
        <w:rPr>
          <w:b/>
          <w:bCs/>
        </w:rPr>
        <w:t xml:space="preserve">Term:</w:t>
      </w:r>
      <w:r>
        <w:t xml:space="preserve"> </w:t>
      </w:r>
      <w:r>
        <w:t xml:space="preserve">3 years (to February 28, 2028) with a single 3-year renewal option.</w:t>
      </w:r>
    </w:p>
    <w:p>
      <w:pPr>
        <w:pStyle w:val="Compact"/>
        <w:numPr>
          <w:ilvl w:val="0"/>
          <w:numId w:val="1010"/>
        </w:numPr>
      </w:pPr>
      <w:r>
        <w:rPr>
          <w:b/>
          <w:bCs/>
        </w:rPr>
        <w:t xml:space="preserve">BATNA:</w:t>
      </w:r>
      <w:r>
        <w:t xml:space="preserve"> </w:t>
      </w:r>
      <w:r>
        <w:t xml:space="preserve">initiate competitive evaluation of BioSphere Analytics, PlantLogic Suite, and TraitView Pro in parallel to support the negotiation and preserve a credible switching option.</w:t>
      </w:r>
    </w:p>
    <w:p>
      <w:r>
        <w:pict>
          <v:rect style="width:0;height:1.5pt" o:hralign="center" o:hrstd="t" o:hr="t"/>
        </w:pict>
      </w:r>
    </w:p>
    <w:bookmarkEnd w:id="37"/>
    <w:bookmarkEnd w:id="38"/>
    <w:bookmarkStart w:id="44" w:name="viii.-cross-cutting-issues"/>
    <w:p>
      <w:pPr>
        <w:pStyle w:val="Heading2"/>
      </w:pPr>
      <w:r>
        <w:t xml:space="preserve">VIII. Cross-Cutting Issues</w:t>
      </w:r>
    </w:p>
    <w:bookmarkStart w:id="39" w:name="Xfd58b6f1bac53950812ecba4738735c1771593c"/>
    <w:p>
      <w:pPr>
        <w:pStyle w:val="Heading3"/>
      </w:pPr>
      <w:r>
        <w:t xml:space="preserve">A. The Net Sales redefinition is a hidden second rate increase (and a rate-cap problem)</w:t>
      </w:r>
    </w:p>
    <w:p>
      <w:pPr>
        <w:pStyle w:val="FirstParagraph"/>
      </w:pPr>
      <w:r>
        <w:t xml:space="preserve">NovaTrait proposes to redefine</w:t>
      </w:r>
      <w:r>
        <w:t xml:space="preserve"> </w:t>
      </w:r>
      <w:r>
        <w:t xml:space="preserve">“</w:t>
      </w:r>
      <w:r>
        <w:t xml:space="preserve">Net Sales</w:t>
      </w:r>
      <w:r>
        <w:t xml:space="preserve">”</w:t>
      </w:r>
      <w:r>
        <w:t xml:space="preserve"> </w:t>
      </w:r>
      <w:r>
        <w:t xml:space="preserve">for Licenses A and B to permit only taxes and trade-discount deductions, eliminating deductions for freight/shipping/insurance, returns/rejections/recalls/chargebacks, and bad-debt write-offs. The Ridgemont analysis quantifies the base-broadening effect at</w:t>
      </w:r>
      <w:r>
        <w:t xml:space="preserve"> </w:t>
      </w:r>
      <w:r>
        <w:rPr>
          <w:b/>
          <w:bCs/>
        </w:rPr>
        <w:t xml:space="preserve">+7.2% (License A)</w:t>
      </w:r>
      <w:r>
        <w:t xml:space="preserve"> </w:t>
      </w:r>
      <w:r>
        <w:t xml:space="preserve">and</w:t>
      </w:r>
      <w:r>
        <w:t xml:space="preserve"> </w:t>
      </w:r>
      <w:r>
        <w:rPr>
          <w:b/>
          <w:bCs/>
        </w:rPr>
        <w:t xml:space="preserve">+6.8% (License B)</w:t>
      </w:r>
      <w:r>
        <w:t xml:space="preserve">.</w:t>
      </w:r>
    </w:p>
    <w:p>
      <w:pPr>
        <w:pStyle w:val="BodyText"/>
      </w:pPr>
      <w:r>
        <w:t xml:space="preserve">This is economically a</w:t>
      </w:r>
      <w:r>
        <w:t xml:space="preserve"> </w:t>
      </w:r>
      <w:r>
        <w:rPr>
          <w:i/>
          <w:iCs/>
        </w:rPr>
        <w:t xml:space="preserve">second</w:t>
      </w:r>
      <w:r>
        <w:t xml:space="preserve"> </w:t>
      </w:r>
      <w:r>
        <w:t xml:space="preserve">rate increase layered on the nominal rate increase. For License A, the combined effective rate measured against the</w:t>
      </w:r>
      <w:r>
        <w:t xml:space="preserve"> </w:t>
      </w:r>
      <w:r>
        <w:rPr>
          <w:i/>
          <w:iCs/>
        </w:rPr>
        <w:t xml:space="preserve">original</w:t>
      </w:r>
      <w:r>
        <w:t xml:space="preserve"> </w:t>
      </w:r>
      <w:r>
        <w:t xml:space="preserve">Net Sales base is:</w:t>
      </w:r>
    </w:p>
    <w:p>
      <w:pPr>
        <w:pStyle w:val="BlockText"/>
      </w:pPr>
      <w:r>
        <w:t xml:space="preserve">6.25% × ($217.26M redefined base ÷ $202.67M original base) =</w:t>
      </w:r>
      <w:r>
        <w:t xml:space="preserve"> </w:t>
      </w:r>
      <w:r>
        <w:rPr>
          <w:b/>
          <w:bCs/>
        </w:rPr>
        <w:t xml:space="preserve">6.70% effective</w:t>
      </w:r>
    </w:p>
    <w:p>
      <w:pPr>
        <w:pStyle w:val="FirstParagraph"/>
      </w:pPr>
      <w:r>
        <w:t xml:space="preserve">That is</w:t>
      </w:r>
      <w:r>
        <w:t xml:space="preserve"> </w:t>
      </w:r>
      <w:r>
        <w:rPr>
          <w:b/>
          <w:bCs/>
        </w:rPr>
        <w:t xml:space="preserve">148.9% of the current 4.5% rate</w:t>
      </w:r>
      <w:r>
        <w:t xml:space="preserve"> </w:t>
      </w:r>
      <w:r>
        <w:t xml:space="preserve">— inside the Section 14.3(a) 150% cap, but only barely, and only if the cap is read to govern the</w:t>
      </w:r>
      <w:r>
        <w:t xml:space="preserve"> </w:t>
      </w:r>
      <w:r>
        <w:rPr>
          <w:i/>
          <w:iCs/>
        </w:rPr>
        <w:t xml:space="preserve">effective</w:t>
      </w:r>
      <w:r>
        <w:t xml:space="preserve"> </w:t>
      </w:r>
      <w:r>
        <w:t xml:space="preserve">economic burden rather than the nominal percentage. If the cap is read to govern the nominal percentage alone, 6.25% is comfortably within 6.75%; but Greenfield should argue that the Net Sales redefinition is itself a rate increase and that the</w:t>
      </w:r>
      <w:r>
        <w:t xml:space="preserve"> </w:t>
      </w:r>
      <w:r>
        <w:rPr>
          <w:i/>
          <w:iCs/>
        </w:rPr>
        <w:t xml:space="preserve">combined</w:t>
      </w:r>
      <w:r>
        <w:t xml:space="preserve"> </w:t>
      </w:r>
      <w:r>
        <w:t xml:space="preserve">effect must be measured against the 150% cap. Either way, Section 14.3 requires that any increase be</w:t>
      </w:r>
      <w:r>
        <w:t xml:space="preserve"> </w:t>
      </w:r>
      <w:r>
        <w:t xml:space="preserve">“</w:t>
      </w:r>
      <w:r>
        <w:t xml:space="preserve">by mutual agreement</w:t>
      </w:r>
      <w:r>
        <w:t xml:space="preserve">”</w:t>
      </w:r>
      <w:r>
        <w:t xml:space="preserve"> </w:t>
      </w:r>
      <w:r>
        <w:t xml:space="preserve">—</w:t>
      </w:r>
      <w:r>
        <w:t xml:space="preserve"> </w:t>
      </w:r>
      <w:r>
        <w:rPr>
          <w:b/>
          <w:bCs/>
        </w:rPr>
        <w:t xml:space="preserve">Greenfield is not obligated to accept any increase</w:t>
      </w:r>
      <w:r>
        <w:t xml:space="preserve">, and an increase that approaches the cap warrants an IFMV assessment (the 2020 Clarendon landscape is now stale and should be refreshed).</w:t>
      </w:r>
    </w:p>
    <w:p>
      <w:pPr>
        <w:pStyle w:val="BodyText"/>
      </w:pPr>
      <w:r>
        <w:rPr>
          <w:b/>
          <w:bCs/>
        </w:rPr>
        <w:t xml:space="preserve">Recommendation:</w:t>
      </w:r>
      <w:r>
        <w:t xml:space="preserve"> </w:t>
      </w:r>
      <w:r>
        <w:t xml:space="preserve">reject the Net Sales redefinition for both License A and License B; retain the current definitions. If NovaTrait insists on a redefined base, the nominal rate must be reduced so that the effective rate does not exceed ~5.0% (License A) / ~4.25% (License B) on the original base.</w:t>
      </w:r>
    </w:p>
    <w:bookmarkEnd w:id="39"/>
    <w:bookmarkStart w:id="40" w:name="Xf7d7f0146bc5fcb9260cea2374926be13c2c2de"/>
    <w:p>
      <w:pPr>
        <w:pStyle w:val="Heading3"/>
      </w:pPr>
      <w:r>
        <w:t xml:space="preserve">B. The Improvements reversal is an unacceptable value transfer</w:t>
      </w:r>
    </w:p>
    <w:p>
      <w:pPr>
        <w:pStyle w:val="FirstParagraph"/>
      </w:pPr>
      <w:r>
        <w:t xml:space="preserve">The Proposal would convert Greenfield’s</w:t>
      </w:r>
      <w:r>
        <w:t xml:space="preserve"> </w:t>
      </w:r>
      <w:r>
        <w:rPr>
          <w:b/>
          <w:bCs/>
        </w:rPr>
        <w:t xml:space="preserve">sole ownership</w:t>
      </w:r>
      <w:r>
        <w:t xml:space="preserve"> </w:t>
      </w:r>
      <w:r>
        <w:t xml:space="preserve">of its improvements (License A §8.1; License B §6) into</w:t>
      </w:r>
      <w:r>
        <w:t xml:space="preserve"> </w:t>
      </w:r>
      <w:r>
        <w:rPr>
          <w:b/>
          <w:bCs/>
        </w:rPr>
        <w:t xml:space="preserve">joint ownership</w:t>
      </w:r>
      <w:r>
        <w:t xml:space="preserve"> </w:t>
      </w:r>
      <w:r>
        <w:t xml:space="preserve">coupled with an</w:t>
      </w:r>
      <w:r>
        <w:t xml:space="preserve"> </w:t>
      </w:r>
      <w:r>
        <w:rPr>
          <w:b/>
          <w:bCs/>
        </w:rPr>
        <w:t xml:space="preserve">irrevocable, perpetual, worldwide, royalty-free, sublicensable, transferable license back to NovaTrait</w:t>
      </w:r>
      <w:r>
        <w:t xml:space="preserve"> </w:t>
      </w:r>
      <w:r>
        <w:t xml:space="preserve">for any purpose — including, for License A, use</w:t>
      </w:r>
      <w:r>
        <w:t xml:space="preserve"> </w:t>
      </w:r>
      <w:r>
        <w:rPr>
          <w:i/>
          <w:iCs/>
        </w:rPr>
        <w:t xml:space="preserve">within</w:t>
      </w:r>
      <w:r>
        <w:t xml:space="preserve"> </w:t>
      </w:r>
      <w:r>
        <w:t xml:space="preserve">the Field of Use. This is a substantial one-way value transfer: Greenfield funds the R&amp;D that generates improvements, then grants NovaTrait a perpetual, royalty-free, sublicensable right to exploit them (including to compete), while Greenfield’s own right to use jointly-owned improvements is term-limited and non-sublicensable.</w:t>
      </w:r>
    </w:p>
    <w:p>
      <w:pPr>
        <w:pStyle w:val="BodyText"/>
      </w:pPr>
      <w:r>
        <w:rPr>
          <w:b/>
          <w:bCs/>
        </w:rPr>
        <w:t xml:space="preserve">Recommendation:</w:t>
      </w:r>
      <w:r>
        <w:t xml:space="preserve"> </w:t>
      </w:r>
      <w:r>
        <w:t xml:space="preserve">retain Greenfield sole ownership of Greenfield Improvements, with a non-exclusive license back to NovaTrait at a</w:t>
      </w:r>
      <w:r>
        <w:t xml:space="preserve"> </w:t>
      </w:r>
      <w:r>
        <w:rPr>
          <w:i/>
          <w:iCs/>
        </w:rPr>
        <w:t xml:space="preserve">commercially reasonable (not royalty-free) rate</w:t>
      </w:r>
      <w:r>
        <w:t xml:space="preserve">, mirroring the current §8.1 structure. The current structure already gives NovaTrait access to improvements outside the Field of Use; the Proposal’s change is not a</w:t>
      </w:r>
      <w:r>
        <w:t xml:space="preserve"> </w:t>
      </w:r>
      <w:r>
        <w:t xml:space="preserve">“</w:t>
      </w:r>
      <w:r>
        <w:t xml:space="preserve">more equitable reflection</w:t>
      </w:r>
      <w:r>
        <w:t xml:space="preserve">”</w:t>
      </w:r>
      <w:r>
        <w:t xml:space="preserve"> </w:t>
      </w:r>
      <w:r>
        <w:t xml:space="preserve">of collaboration — it is a confiscation of Greenfield’s derivative IP.</w:t>
      </w:r>
    </w:p>
    <w:bookmarkEnd w:id="40"/>
    <w:bookmarkStart w:id="41" w:name="c.-prairielands-sublicense-implications"/>
    <w:p>
      <w:pPr>
        <w:pStyle w:val="Heading3"/>
      </w:pPr>
      <w:r>
        <w:t xml:space="preserve">C. Prairielands sublicense implications</w:t>
      </w:r>
    </w:p>
    <w:p>
      <w:pPr>
        <w:pStyle w:val="FirstParagraph"/>
      </w:pPr>
      <w:r>
        <w:t xml:space="preserve">The Prairielands sublicense (effective May 1, 2021) grants Prairielands Seed Cooperative a non-exclusive sublicense under the TraitForge Licensed IP for</w:t>
      </w:r>
      <w:r>
        <w:t xml:space="preserve"> </w:t>
      </w:r>
      <w:r>
        <w:rPr>
          <w:b/>
          <w:bCs/>
        </w:rPr>
        <w:t xml:space="preserve">soybean drought tolerance only, in Argentina and Brazil only</w:t>
      </w:r>
      <w:r>
        <w:t xml:space="preserve">, at a</w:t>
      </w:r>
      <w:r>
        <w:t xml:space="preserve"> </w:t>
      </w:r>
      <w:r>
        <w:rPr>
          <w:b/>
          <w:bCs/>
        </w:rPr>
        <w:t xml:space="preserve">2.0% royalty</w:t>
      </w:r>
      <w:r>
        <w:t xml:space="preserve"> </w:t>
      </w:r>
      <w:r>
        <w:t xml:space="preserve">to Greenfield. Critically:</w:t>
      </w:r>
    </w:p>
    <w:p>
      <w:pPr>
        <w:pStyle w:val="Compact"/>
        <w:numPr>
          <w:ilvl w:val="0"/>
          <w:numId w:val="1011"/>
        </w:numPr>
      </w:pPr>
      <w:r>
        <w:rPr>
          <w:b/>
          <w:bCs/>
        </w:rPr>
        <w:t xml:space="preserve">The sublicense is co-terminus with the Master License (License B)</w:t>
      </w:r>
      <w:r>
        <w:t xml:space="preserve"> </w:t>
      </w:r>
      <w:r>
        <w:t xml:space="preserve">and therefore</w:t>
      </w:r>
      <w:r>
        <w:t xml:space="preserve"> </w:t>
      </w:r>
      <w:r>
        <w:rPr>
          <w:b/>
          <w:bCs/>
        </w:rPr>
        <w:t xml:space="preserve">expired on December 31, 2024</w:t>
      </w:r>
      <w:r>
        <w:t xml:space="preserve"> </w:t>
      </w:r>
      <w:r>
        <w:t xml:space="preserve">along with License B. It is presently kept alive only by the License B standstill. The Proposal (Part VII.3) flags that Greenfield should consider amending/renewing the Prairielands sublicense in parallel, and NovaTrait offers its consent under §12.4.</w:t>
      </w:r>
    </w:p>
    <w:p>
      <w:pPr>
        <w:pStyle w:val="Compact"/>
        <w:numPr>
          <w:ilvl w:val="0"/>
          <w:numId w:val="1011"/>
        </w:numPr>
      </w:pPr>
      <w:r>
        <w:rPr>
          <w:b/>
          <w:bCs/>
        </w:rPr>
        <w:t xml:space="preserve">There is currently no pass-through to NovaTrait.</w:t>
      </w:r>
      <w:r>
        <w:t xml:space="preserve"> </w:t>
      </w:r>
      <w:r>
        <w:t xml:space="preserve">The sublicense §3.6 and the NovaTrait consent letter both confirm that the Master License imposes no obligation to remit any portion of sublicensee royalties to NovaTrait. The Ridgemont analysis models a</w:t>
      </w:r>
      <w:r>
        <w:t xml:space="preserve"> </w:t>
      </w:r>
      <w:r>
        <w:rPr>
          <w:b/>
          <w:bCs/>
        </w:rPr>
        <w:t xml:space="preserve">new 40% pass-through</w:t>
      </w:r>
      <w:r>
        <w:t xml:space="preserve"> </w:t>
      </w:r>
      <w:r>
        <w:t xml:space="preserve">on Prairielands royalties being sought by NovaTrait. At a 40% pass-through on a 2.0% sublicense royalty, Greenfield’s net economics on the Prairielands arrangement collapse to ~1.2% — and the cumulative 5-year pass-through cost is modeled at ~</w:t>
      </w:r>
      <w:r>
        <w:rPr>
          <w:b/>
          <w:bCs/>
        </w:rPr>
        <w:t xml:space="preserve">$26.0M</w:t>
      </w:r>
      <w:r>
        <w:t xml:space="preserve"> </w:t>
      </w:r>
      <w:r>
        <w:t xml:space="preserve">(on an estimated ~$12M base growing at 4%).</w:t>
      </w:r>
    </w:p>
    <w:p>
      <w:pPr>
        <w:pStyle w:val="Compact"/>
        <w:numPr>
          <w:ilvl w:val="0"/>
          <w:numId w:val="1011"/>
        </w:numPr>
      </w:pPr>
      <w:r>
        <w:rPr>
          <w:b/>
          <w:bCs/>
        </w:rPr>
        <w:t xml:space="preserve">Operational disruption risk.</w:t>
      </w:r>
      <w:r>
        <w:t xml:space="preserve"> </w:t>
      </w:r>
      <w:r>
        <w:t xml:space="preserve">If the License B standstill lapses, the Prairielands sublicense terminates automatically (§7.4), triggering a 90-day wind-down and a 30-day materials-return obligation for Prairielands. The Ridgemont switching analysis quantifies Prairielands sublicense disruption at $5–8M.</w:t>
      </w:r>
    </w:p>
    <w:p>
      <w:pPr>
        <w:pStyle w:val="FirstParagraph"/>
      </w:pPr>
      <w:r>
        <w:rPr>
          <w:b/>
          <w:bCs/>
        </w:rPr>
        <w:t xml:space="preserve">Recommendation:</w:t>
      </w:r>
    </w:p>
    <w:p>
      <w:pPr>
        <w:pStyle w:val="Compact"/>
        <w:numPr>
          <w:ilvl w:val="0"/>
          <w:numId w:val="1012"/>
        </w:numPr>
      </w:pPr>
      <w:r>
        <w:rPr>
          <w:b/>
          <w:bCs/>
        </w:rPr>
        <w:t xml:space="preserve">Renew/amend the Prairielands sublicense in parallel</w:t>
      </w:r>
      <w:r>
        <w:t xml:space="preserve"> </w:t>
      </w:r>
      <w:r>
        <w:t xml:space="preserve">with License B, on terms consistent with the renewed Master License, and obtain NovaTrait’s written consent (§12.4) as part of the License B package.</w:t>
      </w:r>
    </w:p>
    <w:p>
      <w:pPr>
        <w:pStyle w:val="Compact"/>
        <w:numPr>
          <w:ilvl w:val="0"/>
          <w:numId w:val="1012"/>
        </w:numPr>
      </w:pPr>
      <w:r>
        <w:rPr>
          <w:b/>
          <w:bCs/>
        </w:rPr>
        <w:t xml:space="preserve">Resist any new pass-through.</w:t>
      </w:r>
      <w:r>
        <w:t xml:space="preserve"> </w:t>
      </w:r>
      <w:r>
        <w:t xml:space="preserve">If a pass-through is unavoidable as a deal point, counter at</w:t>
      </w:r>
      <w:r>
        <w:t xml:space="preserve"> </w:t>
      </w:r>
      <w:r>
        <w:rPr>
          <w:b/>
          <w:bCs/>
        </w:rPr>
        <w:t xml:space="preserve">20% with a 12-month phase-in</w:t>
      </w:r>
      <w:r>
        <w:t xml:space="preserve">, and seek a volume discount above $2M of pass-through. A 40% pass-through on a 2.0% sublicense royalty is economically untenable.</w:t>
      </w:r>
    </w:p>
    <w:p>
      <w:pPr>
        <w:pStyle w:val="Compact"/>
        <w:numPr>
          <w:ilvl w:val="0"/>
          <w:numId w:val="1012"/>
        </w:numPr>
      </w:pPr>
      <w:r>
        <w:rPr>
          <w:b/>
          <w:bCs/>
        </w:rPr>
        <w:t xml:space="preserve">Preserve the 90-day wind-down</w:t>
      </w:r>
      <w:r>
        <w:t xml:space="preserve"> </w:t>
      </w:r>
      <w:r>
        <w:t xml:space="preserve">for Prairielands (do not import the proposed 30-day License B materials-return term into the sublicense).</w:t>
      </w:r>
    </w:p>
    <w:bookmarkEnd w:id="41"/>
    <w:bookmarkStart w:id="42" w:name="X44424d8e56dc3e64416b242160ba6956e87d44a"/>
    <w:p>
      <w:pPr>
        <w:pStyle w:val="Heading3"/>
      </w:pPr>
      <w:r>
        <w:t xml:space="preserve">D. Market comparables uniformly disfavor the Proposal</w:t>
      </w:r>
    </w:p>
    <w:p>
      <w:pPr>
        <w:pStyle w:val="FirstParagraph"/>
      </w:pPr>
      <w:r>
        <w:t xml:space="preserve">The Ridgemont market-comparables analysis (eight anonymized 2022–2024 transactions) is decisive: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Market range</w:t>
            </w:r>
          </w:p>
        </w:tc>
        <w:tc>
          <w:tcPr/>
          <w:p>
            <w:pPr>
              <w:pStyle w:val="Compact"/>
              <w:jc w:val="left"/>
            </w:pPr>
            <w:r>
              <w:t xml:space="preserve">Median / Mean</w:t>
            </w:r>
          </w:p>
        </w:tc>
        <w:tc>
          <w:tcPr/>
          <w:p>
            <w:pPr>
              <w:pStyle w:val="Compact"/>
              <w:jc w:val="left"/>
            </w:pPr>
            <w:r>
              <w:t xml:space="preserve">NovaTrait proposed</w:t>
            </w:r>
          </w:p>
        </w:tc>
        <w:tc>
          <w:tcPr/>
          <w:p>
            <w:pPr>
              <w:pStyle w:val="Compact"/>
              <w:jc w:val="left"/>
            </w:pPr>
            <w:r>
              <w:t xml:space="preserve">Position</w:t>
            </w:r>
          </w:p>
        </w:tc>
      </w:tr>
      <w:tr>
        <w:tc>
          <w:tcPr/>
          <w:p>
            <w:pPr>
              <w:pStyle w:val="Compact"/>
              <w:jc w:val="left"/>
            </w:pPr>
            <w:r>
              <w:t xml:space="preserve">Gene-editing platforms</w:t>
            </w:r>
          </w:p>
        </w:tc>
        <w:tc>
          <w:tcPr/>
          <w:p>
            <w:pPr>
              <w:pStyle w:val="Compact"/>
              <w:jc w:val="left"/>
            </w:pPr>
            <w:r>
              <w:t xml:space="preserve">3.5%–5.5%</w:t>
            </w:r>
          </w:p>
        </w:tc>
        <w:tc>
          <w:tcPr/>
          <w:p>
            <w:pPr>
              <w:pStyle w:val="Compact"/>
              <w:jc w:val="left"/>
            </w:pPr>
            <w:r>
              <w:t xml:space="preserve">4.0% / 4.33%</w:t>
            </w:r>
          </w:p>
        </w:tc>
        <w:tc>
          <w:tcPr/>
          <w:p>
            <w:pPr>
              <w:pStyle w:val="Compact"/>
              <w:jc w:val="left"/>
            </w:pPr>
            <w:r>
              <w:t xml:space="preserve">6.25% (License A)</w:t>
            </w:r>
          </w:p>
        </w:tc>
        <w:tc>
          <w:tcPr/>
          <w:p>
            <w:pPr>
              <w:pStyle w:val="Compact"/>
              <w:jc w:val="left"/>
            </w:pPr>
            <w:r>
              <w:rPr>
                <w:b/>
                <w:bCs/>
              </w:rPr>
              <w:t xml:space="preserve">Above market high</w:t>
            </w:r>
          </w:p>
        </w:tc>
      </w:tr>
      <w:tr>
        <w:tc>
          <w:tcPr/>
          <w:p>
            <w:pPr>
              <w:pStyle w:val="Compact"/>
              <w:jc w:val="left"/>
            </w:pPr>
            <w:r>
              <w:t xml:space="preserve">Trait-expression platforms</w:t>
            </w:r>
          </w:p>
        </w:tc>
        <w:tc>
          <w:tcPr/>
          <w:p>
            <w:pPr>
              <w:pStyle w:val="Compact"/>
              <w:jc w:val="left"/>
            </w:pPr>
            <w:r>
              <w:t xml:space="preserve">3.0%–4.5%</w:t>
            </w:r>
          </w:p>
        </w:tc>
        <w:tc>
          <w:tcPr/>
          <w:p>
            <w:pPr>
              <w:pStyle w:val="Compact"/>
              <w:jc w:val="left"/>
            </w:pPr>
            <w:r>
              <w:t xml:space="preserve">3.25% / 3.58%</w:t>
            </w:r>
          </w:p>
        </w:tc>
        <w:tc>
          <w:tcPr/>
          <w:p>
            <w:pPr>
              <w:pStyle w:val="Compact"/>
              <w:jc w:val="left"/>
            </w:pPr>
            <w:r>
              <w:t xml:space="preserve">5.0% (License B)</w:t>
            </w:r>
          </w:p>
        </w:tc>
        <w:tc>
          <w:tcPr/>
          <w:p>
            <w:pPr>
              <w:pStyle w:val="Compact"/>
              <w:jc w:val="left"/>
            </w:pPr>
            <w:r>
              <w:rPr>
                <w:b/>
                <w:bCs/>
              </w:rPr>
              <w:t xml:space="preserve">Above market high</w:t>
            </w:r>
          </w:p>
        </w:tc>
      </w:tr>
      <w:tr>
        <w:tc>
          <w:tcPr/>
          <w:p>
            <w:pPr>
              <w:pStyle w:val="Compact"/>
              <w:jc w:val="left"/>
            </w:pPr>
            <w:r>
              <w:t xml:space="preserve">Bioinformatics software</w:t>
            </w:r>
          </w:p>
        </w:tc>
        <w:tc>
          <w:tcPr/>
          <w:p>
            <w:pPr>
              <w:pStyle w:val="Compact"/>
              <w:jc w:val="left"/>
            </w:pPr>
            <w:r>
              <w:t xml:space="preserve">$2.5M–$4.0M</w:t>
            </w:r>
          </w:p>
        </w:tc>
        <w:tc>
          <w:tcPr/>
          <w:p>
            <w:pPr>
              <w:pStyle w:val="Compact"/>
              <w:jc w:val="left"/>
            </w:pPr>
            <w:r>
              <w:t xml:space="preserve">~$3.05M (comps)</w:t>
            </w:r>
          </w:p>
        </w:tc>
        <w:tc>
          <w:tcPr/>
          <w:p>
            <w:pPr>
              <w:pStyle w:val="Compact"/>
              <w:jc w:val="left"/>
            </w:pPr>
            <w:r>
              <w:t xml:space="preserve">~$5.28M (License C)</w:t>
            </w:r>
          </w:p>
        </w:tc>
        <w:tc>
          <w:tcPr/>
          <w:p>
            <w:pPr>
              <w:pStyle w:val="Compact"/>
              <w:jc w:val="left"/>
            </w:pPr>
            <w:r>
              <w:rPr>
                <w:b/>
                <w:bCs/>
              </w:rPr>
              <w:t xml:space="preserve">31.9% above market high</w:t>
            </w:r>
          </w:p>
        </w:tc>
      </w:tr>
    </w:tbl>
    <w:p>
      <w:pPr>
        <w:pStyle w:val="BodyText"/>
      </w:pPr>
      <w:r>
        <w:t xml:space="preserve">Notably, only 1 of 6 rate-based comparables uses a modified Net Sales definition (and that comp removes returns only — far narrower than NovaTrait’s proposal). The standard definition (including freight/returns deductions) is the market norm. NovaTrait’s proposed redefinition is therefore out of market on</w:t>
      </w:r>
      <w:r>
        <w:t xml:space="preserve"> </w:t>
      </w:r>
      <w:r>
        <w:rPr>
          <w:i/>
          <w:iCs/>
        </w:rPr>
        <w:t xml:space="preserve">two</w:t>
      </w:r>
      <w:r>
        <w:t xml:space="preserve"> </w:t>
      </w:r>
      <w:r>
        <w:t xml:space="preserve">dimensions (rate and base).</w:t>
      </w:r>
    </w:p>
    <w:bookmarkEnd w:id="42"/>
    <w:bookmarkStart w:id="43" w:name="X68915a29e2874bfe0d493c8c46bf38a4801f7af"/>
    <w:p>
      <w:pPr>
        <w:pStyle w:val="Heading3"/>
      </w:pPr>
      <w:r>
        <w:t xml:space="preserve">E. Term misalignment and the</w:t>
      </w:r>
      <w:r>
        <w:t xml:space="preserve"> </w:t>
      </w:r>
      <w:r>
        <w:t xml:space="preserve">“</w:t>
      </w:r>
      <w:r>
        <w:t xml:space="preserve">package</w:t>
      </w:r>
      <w:r>
        <w:t xml:space="preserve">”</w:t>
      </w:r>
      <w:r>
        <w:t xml:space="preserve"> </w:t>
      </w:r>
      <w:r>
        <w:t xml:space="preserve">framing</w:t>
      </w:r>
    </w:p>
    <w:p>
      <w:pPr>
        <w:pStyle w:val="FirstParagraph"/>
      </w:pPr>
      <w:r>
        <w:t xml:space="preserve">The Proposal contemplates misaligned renewal terms (License A: 5 yrs to 6/30/2030; License B: 5 yrs to 12/31/2029; License C: 3 yrs to 2/28/2028) and offers optional harmonization. NovaTrait also proposes consolidating all payments into a single quarterly statement and calculating the most-favored-licensee (MFL) clauses on an agreement-by-agreement basis.</w:t>
      </w:r>
      <w:r>
        <w:t xml:space="preserve"> </w:t>
      </w:r>
      <w:r>
        <w:rPr>
          <w:b/>
          <w:bCs/>
        </w:rPr>
        <w:t xml:space="preserve">Greenfield should resist treating the three renewals as a single indivisible package.</w:t>
      </w:r>
      <w:r>
        <w:t xml:space="preserve"> </w:t>
      </w:r>
      <w:r>
        <w:t xml:space="preserve">The licenses have fundamentally different leverage profiles (see §IX), and bundling them would let NovaTrait trade concessions on the weak license (C) for hold-up on the strong one (B). Greenfield should negotiate each on its own merits while using the package only for cross-concessions that benefit Greenfield (e.g., accepting License C term harmonization only in exchange for the License A step-down).</w:t>
      </w:r>
    </w:p>
    <w:p>
      <w:r>
        <w:pict>
          <v:rect style="width:0;height:1.5pt" o:hralign="center" o:hrstd="t" o:hr="t"/>
        </w:pict>
      </w:r>
    </w:p>
    <w:bookmarkEnd w:id="43"/>
    <w:bookmarkEnd w:id="44"/>
    <w:bookmarkStart w:id="45" w:name="ix.-switching-cost-batna-analysis"/>
    <w:p>
      <w:pPr>
        <w:pStyle w:val="Heading2"/>
      </w:pPr>
      <w:r>
        <w:t xml:space="preserve">IX. Switching-Cost / BATNA Analysis</w:t>
      </w:r>
    </w:p>
    <w:p>
      <w:pPr>
        <w:pStyle w:val="FirstParagraph"/>
      </w:pPr>
      <w:r>
        <w:t xml:space="preserve">Greenfield’s negotiating leverage is a function of its best alternative to a renewed deal. The three licenses differ sharply.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License</w:t>
            </w:r>
          </w:p>
        </w:tc>
        <w:tc>
          <w:tcPr/>
          <w:p>
            <w:pPr>
              <w:pStyle w:val="Compact"/>
              <w:jc w:val="left"/>
            </w:pPr>
            <w:r>
              <w:t xml:space="preserve">Alternative</w:t>
            </w:r>
          </w:p>
        </w:tc>
        <w:tc>
          <w:tcPr/>
          <w:p>
            <w:pPr>
              <w:pStyle w:val="Compact"/>
              <w:jc w:val="left"/>
            </w:pPr>
            <w:r>
              <w:t xml:space="preserve">Switching/development cost</w:t>
            </w:r>
          </w:p>
        </w:tc>
        <w:tc>
          <w:tcPr/>
          <w:p>
            <w:pPr>
              <w:pStyle w:val="Compact"/>
              <w:jc w:val="left"/>
            </w:pPr>
            <w:r>
              <w:t xml:space="preserve">Break-even</w:t>
            </w:r>
          </w:p>
        </w:tc>
        <w:tc>
          <w:tcPr/>
          <w:p>
            <w:pPr>
              <w:pStyle w:val="Compact"/>
              <w:jc w:val="left"/>
            </w:pPr>
            <w:r>
              <w:t xml:space="preserve">Leverage assessment</w:t>
            </w:r>
          </w:p>
        </w:tc>
      </w:tr>
      <w:tr>
        <w:tc>
          <w:tcPr/>
          <w:p>
            <w:pPr>
              <w:pStyle w:val="Compact"/>
              <w:jc w:val="left"/>
            </w:pPr>
            <w:r>
              <w:rPr>
                <w:b/>
                <w:bCs/>
              </w:rPr>
              <w:t xml:space="preserve">A (CRISPR-Ag)</w:t>
            </w:r>
          </w:p>
        </w:tc>
        <w:tc>
          <w:tcPr/>
          <w:p>
            <w:pPr>
              <w:pStyle w:val="Compact"/>
              <w:jc w:val="left"/>
            </w:pPr>
            <w:r>
              <w:t xml:space="preserve">AgriGenome Solutions / CropTech Innovations (post-2028); design-around</w:t>
            </w:r>
          </w:p>
        </w:tc>
        <w:tc>
          <w:tcPr/>
          <w:p>
            <w:pPr>
              <w:pStyle w:val="Compact"/>
              <w:jc w:val="left"/>
            </w:pPr>
            <w:r>
              <w:t xml:space="preserve">$16.65–23.6M direct; $24.65–38.6M incl. opportunity</w:t>
            </w:r>
          </w:p>
        </w:tc>
        <w:tc>
          <w:tcPr/>
          <w:p>
            <w:pPr>
              <w:pStyle w:val="Compact"/>
              <w:jc w:val="left"/>
            </w:pPr>
            <w:r>
              <w:t xml:space="preserve">2.8–7.9 yrs (direct)</w:t>
            </w:r>
          </w:p>
        </w:tc>
        <w:tc>
          <w:tcPr/>
          <w:p>
            <w:pPr>
              <w:pStyle w:val="Compact"/>
              <w:jc w:val="left"/>
            </w:pPr>
            <w:r>
              <w:rPr>
                <w:b/>
                <w:bCs/>
              </w:rPr>
              <w:t xml:space="preserve">Moderate, rising after Mar 2028.</w:t>
            </w:r>
            <w:r>
              <w:t xml:space="preserve"> </w:t>
            </w:r>
            <w:r>
              <w:t xml:space="preserve">Switching not justified near-term, but the analysis supports a rate reduction to 5.0–5.5% (and a step-down post-2028).</w:t>
            </w:r>
          </w:p>
        </w:tc>
      </w:tr>
      <w:tr>
        <w:tc>
          <w:tcPr/>
          <w:p>
            <w:pPr>
              <w:pStyle w:val="Compact"/>
              <w:jc w:val="left"/>
            </w:pPr>
            <w:r>
              <w:rPr>
                <w:b/>
                <w:bCs/>
              </w:rPr>
              <w:t xml:space="preserve">B (TraitForge)</w:t>
            </w:r>
          </w:p>
        </w:tc>
        <w:tc>
          <w:tcPr/>
          <w:p>
            <w:pPr>
              <w:pStyle w:val="Compact"/>
              <w:jc w:val="left"/>
            </w:pPr>
            <w:r>
              <w:t xml:space="preserve">None commercial; internal build only</w:t>
            </w:r>
          </w:p>
        </w:tc>
        <w:tc>
          <w:tcPr/>
          <w:p>
            <w:pPr>
              <w:pStyle w:val="Compact"/>
              <w:jc w:val="left"/>
            </w:pPr>
            <w:r>
              <w:t xml:space="preserve">$24.3–33.7M over 3–4 yrs; $44.3–66.7M incl. opportunity</w:t>
            </w:r>
          </w:p>
        </w:tc>
        <w:tc>
          <w:tcPr/>
          <w:p>
            <w:pPr>
              <w:pStyle w:val="Compact"/>
              <w:jc w:val="left"/>
            </w:pPr>
            <w:r>
              <w:t xml:space="preserve">n/a (no near-term alternative)</w:t>
            </w:r>
          </w:p>
        </w:tc>
        <w:tc>
          <w:tcPr/>
          <w:p>
            <w:pPr>
              <w:pStyle w:val="Compact"/>
              <w:jc w:val="left"/>
            </w:pPr>
            <w:r>
              <w:rPr>
                <w:b/>
                <w:bCs/>
              </w:rPr>
              <w:t xml:space="preserve">Low.</w:t>
            </w:r>
            <w:r>
              <w:t xml:space="preserve"> </w:t>
            </w:r>
            <w:r>
              <w:t xml:space="preserve">NovaTrait holds genuine pricing power. Strategy: secure long term, negotiate rate to 4.25–4.5%, protect wind-down.</w:t>
            </w:r>
          </w:p>
        </w:tc>
      </w:tr>
      <w:tr>
        <w:tc>
          <w:tcPr/>
          <w:p>
            <w:pPr>
              <w:pStyle w:val="Compact"/>
              <w:jc w:val="left"/>
            </w:pPr>
            <w:r>
              <w:rPr>
                <w:b/>
                <w:bCs/>
              </w:rPr>
              <w:t xml:space="preserve">C (GenoMap Pro)</w:t>
            </w:r>
          </w:p>
        </w:tc>
        <w:tc>
          <w:tcPr/>
          <w:p>
            <w:pPr>
              <w:pStyle w:val="Compact"/>
              <w:jc w:val="left"/>
            </w:pPr>
            <w:r>
              <w:t xml:space="preserve">BioSphere / PlantLogic / TraitView Pro</w:t>
            </w:r>
          </w:p>
        </w:tc>
        <w:tc>
          <w:tcPr/>
          <w:p>
            <w:pPr>
              <w:pStyle w:val="Compact"/>
              <w:jc w:val="left"/>
            </w:pPr>
            <w:r>
              <w:t xml:space="preserve">$2.55–4.375M one-time</w:t>
            </w:r>
          </w:p>
        </w:tc>
        <w:tc>
          <w:tcPr/>
          <w:p>
            <w:pPr>
              <w:pStyle w:val="Compact"/>
              <w:jc w:val="left"/>
            </w:pPr>
            <w:r>
              <w:t xml:space="preserve">0.7–2.5 yrs</w:t>
            </w:r>
          </w:p>
        </w:tc>
        <w:tc>
          <w:tcPr/>
          <w:p>
            <w:pPr>
              <w:pStyle w:val="Compact"/>
              <w:jc w:val="left"/>
            </w:pPr>
            <w:r>
              <w:rPr>
                <w:b/>
                <w:bCs/>
              </w:rPr>
              <w:t xml:space="preserve">High.</w:t>
            </w:r>
            <w:r>
              <w:t xml:space="preserve"> </w:t>
            </w:r>
            <w:r>
              <w:t xml:space="preserve">Strongest switching case. Use to re-price to $3.5–4.0M or replace.</w:t>
            </w:r>
          </w:p>
        </w:tc>
      </w:tr>
    </w:tbl>
    <w:p>
      <w:pPr>
        <w:pStyle w:val="BodyText"/>
      </w:pPr>
      <w:r>
        <w:rPr>
          <w:b/>
          <w:bCs/>
        </w:rPr>
        <w:t xml:space="preserve">Strategic synthesis.</w:t>
      </w:r>
      <w:r>
        <w:t xml:space="preserve"> </w:t>
      </w:r>
      <w:r>
        <w:t xml:space="preserve">Greenfield’s BATNA is weakest on License B (renew, but re-price and protect operations), strengthening on License A (re-price now, step down post-2028), and strongest on License C (re-price aggressively or switch). The negotiation should be sequenced and tiered accordingly, and Greenfield should commission an</w:t>
      </w:r>
      <w:r>
        <w:t xml:space="preserve"> </w:t>
      </w:r>
      <w:r>
        <w:rPr>
          <w:b/>
          <w:bCs/>
        </w:rPr>
        <w:t xml:space="preserve">updated patent-landscape analysis</w:t>
      </w:r>
      <w:r>
        <w:t xml:space="preserve"> </w:t>
      </w:r>
      <w:r>
        <w:t xml:space="preserve">before formal negotiations conclude — the 2020 Clarendon report is over four years old, and the AgriGenome/CropTech portfolios (then in early prosecution) may have materially advanced, which would further strengthen Greenfield’s License A leverage.</w:t>
      </w:r>
    </w:p>
    <w:p>
      <w:r>
        <w:pict>
          <v:rect style="width:0;height:1.5pt" o:hralign="center" o:hrstd="t" o:hr="t"/>
        </w:pict>
      </w:r>
    </w:p>
    <w:bookmarkEnd w:id="45"/>
    <w:bookmarkStart w:id="46" w:name="Xe4de3dbf76a7803fc4942c481e11ac386449ba6"/>
    <w:p>
      <w:pPr>
        <w:pStyle w:val="Heading2"/>
      </w:pPr>
      <w:r>
        <w:t xml:space="preserve">X. Recommended Negotiation Priorities (Ranked)</w:t>
      </w:r>
    </w:p>
    <w:p>
      <w:pPr>
        <w:pStyle w:val="FirstParagraph"/>
      </w:pPr>
      <w:r>
        <w:t xml:space="preserve">The following prioritization consolidates the Ridgemont negotiation-priority matrix with the legal and IP analysis above.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Rank</w:t>
            </w:r>
          </w:p>
        </w:tc>
        <w:tc>
          <w:tcPr/>
          <w:p>
            <w:pPr>
              <w:pStyle w:val="Compact"/>
              <w:jc w:val="left"/>
            </w:pPr>
            <w:r>
              <w:t xml:space="preserve">License</w:t>
            </w:r>
          </w:p>
        </w:tc>
        <w:tc>
          <w:tcPr/>
          <w:p>
            <w:pPr>
              <w:pStyle w:val="Compact"/>
              <w:jc w:val="left"/>
            </w:pPr>
            <w:r>
              <w:t xml:space="preserve">Issue</w:t>
            </w:r>
          </w:p>
        </w:tc>
        <w:tc>
          <w:tcPr/>
          <w:p>
            <w:pPr>
              <w:pStyle w:val="Compact"/>
              <w:jc w:val="left"/>
            </w:pPr>
            <w:r>
              <w:t xml:space="preserve">NovaTrait proposal</w:t>
            </w:r>
          </w:p>
        </w:tc>
        <w:tc>
          <w:tcPr/>
          <w:p>
            <w:pPr>
              <w:pStyle w:val="Compact"/>
              <w:jc w:val="left"/>
            </w:pPr>
            <w:r>
              <w:t xml:space="preserve">Greenfield position / counter</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B</w:t>
            </w:r>
          </w:p>
        </w:tc>
        <w:tc>
          <w:tcPr/>
          <w:p>
            <w:pPr>
              <w:pStyle w:val="Compact"/>
              <w:jc w:val="left"/>
            </w:pPr>
            <w:r>
              <w:t xml:space="preserve">Standstill expiration (Jun 29, 2025)</w:t>
            </w:r>
          </w:p>
        </w:tc>
        <w:tc>
          <w:tcPr/>
          <w:p>
            <w:pPr>
              <w:pStyle w:val="Compact"/>
              <w:jc w:val="left"/>
            </w:pPr>
            <w:r>
              <w:t xml:space="preserve">Renewal effective 1/1/2025</w:t>
            </w:r>
          </w:p>
        </w:tc>
        <w:tc>
          <w:tcPr/>
          <w:p>
            <w:pPr>
              <w:pStyle w:val="Compact"/>
              <w:jc w:val="left"/>
            </w:pPr>
            <w:r>
              <w:t xml:space="preserve">Secure written standstill extension to 12/31/2025 as condition of continued negotiation</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C</w:t>
            </w:r>
          </w:p>
        </w:tc>
        <w:tc>
          <w:tcPr/>
          <w:p>
            <w:pPr>
              <w:pStyle w:val="Compact"/>
              <w:jc w:val="left"/>
            </w:pPr>
            <w:r>
              <w:t xml:space="preserve">Derivative Data ownership</w:t>
            </w:r>
          </w:p>
        </w:tc>
        <w:tc>
          <w:tcPr/>
          <w:p>
            <w:pPr>
              <w:pStyle w:val="Compact"/>
              <w:jc w:val="left"/>
            </w:pPr>
            <w:r>
              <w:t xml:space="preserve">NovaTrait owns all output data</w:t>
            </w:r>
          </w:p>
        </w:tc>
        <w:tc>
          <w:tcPr/>
          <w:p>
            <w:pPr>
              <w:pStyle w:val="Compact"/>
              <w:jc w:val="left"/>
            </w:pPr>
            <w:r>
              <w:t xml:space="preserve">All output/derived data solely owned by Greenfield (per §9.2)</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A</w:t>
            </w:r>
          </w:p>
        </w:tc>
        <w:tc>
          <w:tcPr/>
          <w:p>
            <w:pPr>
              <w:pStyle w:val="Compact"/>
              <w:jc w:val="left"/>
            </w:pPr>
            <w:r>
              <w:t xml:space="preserve">Improvements ownership</w:t>
            </w:r>
          </w:p>
        </w:tc>
        <w:tc>
          <w:tcPr/>
          <w:p>
            <w:pPr>
              <w:pStyle w:val="Compact"/>
              <w:jc w:val="left"/>
            </w:pPr>
            <w:r>
              <w:t xml:space="preserve">Joint ownership; royalty-free grant-back</w:t>
            </w:r>
          </w:p>
        </w:tc>
        <w:tc>
          <w:tcPr/>
          <w:p>
            <w:pPr>
              <w:pStyle w:val="Compact"/>
              <w:jc w:val="left"/>
            </w:pPr>
            <w:r>
              <w:t xml:space="preserve">Retain Greenfield sole ownership; license back at reduced (non-zero) rate</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A</w:t>
            </w:r>
          </w:p>
        </w:tc>
        <w:tc>
          <w:tcPr/>
          <w:p>
            <w:pPr>
              <w:pStyle w:val="Compact"/>
              <w:jc w:val="left"/>
            </w:pPr>
            <w:r>
              <w:t xml:space="preserve">Royalty + Net Sales redefinition (combined)</w:t>
            </w:r>
          </w:p>
        </w:tc>
        <w:tc>
          <w:tcPr/>
          <w:p>
            <w:pPr>
              <w:pStyle w:val="Compact"/>
              <w:jc w:val="left"/>
            </w:pPr>
            <w:r>
              <w:t xml:space="preserve">6.25% on redefined base (eff. 6.70%)</w:t>
            </w:r>
          </w:p>
        </w:tc>
        <w:tc>
          <w:tcPr/>
          <w:p>
            <w:pPr>
              <w:pStyle w:val="Compact"/>
              <w:jc w:val="left"/>
            </w:pPr>
            <w:r>
              <w:t xml:space="preserve">5.0% on original base (or 4.75% on redefined); reject redefinition</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B</w:t>
            </w:r>
          </w:p>
        </w:tc>
        <w:tc>
          <w:tcPr/>
          <w:p>
            <w:pPr>
              <w:pStyle w:val="Compact"/>
              <w:jc w:val="left"/>
            </w:pPr>
            <w:r>
              <w:t xml:space="preserve">Royalty rate</w:t>
            </w:r>
          </w:p>
        </w:tc>
        <w:tc>
          <w:tcPr/>
          <w:p>
            <w:pPr>
              <w:pStyle w:val="Compact"/>
              <w:jc w:val="left"/>
            </w:pPr>
            <w:r>
              <w:t xml:space="preserve">5.0% (above 3.0–4.5% market)</w:t>
            </w:r>
          </w:p>
        </w:tc>
        <w:tc>
          <w:tcPr/>
          <w:p>
            <w:pPr>
              <w:pStyle w:val="Compact"/>
              <w:jc w:val="left"/>
            </w:pPr>
            <w:r>
              <w:t xml:space="preserve">4.25% on original Net Sales definition</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C</w:t>
            </w:r>
          </w:p>
        </w:tc>
        <w:tc>
          <w:tcPr/>
          <w:p>
            <w:pPr>
              <w:pStyle w:val="Compact"/>
              <w:jc w:val="left"/>
            </w:pPr>
            <w:r>
              <w:t xml:space="preserve">Source-code access</w:t>
            </w:r>
          </w:p>
        </w:tc>
        <w:tc>
          <w:tcPr/>
          <w:p>
            <w:pPr>
              <w:pStyle w:val="Compact"/>
              <w:jc w:val="left"/>
            </w:pPr>
            <w:r>
              <w:t xml:space="preserve">Eliminated (object code only)</w:t>
            </w:r>
          </w:p>
        </w:tc>
        <w:tc>
          <w:tcPr/>
          <w:p>
            <w:pPr>
              <w:pStyle w:val="Compact"/>
              <w:jc w:val="left"/>
            </w:pPr>
            <w:r>
              <w:t xml:space="preserve">Retain source-code access; accept security/escrow</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B</w:t>
            </w:r>
          </w:p>
        </w:tc>
        <w:tc>
          <w:tcPr/>
          <w:p>
            <w:pPr>
              <w:pStyle w:val="Compact"/>
              <w:jc w:val="left"/>
            </w:pPr>
            <w:r>
              <w:t xml:space="preserve">Bio materials return (30 days, no wind-down)</w:t>
            </w:r>
          </w:p>
        </w:tc>
        <w:tc>
          <w:tcPr/>
          <w:p>
            <w:pPr>
              <w:pStyle w:val="Compact"/>
              <w:jc w:val="left"/>
            </w:pPr>
            <w:r>
              <w:t xml:space="preserve">30-day return/destroy</w:t>
            </w:r>
          </w:p>
        </w:tc>
        <w:tc>
          <w:tcPr/>
          <w:p>
            <w:pPr>
              <w:pStyle w:val="Compact"/>
              <w:jc w:val="left"/>
            </w:pPr>
            <w:r>
              <w:t xml:space="preserve">180-day wind-down; right to use in ongoing trials</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C</w:t>
            </w:r>
          </w:p>
        </w:tc>
        <w:tc>
          <w:tcPr/>
          <w:p>
            <w:pPr>
              <w:pStyle w:val="Compact"/>
              <w:jc w:val="left"/>
            </w:pPr>
            <w:r>
              <w:t xml:space="preserve">Annual fee + user cap</w:t>
            </w:r>
          </w:p>
        </w:tc>
        <w:tc>
          <w:tcPr/>
          <w:p>
            <w:pPr>
              <w:pStyle w:val="Compact"/>
              <w:jc w:val="left"/>
            </w:pPr>
            <w:r>
              <w:t xml:space="preserve">$4.85M + 50-user cap ($18.5K/user)</w:t>
            </w:r>
          </w:p>
        </w:tc>
        <w:tc>
          <w:tcPr/>
          <w:p>
            <w:pPr>
              <w:pStyle w:val="Compact"/>
              <w:jc w:val="left"/>
            </w:pPr>
            <w:r>
              <w:t xml:space="preserve">$3.75M; ≥80-user cap; overage ≤$12K/user</w:t>
            </w:r>
          </w:p>
        </w:tc>
        <w:tc>
          <w:tcPr/>
          <w:p>
            <w:pPr>
              <w:pStyle w:val="Compact"/>
              <w:jc w:val="left"/>
            </w:pPr>
            <w:r>
              <w:t xml:space="preserve">Medium</w:t>
            </w:r>
          </w:p>
        </w:tc>
      </w:tr>
      <w:tr>
        <w:tc>
          <w:tcPr/>
          <w:p>
            <w:pPr>
              <w:pStyle w:val="Compact"/>
              <w:jc w:val="left"/>
            </w:pPr>
            <w:r>
              <w:t xml:space="preserve">9</w:t>
            </w:r>
          </w:p>
        </w:tc>
        <w:tc>
          <w:tcPr/>
          <w:p>
            <w:pPr>
              <w:pStyle w:val="Compact"/>
              <w:jc w:val="left"/>
            </w:pPr>
            <w:r>
              <w:t xml:space="preserve">A</w:t>
            </w:r>
          </w:p>
        </w:tc>
        <w:tc>
          <w:tcPr/>
          <w:p>
            <w:pPr>
              <w:pStyle w:val="Compact"/>
              <w:jc w:val="left"/>
            </w:pPr>
            <w:r>
              <w:t xml:space="preserve">Sublicense pass-through</w:t>
            </w:r>
          </w:p>
        </w:tc>
        <w:tc>
          <w:tcPr/>
          <w:p>
            <w:pPr>
              <w:pStyle w:val="Compact"/>
              <w:jc w:val="left"/>
            </w:pPr>
            <w:r>
              <w:t xml:space="preserve">35% → 50%</w:t>
            </w:r>
          </w:p>
        </w:tc>
        <w:tc>
          <w:tcPr/>
          <w:p>
            <w:pPr>
              <w:pStyle w:val="Compact"/>
              <w:jc w:val="left"/>
            </w:pPr>
            <w:r>
              <w:t xml:space="preserve">Retain 35%; or 40% with volume discount &gt;$2M</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B</w:t>
            </w:r>
          </w:p>
        </w:tc>
        <w:tc>
          <w:tcPr/>
          <w:p>
            <w:pPr>
              <w:pStyle w:val="Compact"/>
              <w:jc w:val="left"/>
            </w:pPr>
            <w:r>
              <w:t xml:space="preserve">Prairielands pass-through</w:t>
            </w:r>
          </w:p>
        </w:tc>
        <w:tc>
          <w:tcPr/>
          <w:p>
            <w:pPr>
              <w:pStyle w:val="Compact"/>
              <w:jc w:val="left"/>
            </w:pPr>
            <w:r>
              <w:t xml:space="preserve">40% within 6 months</w:t>
            </w:r>
          </w:p>
        </w:tc>
        <w:tc>
          <w:tcPr/>
          <w:p>
            <w:pPr>
              <w:pStyle w:val="Compact"/>
              <w:jc w:val="left"/>
            </w:pPr>
            <w:r>
              <w:t xml:space="preserve">20% with 12-month phase-in (currently none)</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A</w:t>
            </w:r>
          </w:p>
        </w:tc>
        <w:tc>
          <w:tcPr/>
          <w:p>
            <w:pPr>
              <w:pStyle w:val="Compact"/>
              <w:jc w:val="left"/>
            </w:pPr>
            <w:r>
              <w:t xml:space="preserve">Insect-resistance removal from FoU</w:t>
            </w:r>
          </w:p>
        </w:tc>
        <w:tc>
          <w:tcPr/>
          <w:p>
            <w:pPr>
              <w:pStyle w:val="Compact"/>
              <w:jc w:val="left"/>
            </w:pPr>
            <w:r>
              <w:t xml:space="preserve">Remove IR; add wheat</w:t>
            </w:r>
          </w:p>
        </w:tc>
        <w:tc>
          <w:tcPr/>
          <w:p>
            <w:pPr>
              <w:pStyle w:val="Compact"/>
              <w:jc w:val="left"/>
            </w:pPr>
            <w:r>
              <w:t xml:space="preserve">Retain IR</w:t>
            </w:r>
            <w:r>
              <w:t xml:space="preserve"> </w:t>
            </w:r>
            <w:r>
              <w:rPr>
                <w:i/>
                <w:iCs/>
              </w:rPr>
              <w:t xml:space="preserve">and</w:t>
            </w:r>
            <w:r>
              <w:t xml:space="preserve"> </w:t>
            </w:r>
            <w:r>
              <w:t xml:space="preserve">add wheat; or grandfathered transitional IR license + relief</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B</w:t>
            </w:r>
          </w:p>
        </w:tc>
        <w:tc>
          <w:tcPr/>
          <w:p>
            <w:pPr>
              <w:pStyle w:val="Compact"/>
              <w:jc w:val="left"/>
            </w:pPr>
            <w:r>
              <w:t xml:space="preserve">Audit rights expansion</w:t>
            </w:r>
          </w:p>
        </w:tc>
        <w:tc>
          <w:tcPr/>
          <w:p>
            <w:pPr>
              <w:pStyle w:val="Compact"/>
              <w:jc w:val="left"/>
            </w:pPr>
            <w:r>
              <w:t xml:space="preserve">2×/yr, 15 bus. days, 5-yr lookback</w:t>
            </w:r>
          </w:p>
        </w:tc>
        <w:tc>
          <w:tcPr/>
          <w:p>
            <w:pPr>
              <w:pStyle w:val="Compact"/>
              <w:jc w:val="left"/>
            </w:pPr>
            <w:r>
              <w:t xml:space="preserve">Retain 1×/yr; 20 bus. days’ notice; 3-yr lookback</w:t>
            </w:r>
          </w:p>
        </w:tc>
        <w:tc>
          <w:tcPr/>
          <w:p>
            <w:pPr>
              <w:pStyle w:val="Compact"/>
              <w:jc w:val="left"/>
            </w:pPr>
            <w:r>
              <w:t xml:space="preserve">Low</w:t>
            </w:r>
          </w:p>
        </w:tc>
      </w:tr>
      <w:tr>
        <w:tc>
          <w:tcPr/>
          <w:p>
            <w:pPr>
              <w:pStyle w:val="Compact"/>
              <w:jc w:val="left"/>
            </w:pPr>
            <w:r>
              <w:t xml:space="preserve">13</w:t>
            </w:r>
          </w:p>
        </w:tc>
        <w:tc>
          <w:tcPr/>
          <w:p>
            <w:pPr>
              <w:pStyle w:val="Compact"/>
              <w:jc w:val="left"/>
            </w:pPr>
            <w:r>
              <w:t xml:space="preserve">A</w:t>
            </w:r>
          </w:p>
        </w:tc>
        <w:tc>
          <w:tcPr/>
          <w:p>
            <w:pPr>
              <w:pStyle w:val="Compact"/>
              <w:jc w:val="left"/>
            </w:pPr>
            <w:r>
              <w:t xml:space="preserve">Anti-stacking floor</w:t>
            </w:r>
          </w:p>
        </w:tc>
        <w:tc>
          <w:tcPr/>
          <w:p>
            <w:pPr>
              <w:pStyle w:val="Compact"/>
              <w:jc w:val="left"/>
            </w:pPr>
            <w:r>
              <w:t xml:space="preserve">25% offset; floor 4.75%</w:t>
            </w:r>
          </w:p>
        </w:tc>
        <w:tc>
          <w:tcPr/>
          <w:p>
            <w:pPr>
              <w:pStyle w:val="Compact"/>
              <w:jc w:val="left"/>
            </w:pPr>
            <w:r>
              <w:t xml:space="preserve">Accept; re-cast floor at 75% of</w:t>
            </w:r>
            <w:r>
              <w:t xml:space="preserve"> </w:t>
            </w:r>
            <w:r>
              <w:rPr>
                <w:i/>
                <w:iCs/>
              </w:rPr>
              <w:t xml:space="preserve">calculated</w:t>
            </w:r>
            <w:r>
              <w:t xml:space="preserve"> </w:t>
            </w:r>
            <w:r>
              <w:t xml:space="preserve">royalty</w:t>
            </w:r>
          </w:p>
        </w:tc>
        <w:tc>
          <w:tcPr/>
          <w:p>
            <w:pPr>
              <w:pStyle w:val="Compact"/>
              <w:jc w:val="left"/>
            </w:pPr>
            <w:r>
              <w:t xml:space="preserve">Low</w:t>
            </w:r>
          </w:p>
        </w:tc>
      </w:tr>
      <w:tr>
        <w:tc>
          <w:tcPr/>
          <w:p>
            <w:pPr>
              <w:pStyle w:val="Compact"/>
              <w:jc w:val="left"/>
            </w:pPr>
            <w:r>
              <w:t xml:space="preserve">14</w:t>
            </w:r>
          </w:p>
        </w:tc>
        <w:tc>
          <w:tcPr/>
          <w:p>
            <w:pPr>
              <w:pStyle w:val="Compact"/>
              <w:jc w:val="left"/>
            </w:pPr>
            <w:r>
              <w:t xml:space="preserve">C</w:t>
            </w:r>
          </w:p>
        </w:tc>
        <w:tc>
          <w:tcPr/>
          <w:p>
            <w:pPr>
              <w:pStyle w:val="Compact"/>
              <w:jc w:val="left"/>
            </w:pPr>
            <w:r>
              <w:t xml:space="preserve">Version 5.x conversion tool</w:t>
            </w:r>
          </w:p>
        </w:tc>
        <w:tc>
          <w:tcPr/>
          <w:p>
            <w:pPr>
              <w:pStyle w:val="Compact"/>
              <w:jc w:val="left"/>
            </w:pPr>
            <w:r>
              <w:t xml:space="preserve">$175K additional</w:t>
            </w:r>
          </w:p>
        </w:tc>
        <w:tc>
          <w:tcPr/>
          <w:p>
            <w:pPr>
              <w:pStyle w:val="Compact"/>
              <w:jc w:val="left"/>
            </w:pPr>
            <w:r>
              <w:t xml:space="preserve">Included at no cost as condition of renewal</w:t>
            </w:r>
          </w:p>
        </w:tc>
        <w:tc>
          <w:tcPr/>
          <w:p>
            <w:pPr>
              <w:pStyle w:val="Compact"/>
              <w:jc w:val="left"/>
            </w:pPr>
            <w:r>
              <w:t xml:space="preserve">Low</w:t>
            </w:r>
          </w:p>
        </w:tc>
      </w:tr>
    </w:tbl>
    <w:p>
      <w:r>
        <w:pict>
          <v:rect style="width:0;height:1.5pt" o:hralign="center" o:hrstd="t" o:hr="t"/>
        </w:pict>
      </w:r>
    </w:p>
    <w:bookmarkEnd w:id="46"/>
    <w:bookmarkStart w:id="47" w:name="X9d0f64900f043206df9ef1bebf49981bfedd8fd"/>
    <w:p>
      <w:pPr>
        <w:pStyle w:val="Heading2"/>
      </w:pPr>
      <w:r>
        <w:t xml:space="preserve">XI. Recommended Counter-Proposal Term Sheet</w:t>
      </w:r>
    </w:p>
    <w:p>
      <w:pPr>
        <w:pStyle w:val="FirstParagraph"/>
      </w:pPr>
      <w:r>
        <w:t xml:space="preserve">Greenfield should deliver a consolidated counter-proposal to NovaTrait on or before the</w:t>
      </w:r>
      <w:r>
        <w:t xml:space="preserve"> </w:t>
      </w:r>
      <w:r>
        <w:rPr>
          <w:b/>
          <w:bCs/>
        </w:rPr>
        <w:t xml:space="preserve">April 15, 2025</w:t>
      </w:r>
      <w:r>
        <w:t xml:space="preserve"> </w:t>
      </w:r>
      <w:r>
        <w:t xml:space="preserve">target, structured as three separable term sheets (with cross-concessions noted). The headline counter-terms are:</w:t>
      </w:r>
    </w:p>
    <w:p>
      <w:pPr>
        <w:pStyle w:val="BodyText"/>
      </w:pPr>
      <w:r>
        <w:rPr>
          <w:b/>
          <w:bCs/>
        </w:rPr>
        <w:t xml:space="preserve">License A (CRISPR-Ag Suite) — proposed renewal July 1, 2025 – June 30, 2030</w:t>
      </w:r>
    </w:p>
    <w:p>
      <w:pPr>
        <w:pStyle w:val="Compact"/>
        <w:numPr>
          <w:ilvl w:val="0"/>
          <w:numId w:val="1013"/>
        </w:numPr>
      </w:pPr>
      <w:r>
        <w:t xml:space="preserve">Royalty:</w:t>
      </w:r>
      <w:r>
        <w:t xml:space="preserve"> </w:t>
      </w:r>
      <w:r>
        <w:rPr>
          <w:b/>
          <w:bCs/>
        </w:rPr>
        <w:t xml:space="preserve">5.0%</w:t>
      </w:r>
      <w:r>
        <w:t xml:space="preserve"> </w:t>
      </w:r>
      <w:r>
        <w:t xml:space="preserve">on the</w:t>
      </w:r>
      <w:r>
        <w:t xml:space="preserve"> </w:t>
      </w:r>
      <w:r>
        <w:rPr>
          <w:i/>
          <w:iCs/>
        </w:rPr>
        <w:t xml:space="preserve">original</w:t>
      </w:r>
      <w:r>
        <w:t xml:space="preserve"> </w:t>
      </w:r>
      <w:r>
        <w:t xml:space="preserve">Net Sales definition,</w:t>
      </w:r>
      <w:r>
        <w:t xml:space="preserve"> </w:t>
      </w:r>
      <w:r>
        <w:rPr>
          <w:b/>
          <w:bCs/>
        </w:rPr>
        <w:t xml:space="preserve">stepping down to 2.5–3.0% effective March 12, 2028</w:t>
      </w:r>
      <w:r>
        <w:t xml:space="preserve"> </w:t>
      </w:r>
      <w:r>
        <w:t xml:space="preserve">(U.S. 9,234,117 expiry).</w:t>
      </w:r>
    </w:p>
    <w:p>
      <w:pPr>
        <w:pStyle w:val="Compact"/>
        <w:numPr>
          <w:ilvl w:val="0"/>
          <w:numId w:val="1013"/>
        </w:numPr>
      </w:pPr>
      <w:r>
        <w:t xml:space="preserve">MAR:</w:t>
      </w:r>
      <w:r>
        <w:t xml:space="preserve"> </w:t>
      </w:r>
      <w:r>
        <w:rPr>
          <w:b/>
          <w:bCs/>
        </w:rPr>
        <w:t xml:space="preserve">$5.0–6.0M</w:t>
      </w:r>
      <w:r>
        <w:t xml:space="preserve">, creditable as today.</w:t>
      </w:r>
    </w:p>
    <w:p>
      <w:pPr>
        <w:pStyle w:val="Compact"/>
        <w:numPr>
          <w:ilvl w:val="0"/>
          <w:numId w:val="1013"/>
        </w:numPr>
      </w:pPr>
      <w:r>
        <w:t xml:space="preserve">Net Sales: retain current definition (reject redefinition).</w:t>
      </w:r>
    </w:p>
    <w:p>
      <w:pPr>
        <w:pStyle w:val="Compact"/>
        <w:numPr>
          <w:ilvl w:val="0"/>
          <w:numId w:val="1013"/>
        </w:numPr>
      </w:pPr>
      <w:r>
        <w:t xml:space="preserve">Field of Use:</w:t>
      </w:r>
      <w:r>
        <w:t xml:space="preserve"> </w:t>
      </w:r>
      <w:r>
        <w:rPr>
          <w:b/>
          <w:bCs/>
        </w:rPr>
        <w:t xml:space="preserve">retain insect resistance and add wheat</w:t>
      </w:r>
      <w:r>
        <w:t xml:space="preserve">, conditioned on NovaTrait demonstrating patent coverage for wheat; if IR cannot be retained, a grandfathered non-exclusive transitional IR license with a multi-year sunset plus corresponding royalty/MAR relief.</w:t>
      </w:r>
    </w:p>
    <w:p>
      <w:pPr>
        <w:pStyle w:val="Compact"/>
        <w:numPr>
          <w:ilvl w:val="0"/>
          <w:numId w:val="1013"/>
        </w:numPr>
      </w:pPr>
      <w:r>
        <w:t xml:space="preserve">Sublicense pass-through:</w:t>
      </w:r>
      <w:r>
        <w:t xml:space="preserve"> </w:t>
      </w:r>
      <w:r>
        <w:rPr>
          <w:b/>
          <w:bCs/>
        </w:rPr>
        <w:t xml:space="preserve">35%</w:t>
      </w:r>
      <w:r>
        <w:t xml:space="preserve"> </w:t>
      </w:r>
      <w:r>
        <w:t xml:space="preserve">(or 40% with a volume discount above $2M).</w:t>
      </w:r>
    </w:p>
    <w:p>
      <w:pPr>
        <w:pStyle w:val="Compact"/>
        <w:numPr>
          <w:ilvl w:val="0"/>
          <w:numId w:val="1013"/>
        </w:numPr>
      </w:pPr>
      <w:r>
        <w:t xml:space="preserve">Improvements:</w:t>
      </w:r>
      <w:r>
        <w:t xml:space="preserve"> </w:t>
      </w:r>
      <w:r>
        <w:rPr>
          <w:b/>
          <w:bCs/>
        </w:rPr>
        <w:t xml:space="preserve">Greenfield sole ownership</w:t>
      </w:r>
      <w:r>
        <w:t xml:space="preserve">; non-exclusive license back to NovaTrait at a commercially reasonable (non-royalty-free) rate.</w:t>
      </w:r>
    </w:p>
    <w:p>
      <w:pPr>
        <w:pStyle w:val="Compact"/>
        <w:numPr>
          <w:ilvl w:val="0"/>
          <w:numId w:val="1013"/>
        </w:numPr>
      </w:pPr>
      <w:r>
        <w:t xml:space="preserve">Anti-stacking: accept, with floor re-cast at 75% of calculated royalty.</w:t>
      </w:r>
    </w:p>
    <w:p>
      <w:pPr>
        <w:pStyle w:val="Compact"/>
        <w:numPr>
          <w:ilvl w:val="0"/>
          <w:numId w:val="1013"/>
        </w:numPr>
      </w:pPr>
      <w:r>
        <w:t xml:space="preserve">Term: 5 years, with a further 5-year renewal option subject to a refreshed IFMV assessment.</w:t>
      </w:r>
    </w:p>
    <w:p>
      <w:pPr>
        <w:pStyle w:val="FirstParagraph"/>
      </w:pPr>
      <w:r>
        <w:rPr>
          <w:b/>
          <w:bCs/>
        </w:rPr>
        <w:t xml:space="preserve">License B (TraitForge) — proposed renewal January 1, 2025 – December 31, 2029</w:t>
      </w:r>
    </w:p>
    <w:p>
      <w:pPr>
        <w:pStyle w:val="Compact"/>
        <w:numPr>
          <w:ilvl w:val="0"/>
          <w:numId w:val="1014"/>
        </w:numPr>
      </w:pPr>
      <w:r>
        <w:t xml:space="preserve">Standstill:</w:t>
      </w:r>
      <w:r>
        <w:t xml:space="preserve"> </w:t>
      </w:r>
      <w:r>
        <w:rPr>
          <w:b/>
          <w:bCs/>
        </w:rPr>
        <w:t xml:space="preserve">extend to December 31, 2025</w:t>
      </w:r>
      <w:r>
        <w:t xml:space="preserve"> </w:t>
      </w:r>
      <w:r>
        <w:t xml:space="preserve">immediately (do not sign NovaTrait’s mutual-termination draft).</w:t>
      </w:r>
    </w:p>
    <w:p>
      <w:pPr>
        <w:pStyle w:val="Compact"/>
        <w:numPr>
          <w:ilvl w:val="0"/>
          <w:numId w:val="1014"/>
        </w:numPr>
      </w:pPr>
      <w:r>
        <w:t xml:space="preserve">Royalty:</w:t>
      </w:r>
      <w:r>
        <w:t xml:space="preserve"> </w:t>
      </w:r>
      <w:r>
        <w:rPr>
          <w:b/>
          <w:bCs/>
        </w:rPr>
        <w:t xml:space="preserve">4.25%</w:t>
      </w:r>
      <w:r>
        <w:t xml:space="preserve"> </w:t>
      </w:r>
      <w:r>
        <w:t xml:space="preserve">on the original Net Sales definition.</w:t>
      </w:r>
    </w:p>
    <w:p>
      <w:pPr>
        <w:pStyle w:val="Compact"/>
        <w:numPr>
          <w:ilvl w:val="0"/>
          <w:numId w:val="1014"/>
        </w:numPr>
      </w:pPr>
      <w:r>
        <w:t xml:space="preserve">MAR:</w:t>
      </w:r>
      <w:r>
        <w:t xml:space="preserve"> </w:t>
      </w:r>
      <w:r>
        <w:rPr>
          <w:b/>
          <w:bCs/>
        </w:rPr>
        <w:t xml:space="preserve">$3.0–3.5M</w:t>
      </w:r>
      <w:r>
        <w:t xml:space="preserve">.</w:t>
      </w:r>
    </w:p>
    <w:p>
      <w:pPr>
        <w:pStyle w:val="Compact"/>
        <w:numPr>
          <w:ilvl w:val="0"/>
          <w:numId w:val="1014"/>
        </w:numPr>
      </w:pPr>
      <w:r>
        <w:t xml:space="preserve">Bio materials:</w:t>
      </w:r>
      <w:r>
        <w:t xml:space="preserve"> </w:t>
      </w:r>
      <w:r>
        <w:rPr>
          <w:b/>
          <w:bCs/>
        </w:rPr>
        <w:t xml:space="preserve">180-day wind-down</w:t>
      </w:r>
      <w:r>
        <w:t xml:space="preserve"> </w:t>
      </w:r>
      <w:r>
        <w:t xml:space="preserve">(minimum 90 days), with right to continue use in ongoing trials.</w:t>
      </w:r>
    </w:p>
    <w:p>
      <w:pPr>
        <w:pStyle w:val="Compact"/>
        <w:numPr>
          <w:ilvl w:val="0"/>
          <w:numId w:val="1014"/>
        </w:numPr>
      </w:pPr>
      <w:r>
        <w:t xml:space="preserve">Audit:</w:t>
      </w:r>
      <w:r>
        <w:t xml:space="preserve"> </w:t>
      </w:r>
      <w:r>
        <w:rPr>
          <w:b/>
          <w:bCs/>
        </w:rPr>
        <w:t xml:space="preserve">1×/year</w:t>
      </w:r>
      <w:r>
        <w:t xml:space="preserve">; 20 business days’ notice; 3-year lookback.</w:t>
      </w:r>
    </w:p>
    <w:p>
      <w:pPr>
        <w:pStyle w:val="Compact"/>
        <w:numPr>
          <w:ilvl w:val="0"/>
          <w:numId w:val="1014"/>
        </w:numPr>
      </w:pPr>
      <w:r>
        <w:t xml:space="preserve">Improvements: retain current split-ownership structure (reject joint ownership + royalty-free grant-back).</w:t>
      </w:r>
    </w:p>
    <w:p>
      <w:pPr>
        <w:pStyle w:val="Compact"/>
        <w:numPr>
          <w:ilvl w:val="0"/>
          <w:numId w:val="1014"/>
        </w:numPr>
      </w:pPr>
      <w:r>
        <w:t xml:space="preserve">Prairielands: renew/amend sublicense in parallel;</w:t>
      </w:r>
      <w:r>
        <w:t xml:space="preserve"> </w:t>
      </w:r>
      <w:r>
        <w:rPr>
          <w:b/>
          <w:bCs/>
        </w:rPr>
        <w:t xml:space="preserve">no pass-through</w:t>
      </w:r>
      <w:r>
        <w:t xml:space="preserve"> </w:t>
      </w:r>
      <w:r>
        <w:t xml:space="preserve">(or 20% with 12-month phase-in if unavoidable).</w:t>
      </w:r>
    </w:p>
    <w:p>
      <w:pPr>
        <w:pStyle w:val="Compact"/>
        <w:numPr>
          <w:ilvl w:val="0"/>
          <w:numId w:val="1014"/>
        </w:numPr>
      </w:pPr>
      <w:r>
        <w:t xml:space="preserve">Term: 5 years, with a further 3-year option.</w:t>
      </w:r>
    </w:p>
    <w:p>
      <w:pPr>
        <w:pStyle w:val="FirstParagraph"/>
      </w:pPr>
      <w:r>
        <w:rPr>
          <w:b/>
          <w:bCs/>
        </w:rPr>
        <w:t xml:space="preserve">License C (GenoMap Pro) — proposed renewal March 1, 2025 – February 28, 2028</w:t>
      </w:r>
    </w:p>
    <w:p>
      <w:pPr>
        <w:pStyle w:val="Compact"/>
        <w:numPr>
          <w:ilvl w:val="0"/>
          <w:numId w:val="1015"/>
        </w:numPr>
      </w:pPr>
      <w:r>
        <w:t xml:space="preserve">Fee:</w:t>
      </w:r>
      <w:r>
        <w:t xml:space="preserve"> </w:t>
      </w:r>
      <w:r>
        <w:rPr>
          <w:b/>
          <w:bCs/>
        </w:rPr>
        <w:t xml:space="preserve">$3.5–4.0M</w:t>
      </w:r>
      <w:r>
        <w:t xml:space="preserve"> </w:t>
      </w:r>
      <w:r>
        <w:t xml:space="preserve">annually;</w:t>
      </w:r>
      <w:r>
        <w:t xml:space="preserve"> </w:t>
      </w:r>
      <w:r>
        <w:rPr>
          <w:b/>
          <w:bCs/>
        </w:rPr>
        <w:t xml:space="preserve">no user cap</w:t>
      </w:r>
      <w:r>
        <w:t xml:space="preserve"> </w:t>
      </w:r>
      <w:r>
        <w:t xml:space="preserve">(or ≥100 users); overage ≤$12,000/user.</w:t>
      </w:r>
    </w:p>
    <w:p>
      <w:pPr>
        <w:pStyle w:val="Compact"/>
        <w:numPr>
          <w:ilvl w:val="0"/>
          <w:numId w:val="1015"/>
        </w:numPr>
      </w:pPr>
      <w:r>
        <w:t xml:space="preserve">One-time costs: Version 5.x conversion tool and migration assistance</w:t>
      </w:r>
      <w:r>
        <w:t xml:space="preserve"> </w:t>
      </w:r>
      <w:r>
        <w:rPr>
          <w:b/>
          <w:bCs/>
        </w:rPr>
        <w:t xml:space="preserve">included at no additional cost</w:t>
      </w:r>
      <w:r>
        <w:t xml:space="preserve">.</w:t>
      </w:r>
    </w:p>
    <w:p>
      <w:pPr>
        <w:pStyle w:val="Compact"/>
        <w:numPr>
          <w:ilvl w:val="0"/>
          <w:numId w:val="1015"/>
        </w:numPr>
      </w:pPr>
      <w:r>
        <w:t xml:space="preserve">Source code:</w:t>
      </w:r>
      <w:r>
        <w:t xml:space="preserve"> </w:t>
      </w:r>
      <w:r>
        <w:rPr>
          <w:b/>
          <w:bCs/>
        </w:rPr>
        <w:t xml:space="preserve">retain access</w:t>
      </w:r>
      <w:r>
        <w:t xml:space="preserve"> </w:t>
      </w:r>
      <w:r>
        <w:t xml:space="preserve">for internal modification (with enhanced security/escrow).</w:t>
      </w:r>
    </w:p>
    <w:p>
      <w:pPr>
        <w:pStyle w:val="Compact"/>
        <w:numPr>
          <w:ilvl w:val="0"/>
          <w:numId w:val="1015"/>
        </w:numPr>
      </w:pPr>
      <w:r>
        <w:t xml:space="preserve">Data:</w:t>
      </w:r>
      <w:r>
        <w:t xml:space="preserve"> </w:t>
      </w:r>
      <w:r>
        <w:rPr>
          <w:b/>
          <w:bCs/>
        </w:rPr>
        <w:t xml:space="preserve">Greenfield retains sole ownership of all Input and Derivative Data</w:t>
      </w:r>
      <w:r>
        <w:t xml:space="preserve">; reject the NovaTrait-ownership clause.</w:t>
      </w:r>
    </w:p>
    <w:p>
      <w:pPr>
        <w:pStyle w:val="Compact"/>
        <w:numPr>
          <w:ilvl w:val="0"/>
          <w:numId w:val="1015"/>
        </w:numPr>
      </w:pPr>
      <w:r>
        <w:t xml:space="preserve">Modifications: retain Greenfield ownership of Licensee Modifications.</w:t>
      </w:r>
    </w:p>
    <w:p>
      <w:pPr>
        <w:pStyle w:val="Compact"/>
        <w:numPr>
          <w:ilvl w:val="0"/>
          <w:numId w:val="1015"/>
        </w:numPr>
      </w:pPr>
      <w:r>
        <w:t xml:space="preserve">Term: 3 years, with a single 3-year renewal option.</w:t>
      </w:r>
    </w:p>
    <w:p>
      <w:pPr>
        <w:pStyle w:val="Compact"/>
        <w:numPr>
          <w:ilvl w:val="0"/>
          <w:numId w:val="1015"/>
        </w:numPr>
      </w:pPr>
      <w:r>
        <w:t xml:space="preserve">Parallel action: initiate competitive evaluation of BioSphere Analytics, PlantLogic Suite, and TraitView Pro.</w:t>
      </w:r>
    </w:p>
    <w:p>
      <w:r>
        <w:pict>
          <v:rect style="width:0;height:1.5pt" o:hralign="center" o:hrstd="t" o:hr="t"/>
        </w:pict>
      </w:r>
    </w:p>
    <w:bookmarkEnd w:id="47"/>
    <w:bookmarkStart w:id="48" w:name="xii.-timeline-and-action-items"/>
    <w:p>
      <w:pPr>
        <w:pStyle w:val="Heading2"/>
      </w:pPr>
      <w:r>
        <w:t xml:space="preserve">XII. Timeline and Action Items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Target date</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Immediately</w:t>
            </w:r>
          </w:p>
        </w:tc>
        <w:tc>
          <w:tcPr/>
          <w:p>
            <w:pPr>
              <w:pStyle w:val="Compact"/>
              <w:jc w:val="left"/>
            </w:pPr>
            <w:r>
              <w:t xml:space="preserve">Confirm License B (9/30/24) and License C (11/30/24) renewal notices were delivered</w:t>
            </w:r>
          </w:p>
        </w:tc>
        <w:tc>
          <w:tcPr/>
          <w:p>
            <w:pPr>
              <w:pStyle w:val="Compact"/>
              <w:jc w:val="left"/>
            </w:pPr>
            <w:r>
              <w:t xml:space="preserve">GC / outside counsel</w:t>
            </w:r>
          </w:p>
        </w:tc>
      </w:tr>
      <w:tr>
        <w:tc>
          <w:tcPr/>
          <w:p>
            <w:pPr>
              <w:pStyle w:val="Compact"/>
              <w:jc w:val="left"/>
            </w:pPr>
            <w:r>
              <w:t xml:space="preserve">Immediately</w:t>
            </w:r>
          </w:p>
        </w:tc>
        <w:tc>
          <w:tcPr/>
          <w:p>
            <w:pPr>
              <w:pStyle w:val="Compact"/>
              <w:jc w:val="left"/>
            </w:pPr>
            <w:r>
              <w:t xml:space="preserve">Secure License C interim/holdover access (expires 2/28/2025)</w:t>
            </w:r>
          </w:p>
        </w:tc>
        <w:tc>
          <w:tcPr/>
          <w:p>
            <w:pPr>
              <w:pStyle w:val="Compact"/>
              <w:jc w:val="left"/>
            </w:pPr>
            <w:r>
              <w:t xml:space="preserve">GC / IT</w:t>
            </w:r>
          </w:p>
        </w:tc>
      </w:tr>
      <w:tr>
        <w:tc>
          <w:tcPr/>
          <w:p>
            <w:pPr>
              <w:pStyle w:val="Compact"/>
              <w:jc w:val="left"/>
            </w:pPr>
            <w:r>
              <w:t xml:space="preserve">Immediately</w:t>
            </w:r>
          </w:p>
        </w:tc>
        <w:tc>
          <w:tcPr/>
          <w:p>
            <w:pPr>
              <w:pStyle w:val="Compact"/>
              <w:jc w:val="left"/>
            </w:pPr>
            <w:r>
              <w:t xml:space="preserve">Reject NovaTrait’s mutual-termination standstill draft; seek unilateral extension to 12/31/2025</w:t>
            </w:r>
          </w:p>
        </w:tc>
        <w:tc>
          <w:tcPr/>
          <w:p>
            <w:pPr>
              <w:pStyle w:val="Compact"/>
              <w:jc w:val="left"/>
            </w:pPr>
            <w:r>
              <w:t xml:space="preserve">GC / outside counsel</w:t>
            </w:r>
          </w:p>
        </w:tc>
      </w:tr>
      <w:tr>
        <w:tc>
          <w:tcPr/>
          <w:p>
            <w:pPr>
              <w:pStyle w:val="Compact"/>
              <w:jc w:val="left"/>
            </w:pPr>
            <w:r>
              <w:t xml:space="preserve">On or before 3/31/2025</w:t>
            </w:r>
          </w:p>
        </w:tc>
        <w:tc>
          <w:tcPr/>
          <w:p>
            <w:pPr>
              <w:pStyle w:val="Compact"/>
              <w:jc w:val="left"/>
            </w:pPr>
            <w:r>
              <w:t xml:space="preserve">Deliver License A §14.2 renewal notice to NovaTrait</w:t>
            </w:r>
          </w:p>
        </w:tc>
        <w:tc>
          <w:tcPr/>
          <w:p>
            <w:pPr>
              <w:pStyle w:val="Compact"/>
              <w:jc w:val="left"/>
            </w:pPr>
            <w:r>
              <w:t xml:space="preserve">GC</w:t>
            </w:r>
          </w:p>
        </w:tc>
      </w:tr>
      <w:tr>
        <w:tc>
          <w:tcPr/>
          <w:p>
            <w:pPr>
              <w:pStyle w:val="Compact"/>
              <w:jc w:val="left"/>
            </w:pPr>
            <w:r>
              <w:t xml:space="preserve">By 3/15/2025</w:t>
            </w:r>
          </w:p>
        </w:tc>
        <w:tc>
          <w:tcPr/>
          <w:p>
            <w:pPr>
              <w:pStyle w:val="Compact"/>
              <w:jc w:val="left"/>
            </w:pPr>
            <w:r>
              <w:t xml:space="preserve">Commission updated patent-landscape analysis (refresh 2020 Clarendon report; focus on AgriGenome/CropTech)</w:t>
            </w:r>
          </w:p>
        </w:tc>
        <w:tc>
          <w:tcPr/>
          <w:p>
            <w:pPr>
              <w:pStyle w:val="Compact"/>
              <w:jc w:val="left"/>
            </w:pPr>
            <w:r>
              <w:t xml:space="preserve">GC / Clarendon</w:t>
            </w:r>
          </w:p>
        </w:tc>
      </w:tr>
      <w:tr>
        <w:tc>
          <w:tcPr/>
          <w:p>
            <w:pPr>
              <w:pStyle w:val="Compact"/>
              <w:jc w:val="left"/>
            </w:pPr>
            <w:r>
              <w:t xml:space="preserve">By 3/31/2025</w:t>
            </w:r>
          </w:p>
        </w:tc>
        <w:tc>
          <w:tcPr/>
          <w:p>
            <w:pPr>
              <w:pStyle w:val="Compact"/>
              <w:jc w:val="left"/>
            </w:pPr>
            <w:r>
              <w:t xml:space="preserve">Obtain competitive fee proposals from BioSphere / PlantLogic / TraitView Pro</w:t>
            </w:r>
          </w:p>
        </w:tc>
        <w:tc>
          <w:tcPr/>
          <w:p>
            <w:pPr>
              <w:pStyle w:val="Compact"/>
              <w:jc w:val="left"/>
            </w:pPr>
            <w:r>
              <w:t xml:space="preserve">CTO / procurement</w:t>
            </w:r>
          </w:p>
        </w:tc>
      </w:tr>
      <w:tr>
        <w:tc>
          <w:tcPr/>
          <w:p>
            <w:pPr>
              <w:pStyle w:val="Compact"/>
              <w:jc w:val="left"/>
            </w:pPr>
            <w:r>
              <w:t xml:space="preserve">On or before 4/15/2025</w:t>
            </w:r>
          </w:p>
        </w:tc>
        <w:tc>
          <w:tcPr/>
          <w:p>
            <w:pPr>
              <w:pStyle w:val="Compact"/>
              <w:jc w:val="left"/>
            </w:pPr>
            <w:r>
              <w:t xml:space="preserve">Deliver consolidated counter-proposal (three separable term sheets)</w:t>
            </w:r>
          </w:p>
        </w:tc>
        <w:tc>
          <w:tcPr/>
          <w:p>
            <w:pPr>
              <w:pStyle w:val="Compact"/>
              <w:jc w:val="left"/>
            </w:pPr>
            <w:r>
              <w:t xml:space="preserve">GC / Ashworth &amp; Calder</w:t>
            </w:r>
          </w:p>
        </w:tc>
      </w:tr>
      <w:tr>
        <w:tc>
          <w:tcPr/>
          <w:p>
            <w:pPr>
              <w:pStyle w:val="Compact"/>
              <w:jc w:val="left"/>
            </w:pPr>
            <w:r>
              <w:t xml:space="preserve">Ongoing</w:t>
            </w:r>
          </w:p>
        </w:tc>
        <w:tc>
          <w:tcPr/>
          <w:p>
            <w:pPr>
              <w:pStyle w:val="Compact"/>
              <w:jc w:val="left"/>
            </w:pPr>
            <w:r>
              <w:t xml:space="preserve">Negotiate; do not allow License B standstill to lapse past 6/29/2025</w:t>
            </w:r>
          </w:p>
        </w:tc>
        <w:tc>
          <w:tcPr/>
          <w:p>
            <w:pPr>
              <w:pStyle w:val="Compact"/>
              <w:jc w:val="left"/>
            </w:pPr>
            <w:r>
              <w:t xml:space="preserve">GC / deal team</w:t>
            </w:r>
          </w:p>
        </w:tc>
      </w:tr>
      <w:tr>
        <w:tc>
          <w:tcPr/>
          <w:p>
            <w:pPr>
              <w:pStyle w:val="Compact"/>
              <w:jc w:val="left"/>
            </w:pPr>
            <w:r>
              <w:t xml:space="preserve">By 6/29/2025</w:t>
            </w:r>
          </w:p>
        </w:tc>
        <w:tc>
          <w:tcPr/>
          <w:p>
            <w:pPr>
              <w:pStyle w:val="Compact"/>
              <w:jc w:val="left"/>
            </w:pPr>
            <w:r>
              <w:t xml:space="preserve">Execute License B renewal</w:t>
            </w:r>
            <w:r>
              <w:t xml:space="preserve"> </w:t>
            </w:r>
            <w:r>
              <w:rPr>
                <w:i/>
                <w:iCs/>
              </w:rPr>
              <w:t xml:space="preserve">or</w:t>
            </w:r>
            <w:r>
              <w:t xml:space="preserve"> </w:t>
            </w:r>
            <w:r>
              <w:t xml:space="preserve">documented standstill extension (hard deadline)</w:t>
            </w:r>
          </w:p>
        </w:tc>
        <w:tc>
          <w:tcPr/>
          <w:p>
            <w:pPr>
              <w:pStyle w:val="Compact"/>
              <w:jc w:val="left"/>
            </w:pPr>
            <w:r>
              <w:t xml:space="preserve">GC / CEO</w:t>
            </w:r>
          </w:p>
        </w:tc>
      </w:tr>
      <w:tr>
        <w:tc>
          <w:tcPr/>
          <w:p>
            <w:pPr>
              <w:pStyle w:val="Compact"/>
              <w:jc w:val="left"/>
            </w:pPr>
            <w:r>
              <w:t xml:space="preserve">By 6/30/2025</w:t>
            </w:r>
          </w:p>
        </w:tc>
        <w:tc>
          <w:tcPr/>
          <w:p>
            <w:pPr>
              <w:pStyle w:val="Compact"/>
              <w:jc w:val="left"/>
            </w:pPr>
            <w:r>
              <w:t xml:space="preserve">Execute License A renewal (or assess standstill/holdover options)</w:t>
            </w:r>
          </w:p>
        </w:tc>
        <w:tc>
          <w:tcPr/>
          <w:p>
            <w:pPr>
              <w:pStyle w:val="Compact"/>
              <w:jc w:val="left"/>
            </w:pPr>
            <w:r>
              <w:t xml:space="preserve">GC / CEO</w:t>
            </w:r>
          </w:p>
        </w:tc>
      </w:tr>
      <w:tr>
        <w:tc>
          <w:tcPr/>
          <w:p>
            <w:pPr>
              <w:pStyle w:val="Compact"/>
              <w:jc w:val="left"/>
            </w:pPr>
            <w:r>
              <w:t xml:space="preserve">2027 (mid-year)</w:t>
            </w:r>
          </w:p>
        </w:tc>
        <w:tc>
          <w:tcPr/>
          <w:p>
            <w:pPr>
              <w:pStyle w:val="Compact"/>
              <w:jc w:val="left"/>
            </w:pPr>
            <w:r>
              <w:t xml:space="preserve">Begin formal alternative-platform evaluation for License C (renewal expires 2/28/2028)</w:t>
            </w:r>
          </w:p>
        </w:tc>
        <w:tc>
          <w:tcPr/>
          <w:p>
            <w:pPr>
              <w:pStyle w:val="Compact"/>
              <w:jc w:val="left"/>
            </w:pPr>
            <w:r>
              <w:t xml:space="preserve">CTO</w:t>
            </w:r>
          </w:p>
        </w:tc>
      </w:tr>
      <w:tr>
        <w:tc>
          <w:tcPr/>
          <w:p>
            <w:pPr>
              <w:pStyle w:val="Compact"/>
              <w:jc w:val="left"/>
            </w:pPr>
            <w:r>
              <w:t xml:space="preserve">2029</w:t>
            </w:r>
          </w:p>
        </w:tc>
        <w:tc>
          <w:tcPr/>
          <w:p>
            <w:pPr>
              <w:pStyle w:val="Compact"/>
              <w:jc w:val="left"/>
            </w:pPr>
            <w:r>
              <w:t xml:space="preserve">Reassess competitive landscape and switching costs for License A (renewal expires 6/30/2030)</w:t>
            </w:r>
          </w:p>
        </w:tc>
        <w:tc>
          <w:tcPr/>
          <w:p>
            <w:pPr>
              <w:pStyle w:val="Compact"/>
              <w:jc w:val="left"/>
            </w:pPr>
            <w:r>
              <w:t xml:space="preserve">GC / strategy</w:t>
            </w:r>
          </w:p>
        </w:tc>
      </w:tr>
    </w:tbl>
    <w:p>
      <w:r>
        <w:pict>
          <v:rect style="width:0;height:1.5pt" o:hralign="center" o:hrstd="t" o:hr="t"/>
        </w:pict>
      </w:r>
    </w:p>
    <w:bookmarkEnd w:id="48"/>
    <w:bookmarkStart w:id="49" w:name="xiii.-conclusion"/>
    <w:p>
      <w:pPr>
        <w:pStyle w:val="Heading2"/>
      </w:pPr>
      <w:r>
        <w:t xml:space="preserve">XIII. Conclusion</w:t>
      </w:r>
    </w:p>
    <w:p>
      <w:pPr>
        <w:pStyle w:val="FirstParagraph"/>
      </w:pPr>
      <w:r>
        <w:t xml:space="preserve">NovaTrait’s Proposal would raise Greenfield’s aggregate IP cost by roughly half, to over 7% of revenue, with every proposed rate and fee above market and several terms representing material adverse changes (source-code elimination, derivative-data ownership grab, improvements reversal, insect-resistance scope removal, 30-day biological-materials return). The Proposal is not acceptable as presented.</w:t>
      </w:r>
    </w:p>
    <w:p>
      <w:pPr>
        <w:pStyle w:val="BodyText"/>
      </w:pPr>
      <w:r>
        <w:t xml:space="preserve">At the same time, the three licenses are not equally substitutable, and Greenfield’s strategy must be differentiated:</w:t>
      </w:r>
      <w:r>
        <w:t xml:space="preserve"> </w:t>
      </w:r>
      <w:r>
        <w:rPr>
          <w:b/>
          <w:bCs/>
        </w:rPr>
        <w:t xml:space="preserve">renew License B</w:t>
      </w:r>
      <w:r>
        <w:t xml:space="preserve"> </w:t>
      </w:r>
      <w:r>
        <w:t xml:space="preserve">(irreplaceable) while re-pricing to 4.25% and protecting the wind-down;</w:t>
      </w:r>
      <w:r>
        <w:t xml:space="preserve"> </w:t>
      </w:r>
      <w:r>
        <w:rPr>
          <w:b/>
          <w:bCs/>
        </w:rPr>
        <w:t xml:space="preserve">re-price License A</w:t>
      </w:r>
      <w:r>
        <w:t xml:space="preserve"> </w:t>
      </w:r>
      <w:r>
        <w:t xml:space="preserve">to 5.0% with a mandatory step-down at the March 2028 foundational-patent expiry and retention of insect resistance; and</w:t>
      </w:r>
      <w:r>
        <w:t xml:space="preserve"> </w:t>
      </w:r>
      <w:r>
        <w:rPr>
          <w:b/>
          <w:bCs/>
        </w:rPr>
        <w:t xml:space="preserve">aggressively re-price or replace License C</w:t>
      </w:r>
      <w:r>
        <w:t xml:space="preserve"> </w:t>
      </w:r>
      <w:r>
        <w:t xml:space="preserve">toward the $3.5–4.0M market range, retaining source-code access and full data ownership. The most urgent risk is procedural: the License B standstill expires June 29, 2025, and must be extended — and the License B and Prairielands renewals concluded — before that date to avoid a forced shutdown of an irreplaceable platform.</w:t>
      </w:r>
    </w:p>
    <w:p>
      <w:pPr>
        <w:pStyle w:val="BodyText"/>
      </w:pPr>
      <w:r>
        <w:t xml:space="preserve">We recommend that the Board authorize the deal team to (i) extend the License B standstill on a unilateral basis, (ii) deliver the License A renewal notice by March 31, 2025, (iii) commission the updated patent-landscape analysis and the License C competitive bids, and (iv) deliver the consolidated counter-proposal set out in Section XI on or before April 15, 2025.</w:t>
      </w:r>
    </w:p>
    <w:p>
      <w:r>
        <w:pict>
          <v:rect style="width:0;height:1.5pt" o:hralign="center" o:hrstd="t" o:hr="t"/>
        </w:pict>
      </w:r>
    </w:p>
    <w:p>
      <w:pPr>
        <w:pStyle w:val="FirstParagraph"/>
      </w:pPr>
      <w:r>
        <w:rPr>
          <w:i/>
          <w:iCs/>
        </w:rPr>
        <w:t xml:space="preserve">Prepared by the Office of the General Counsel, Greenfield Biosciences, Inc., with Ashworth &amp; Calder LLP, Ridgemont/Oakvale Advisory Group, and Clarendon IP Consulting, LLC. This memorandum is privileged and confidential, constitutes attorney work product, and is prepared in anticipation of license-renewal negotiations. It does not constitute a final legal opinion on any specific provision; section-by-section contractual analysis is available on request.</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2026-06-26T23:41:20Z</dcterms:created>
  <dcterms:modified xsi:type="dcterms:W3CDTF">2026-06-26T23:41:20Z</dcterms:modified>
</cp:coreProperties>
</file>

<file path=docProps/custom.xml><?xml version="1.0" encoding="utf-8"?>
<Properties xmlns="http://schemas.openxmlformats.org/officeDocument/2006/custom-properties" xmlns:vt="http://schemas.openxmlformats.org/officeDocument/2006/docPropsVTypes"/>
</file>