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Xb00a8ce9f01252ee933d31ffed2c10f1672bce1"/>
    <w:p>
      <w:pPr>
        <w:pStyle w:val="Heading1"/>
      </w:pPr>
      <w:r>
        <w:t xml:space="preserve">PRIVILEGED &amp; CONFIDENTIAL — 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Dr. Eleanor Harrington, Chief Executive Officer; Marcus J.</w:t>
      </w:r>
      <w:r>
        <w:t xml:space="preserve"> </w:t>
      </w:r>
      <w:r>
        <w:t xml:space="preserve">Whitfield, Esq., General Counsel — Greenfield Biosciences,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Outside IP Licensing Counsel (Ashworth &amp; Calder LLP) and</w:t>
      </w:r>
      <w:r>
        <w:t xml:space="preserve"> </w:t>
      </w:r>
      <w:r>
        <w:t xml:space="preserve">Oakvale Advisory Group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Renewal Analysis</w:t>
      </w:r>
      <w:r>
        <w:t xml:space="preserve"> </w:t>
      </w:r>
      <w:r>
        <w:t xml:space="preserve">— NovaTrait Genomics Corporation Consolidated Renewal Proposal</w:t>
      </w:r>
      <w:r>
        <w:t xml:space="preserve"> </w:t>
      </w:r>
      <w:r>
        <w:t xml:space="preserve">(Licenses A, B &amp; C), Prairielands Sublicense, and Supporting</w:t>
      </w:r>
      <w:r>
        <w:t xml:space="preserve"> </w:t>
      </w:r>
      <w:r>
        <w:t xml:space="preserve">Patent/Financial Diligence</w:t>
      </w:r>
      <w:r>
        <w:t xml:space="preserve"> </w:t>
      </w:r>
      <w:r>
        <w:rPr>
          <w:b/>
          <w:bCs/>
        </w:rPr>
        <w:t xml:space="preserve">Prepared at the request of:</w:t>
      </w:r>
      <w:r>
        <w:t xml:space="preserve"> </w:t>
      </w:r>
      <w:r>
        <w:t xml:space="preserve">Greenfield</w:t>
      </w:r>
      <w:r>
        <w:t xml:space="preserve"> </w:t>
      </w:r>
      <w:r>
        <w:t xml:space="preserve">Biosciences, Inc. 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Licensee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Subject to:</w:t>
      </w:r>
      <w:r>
        <w:t xml:space="preserve"> </w:t>
      </w:r>
      <w:r>
        <w:t xml:space="preserve">Fed.</w:t>
      </w:r>
      <w:r>
        <w:t xml:space="preserve"> </w:t>
      </w:r>
      <w:r>
        <w:t xml:space="preserve">R. Evid. 408 / Mass. R. Evid. 408 (settlement-negotiation privilege)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Greenfield holds three intellectual-property and software licenses from</w:t>
      </w:r>
      <w:r>
        <w:t xml:space="preserve"> </w:t>
      </w:r>
      <w:r>
        <w:t xml:space="preserve">NovaTrait Genomics Corporation (</w:t>
      </w:r>
      <w:r>
        <w:t xml:space="preserve">“</w:t>
      </w:r>
      <w:r>
        <w:t xml:space="preserve">NovaTrait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Licensor</w:t>
      </w:r>
      <w:r>
        <w:t xml:space="preserve">”</w:t>
      </w:r>
      <w:r>
        <w:t xml:space="preserve">), all of</w:t>
      </w:r>
      <w:r>
        <w:t xml:space="preserve"> </w:t>
      </w:r>
      <w:r>
        <w:t xml:space="preserve">which are at or past their initial expiration dates and are the subject</w:t>
      </w:r>
      <w:r>
        <w:t xml:space="preserve"> </w:t>
      </w:r>
      <w:r>
        <w:t xml:space="preserve">of NovaTrait’s consolidated renewal proposal dated October 14, 2024 (the</w:t>
      </w:r>
      <w:r>
        <w:t xml:space="preserve"> </w:t>
      </w:r>
      <w:r>
        <w:t xml:space="preserve">“</w:t>
      </w:r>
      <w:r>
        <w:t xml:space="preserve">Proposal</w:t>
      </w:r>
      <w:r>
        <w:t xml:space="preserve">”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A</w:t>
      </w:r>
      <w:r>
        <w:t xml:space="preserve"> </w:t>
      </w:r>
      <w:r>
        <w:t xml:space="preserve">— Intellectual Property License Agreement (CRISPR-Ag</w:t>
      </w:r>
      <w:r>
        <w:t xml:space="preserve"> </w:t>
      </w:r>
      <w:r>
        <w:t xml:space="preserve">Suite Gene-Editing Platform), No. NT-GF-2015-001, effective July 1,</w:t>
      </w:r>
      <w:r>
        <w:t xml:space="preserve"> </w:t>
      </w:r>
      <w:r>
        <w:t xml:space="preserve">2015; initial term expires</w:t>
      </w:r>
      <w:r>
        <w:t xml:space="preserve"> </w:t>
      </w:r>
      <w:r>
        <w:rPr>
          <w:b/>
          <w:bCs/>
        </w:rPr>
        <w:t xml:space="preserve">June 30,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B</w:t>
      </w:r>
      <w:r>
        <w:t xml:space="preserve"> </w:t>
      </w:r>
      <w:r>
        <w:t xml:space="preserve">— Plant Trait Expression Platform License Agreement</w:t>
      </w:r>
      <w:r>
        <w:t xml:space="preserve"> </w:t>
      </w:r>
      <w:r>
        <w:t xml:space="preserve">(TraitForge), effective January 1, 2018; initial term</w:t>
      </w:r>
      <w:r>
        <w:t xml:space="preserve"> </w:t>
      </w:r>
      <w:r>
        <w:rPr>
          <w:b/>
          <w:bCs/>
        </w:rPr>
        <w:t xml:space="preserve">expired</w:t>
      </w:r>
      <w:r>
        <w:rPr>
          <w:b/>
          <w:bCs/>
        </w:rPr>
        <w:t xml:space="preserve"> </w:t>
      </w:r>
      <w:r>
        <w:rPr>
          <w:b/>
          <w:bCs/>
        </w:rPr>
        <w:t xml:space="preserve">December 31, 2024</w:t>
      </w:r>
      <w:r>
        <w:t xml:space="preserve">; currently operating under the Section 12.6</w:t>
      </w:r>
      <w:r>
        <w:t xml:space="preserve"> </w:t>
      </w:r>
      <w:r>
        <w:t xml:space="preserve">standstill.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 C</w:t>
      </w:r>
      <w:r>
        <w:t xml:space="preserve"> </w:t>
      </w:r>
      <w:r>
        <w:t xml:space="preserve">— GenoMap Pro Software License Agreement, effective</w:t>
      </w:r>
      <w:r>
        <w:t xml:space="preserve"> </w:t>
      </w:r>
      <w:r>
        <w:t xml:space="preserve">March 1, 2020; initial term expires</w:t>
      </w:r>
      <w:r>
        <w:t xml:space="preserve"> </w:t>
      </w:r>
      <w:r>
        <w:rPr>
          <w:b/>
          <w:bCs/>
        </w:rPr>
        <w:t xml:space="preserve">February 28, 2025</w:t>
      </w:r>
      <w:r>
        <w:t xml:space="preserve">.</w:t>
      </w:r>
    </w:p>
    <w:p>
      <w:pPr>
        <w:pStyle w:val="FirstParagraph"/>
      </w:pPr>
      <w:r>
        <w:t xml:space="preserve">Greenfield also maintains a downstream sublicense of the TraitForge</w:t>
      </w:r>
      <w:r>
        <w:t xml:space="preserve"> </w:t>
      </w:r>
      <w:r>
        <w:t xml:space="preserve">platform to Prairielands Seed Cooperative (the</w:t>
      </w:r>
      <w:r>
        <w:t xml:space="preserve"> </w:t>
      </w:r>
      <w:r>
        <w:t xml:space="preserve">“</w:t>
      </w:r>
      <w:r>
        <w:t xml:space="preserve">Prairielands</w:t>
      </w:r>
      <w:r>
        <w:t xml:space="preserve"> </w:t>
      </w:r>
      <w:r>
        <w:t xml:space="preserve">Sublicense,</w:t>
      </w:r>
      <w:r>
        <w:t xml:space="preserve">”</w:t>
      </w:r>
      <w:r>
        <w:t xml:space="preserve"> </w:t>
      </w:r>
      <w:r>
        <w:t xml:space="preserve">effective May 1, 2021), which was drafted to be co-terminus</w:t>
      </w:r>
      <w:r>
        <w:t xml:space="preserve"> </w:t>
      </w:r>
      <w:r>
        <w:t xml:space="preserve">with License B and is therefore directly affected by the License B</w:t>
      </w:r>
      <w:r>
        <w:t xml:space="preserve"> </w:t>
      </w:r>
      <w:r>
        <w:t xml:space="preserve">renewal.</w:t>
      </w:r>
    </w:p>
    <w:p>
      <w:pPr>
        <w:pStyle w:val="BodyText"/>
      </w:pPr>
      <w:r>
        <w:rPr>
          <w:b/>
          <w:bCs/>
        </w:rPr>
        <w:t xml:space="preserve">Bottom line.</w:t>
      </w:r>
      <w:r>
        <w:t xml:space="preserve"> </w:t>
      </w:r>
      <w:r>
        <w:t xml:space="preserve">NovaTrait’s Proposal, taken as a whole, would raise</w:t>
      </w:r>
      <w:r>
        <w:t xml:space="preserve"> </w:t>
      </w:r>
      <w:r>
        <w:t xml:space="preserve">Greenfield’s aggregate annual IP cost from approximately</w:t>
      </w:r>
      <w:r>
        <w:t xml:space="preserve"> </w:t>
      </w:r>
      <w:r>
        <w:rPr>
          <w:b/>
          <w:bCs/>
        </w:rPr>
        <w:t xml:space="preserve">$18.64</w:t>
      </w:r>
      <w:r>
        <w:rPr>
          <w:b/>
          <w:bCs/>
        </w:rPr>
        <w:t xml:space="preserve"> </w:t>
      </w:r>
      <w:r>
        <w:rPr>
          <w:b/>
          <w:bCs/>
        </w:rPr>
        <w:t xml:space="preserve">million (≈4.81% of FY 2024 revenue)</w:t>
      </w:r>
      <w:r>
        <w:t xml:space="preserve"> </w:t>
      </w:r>
      <w:r>
        <w:t xml:space="preserve">to approximately</w:t>
      </w:r>
      <w:r>
        <w:t xml:space="preserve"> </w:t>
      </w:r>
      <w:r>
        <w:rPr>
          <w:b/>
          <w:bCs/>
        </w:rPr>
        <w:t xml:space="preserve">$27.95 million</w:t>
      </w:r>
      <w:r>
        <w:rPr>
          <w:b/>
          <w:bCs/>
        </w:rPr>
        <w:t xml:space="preserve"> </w:t>
      </w:r>
      <w:r>
        <w:rPr>
          <w:b/>
          <w:bCs/>
        </w:rPr>
        <w:t xml:space="preserve">(≈7.22% of FY 2024 revenue)</w:t>
      </w:r>
      <w:r>
        <w:t xml:space="preserve"> </w:t>
      </w:r>
      <w:r>
        <w:t xml:space="preserve">— an increase of roughly</w:t>
      </w:r>
      <w:r>
        <w:t xml:space="preserve"> </w:t>
      </w:r>
      <w:r>
        <w:rPr>
          <w:b/>
          <w:bCs/>
        </w:rPr>
        <w:t xml:space="preserve">$9.31</w:t>
      </w:r>
      <w:r>
        <w:rPr>
          <w:b/>
          <w:bCs/>
        </w:rPr>
        <w:t xml:space="preserve"> </w:t>
      </w:r>
      <w:r>
        <w:rPr>
          <w:b/>
          <w:bCs/>
        </w:rPr>
        <w:t xml:space="preserve">million per year (+49.9%)</w:t>
      </w:r>
      <w:r>
        <w:t xml:space="preserve"> </w:t>
      </w:r>
      <w:r>
        <w:t xml:space="preserve">— while simultaneously (i) narrowing</w:t>
      </w:r>
      <w:r>
        <w:t xml:space="preserve"> </w:t>
      </w:r>
      <w:r>
        <w:t xml:space="preserve">Greenfield’s rights in several material respects, (ii) reversing</w:t>
      </w:r>
      <w:r>
        <w:t xml:space="preserve"> </w:t>
      </w:r>
      <w:r>
        <w:t xml:space="preserve">Greenfield’s ownership of its own improvements, (iii) redefining</w:t>
      </w:r>
      <w:r>
        <w:t xml:space="preserve"> </w:t>
      </w:r>
      <w:r>
        <w:t xml:space="preserve">“</w:t>
      </w:r>
      <w:r>
        <w:t xml:space="preserve">Net</w:t>
      </w:r>
      <w:r>
        <w:t xml:space="preserve"> </w:t>
      </w:r>
      <w:r>
        <w:t xml:space="preserve">Sales</w:t>
      </w:r>
      <w:r>
        <w:t xml:space="preserve">”</w:t>
      </w:r>
      <w:r>
        <w:t xml:space="preserve"> </w:t>
      </w:r>
      <w:r>
        <w:t xml:space="preserve">to enlarge the royalty base, and (iv) transferring ownership of</w:t>
      </w:r>
      <w:r>
        <w:t xml:space="preserve"> </w:t>
      </w:r>
      <w:r>
        <w:t xml:space="preserve">Greenfield’s software output data to NovaTrait. Every one of NovaTrait’s</w:t>
      </w:r>
      <w:r>
        <w:t xml:space="preserve"> </w:t>
      </w:r>
      <w:r>
        <w:t xml:space="preserve">proposed rates/fees exceeds the upper end of the market-comparable</w:t>
      </w:r>
      <w:r>
        <w:t xml:space="preserve"> </w:t>
      </w:r>
      <w:r>
        <w:t xml:space="preserve">ranges identified in the Clarendon patent-landscape report (Sept. 2020)</w:t>
      </w:r>
      <w:r>
        <w:t xml:space="preserve"> </w:t>
      </w:r>
      <w:r>
        <w:t xml:space="preserve">and the Oakvale financial analysis (Feb. 2025).</w:t>
      </w:r>
    </w:p>
    <w:p>
      <w:pPr>
        <w:pStyle w:val="BodyText"/>
      </w:pPr>
      <w:r>
        <w:t xml:space="preserve">Our recommendation is that Greenfield</w:t>
      </w:r>
      <w:r>
        <w:t xml:space="preserve"> </w:t>
      </w:r>
      <w:r>
        <w:rPr>
          <w:b/>
          <w:bCs/>
        </w:rPr>
        <w:t xml:space="preserve">pursue renewal of all three</w:t>
      </w:r>
      <w:r>
        <w:rPr>
          <w:b/>
          <w:bCs/>
        </w:rPr>
        <w:t xml:space="preserve"> </w:t>
      </w:r>
      <w:r>
        <w:rPr>
          <w:b/>
          <w:bCs/>
        </w:rPr>
        <w:t xml:space="preserve">licenses, but on renegotiated terms</w:t>
      </w:r>
      <w:r>
        <w:t xml:space="preserve">, applying a differentiated</w:t>
      </w:r>
      <w:r>
        <w:t xml:space="preserve"> </w:t>
      </w:r>
      <w:r>
        <w:t xml:space="preserve">strategy that reflects the very different leverage profile of each</w:t>
      </w:r>
      <w:r>
        <w:t xml:space="preserve"> </w:t>
      </w:r>
      <w:r>
        <w:t xml:space="preserve">license: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 A (CRISPR-Ag Suite) — moderate, declining leverage.</w:t>
      </w:r>
      <w:r>
        <w:t xml:space="preserve"> </w:t>
      </w:r>
      <w:r>
        <w:t xml:space="preserve">The foundational U.S. Patent No. 9,234,117 (≈60% of portfolio value)</w:t>
      </w:r>
      <w:r>
        <w:t xml:space="preserve"> </w:t>
      </w:r>
      <w:r>
        <w:t xml:space="preserve">expires</w:t>
      </w:r>
      <w:r>
        <w:t xml:space="preserve"> </w:t>
      </w:r>
      <w:r>
        <w:rPr>
          <w:b/>
          <w:bCs/>
        </w:rPr>
        <w:t xml:space="preserve">March 12, 2028</w:t>
      </w:r>
      <w:r>
        <w:t xml:space="preserve">, mid-renewal-term. Greenfield should</w:t>
      </w:r>
      <w:r>
        <w:t xml:space="preserve"> </w:t>
      </w:r>
      <w:r>
        <w:t xml:space="preserve">insist on a royalty step-down tied to that expiry, resist the 6.25%</w:t>
      </w:r>
      <w:r>
        <w:t xml:space="preserve"> </w:t>
      </w:r>
      <w:r>
        <w:t xml:space="preserve">rate and the Net Sales redefinition, retain sole ownership of its</w:t>
      </w:r>
      <w:r>
        <w:t xml:space="preserve"> </w:t>
      </w:r>
      <w:r>
        <w:t xml:space="preserve">improvements, resist the insect-resistance field-of-use removal (or</w:t>
      </w:r>
      <w:r>
        <w:t xml:space="preserve"> </w:t>
      </w:r>
      <w:r>
        <w:t xml:space="preserve">demand a transitional license and rate reduction), and challenge the</w:t>
      </w:r>
      <w:r>
        <w:t xml:space="preserve"> </w:t>
      </w:r>
      <w:r>
        <w:t xml:space="preserve">wheat expansion’s incremental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 B (TraitForge) — low leverage (irreplaceable), but rate</w:t>
      </w:r>
      <w:r>
        <w:rPr>
          <w:b/>
          <w:bCs/>
        </w:rPr>
        <w:t xml:space="preserve"> </w:t>
      </w:r>
      <w:r>
        <w:rPr>
          <w:b/>
          <w:bCs/>
        </w:rPr>
        <w:t xml:space="preserve">is above market.</w:t>
      </w:r>
      <w:r>
        <w:t xml:space="preserve"> </w:t>
      </w:r>
      <w:r>
        <w:t xml:space="preserve">No commercial alternative exists; internal</w:t>
      </w:r>
      <w:r>
        <w:t xml:space="preserve"> </w:t>
      </w:r>
      <w:r>
        <w:t xml:space="preserve">replacement is estimated at $24.3–$33.7M over 3–4 years.</w:t>
      </w:r>
      <w:r>
        <w:t xml:space="preserve"> </w:t>
      </w:r>
      <w:r>
        <w:t xml:space="preserve">Greenfield should renew for the longest available term but push the</w:t>
      </w:r>
      <w:r>
        <w:t xml:space="preserve"> </w:t>
      </w:r>
      <w:r>
        <w:t xml:space="preserve">rate into the 4.25%–4.5% market range, preserve the 90-day</w:t>
      </w:r>
      <w:r>
        <w:t xml:space="preserve"> </w:t>
      </w:r>
      <w:r>
        <w:t xml:space="preserve">biological-materials wind-down, resist the audit expansion, and</w:t>
      </w:r>
      <w:r>
        <w:t xml:space="preserve"> </w:t>
      </w:r>
      <w:r>
        <w:t xml:space="preserve">resist any new sublicense pass-through.</w:t>
      </w:r>
      <w:r>
        <w:t xml:space="preserve"> </w:t>
      </w:r>
      <w:r>
        <w:rPr>
          <w:b/>
          <w:bCs/>
        </w:rPr>
        <w:t xml:space="preserve">The standstill expires</w:t>
      </w:r>
      <w:r>
        <w:rPr>
          <w:b/>
          <w:bCs/>
        </w:rPr>
        <w:t xml:space="preserve"> </w:t>
      </w:r>
      <w:r>
        <w:rPr>
          <w:b/>
          <w:bCs/>
        </w:rPr>
        <w:t xml:space="preserve">June 29, 2025 — this is the single most time-critical item in the</w:t>
      </w:r>
      <w:r>
        <w:rPr>
          <w:b/>
          <w:bCs/>
        </w:rPr>
        <w:t xml:space="preserve"> </w:t>
      </w:r>
      <w:r>
        <w:rPr>
          <w:b/>
          <w:bCs/>
        </w:rPr>
        <w:t xml:space="preserve">entire engagement.</w:t>
      </w:r>
      <w:r>
        <w:t xml:space="preserve"> </w:t>
      </w:r>
      <w:r>
        <w:t xml:space="preserve">NovaTrait also proposes a</w:t>
      </w:r>
      <w:r>
        <w:t xml:space="preserve"> </w:t>
      </w:r>
      <w:r>
        <w:rPr>
          <w:b/>
          <w:bCs/>
        </w:rPr>
        <w:t xml:space="preserve">retroactive</w:t>
      </w:r>
      <w:r>
        <w:rPr>
          <w:b/>
          <w:bCs/>
        </w:rPr>
        <w:t xml:space="preserve"> </w:t>
      </w:r>
      <w:r>
        <w:rPr>
          <w:b/>
          <w:bCs/>
        </w:rPr>
        <w:t xml:space="preserve">January 1, 2025 effective date</w:t>
      </w:r>
      <w:r>
        <w:t xml:space="preserve">, which could trigger back-payments</w:t>
      </w:r>
      <w:r>
        <w:t xml:space="preserve"> </w:t>
      </w:r>
      <w:r>
        <w:t xml:space="preserve">at the new 5.0% rate/redefined base for the standstill period —</w:t>
      </w:r>
      <w:r>
        <w:t xml:space="preserve"> </w:t>
      </w:r>
      <w:r>
        <w:t xml:space="preserve">reject retroactivity (§6.14). The proposed License B improvement</w:t>
      </w:r>
      <w:r>
        <w:t xml:space="preserve"> </w:t>
      </w:r>
      <w:r>
        <w:t xml:space="preserve">grant-back also</w:t>
      </w:r>
      <w:r>
        <w:t xml:space="preserve"> </w:t>
      </w:r>
      <w:r>
        <w:rPr>
          <w:b/>
          <w:bCs/>
        </w:rPr>
        <w:t xml:space="preserve">conflicts with the Prairielands Sublicense</w:t>
      </w:r>
      <w:r>
        <w:t xml:space="preserve"> </w:t>
      </w:r>
      <w:r>
        <w:t xml:space="preserve">(§5.2), which expressly excludes Prairielands Improvements from</w:t>
      </w:r>
      <w:r>
        <w:t xml:space="preserve"> </w:t>
      </w:r>
      <w:r>
        <w:t xml:space="preserve">NovaTrait (§9.6).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License C (GenoMap Pro) — strong leverage (substitutable).</w:t>
      </w:r>
      <w:r>
        <w:t xml:space="preserve"> </w:t>
      </w:r>
      <w:r>
        <w:t xml:space="preserve">Multiple commercial alternatives exist at $1.8M–$3.5M/year versus</w:t>
      </w:r>
      <w:r>
        <w:t xml:space="preserve"> </w:t>
      </w:r>
      <w:r>
        <w:t xml:space="preserve">NovaTrait’s proposed ~$5.28M. Greenfield should drive the fee to</w:t>
      </w:r>
      <w:r>
        <w:t xml:space="preserve"> </w:t>
      </w:r>
      <w:r>
        <w:t xml:space="preserve">the $3.5M–$4.0M range,</w:t>
      </w:r>
      <w:r>
        <w:t xml:space="preserve"> </w:t>
      </w:r>
      <w:r>
        <w:rPr>
          <w:b/>
          <w:bCs/>
        </w:rPr>
        <w:t xml:space="preserve">retain source-code access</w:t>
      </w:r>
      <w:r>
        <w:t xml:space="preserve"> </w:t>
      </w:r>
      <w:r>
        <w:t xml:space="preserve">(non-negotiable),</w:t>
      </w:r>
      <w:r>
        <w:t xml:space="preserve"> </w:t>
      </w:r>
      <w:r>
        <w:rPr>
          <w:b/>
          <w:bCs/>
        </w:rPr>
        <w:t xml:space="preserve">reject NovaTrait’s claim to own Derivative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(non-negotiable), and eliminate or expand the user cap.</w:t>
      </w:r>
      <w:r>
        <w:t xml:space="preserve"> </w:t>
      </w:r>
      <w:r>
        <w:t xml:space="preserve">Credible competitive bids should be solicited to support the</w:t>
      </w:r>
      <w:r>
        <w:t xml:space="preserve"> </w:t>
      </w:r>
      <w:r>
        <w:t xml:space="preserve">negotiation.</w:t>
      </w:r>
    </w:p>
    <w:p>
      <w:pPr>
        <w:pStyle w:val="FirstParagraph"/>
      </w:pPr>
      <w:r>
        <w:t xml:space="preserve">This memorandum sets out the current portfolio, the Proposal, a</w:t>
      </w:r>
      <w:r>
        <w:t xml:space="preserve"> </w:t>
      </w:r>
      <w:r>
        <w:t xml:space="preserve">license-by-license issue analysis, cross-cutting issues, the</w:t>
      </w:r>
      <w:r>
        <w:t xml:space="preserve"> </w:t>
      </w:r>
      <w:r>
        <w:t xml:space="preserve">Prairielands implications, the patent-landscape and financial findings,</w:t>
      </w:r>
      <w:r>
        <w:t xml:space="preserve"> </w:t>
      </w:r>
      <w:r>
        <w:t xml:space="preserve">market comparables, switching-cost economics, the critical-deadline</w:t>
      </w:r>
      <w:r>
        <w:t xml:space="preserve"> </w:t>
      </w:r>
      <w:r>
        <w:t xml:space="preserve">schedule, and a ranked set of negotiation priorities with recommended</w:t>
      </w:r>
      <w:r>
        <w:t xml:space="preserve"> </w:t>
      </w:r>
      <w:r>
        <w:t xml:space="preserve">counter-positions.</w:t>
      </w:r>
    </w:p>
    <w:bookmarkEnd w:id="20"/>
    <w:bookmarkStart w:id="21" w:name="documents-reviewed"/>
    <w:p>
      <w:pPr>
        <w:pStyle w:val="Heading2"/>
      </w:pPr>
      <w:r>
        <w:t xml:space="preserve">2. Documents Reviewed</w:t>
      </w:r>
    </w:p>
    <w:p>
      <w:pPr>
        <w:pStyle w:val="FirstParagraph"/>
      </w:pPr>
      <w:r>
        <w:t xml:space="preserve">This analysis is based on the following documents furnished by</w:t>
      </w:r>
      <w:r>
        <w:t xml:space="preserve"> </w:t>
      </w:r>
      <w:r>
        <w:t xml:space="preserve">Greenfield: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 A</w:t>
      </w:r>
      <w:r>
        <w:t xml:space="preserve"> </w:t>
      </w:r>
      <w:r>
        <w:t xml:space="preserve">— Intellectual Property License Agreement (CRISPR-Ag</w:t>
      </w:r>
      <w:r>
        <w:t xml:space="preserve"> </w:t>
      </w:r>
      <w:r>
        <w:t xml:space="preserve">Suite), NT-GF-2015-001, dated July 1, 2015 (incl. Schedule 5.2 and</w:t>
      </w:r>
      <w:r>
        <w:t xml:space="preserve"> </w:t>
      </w:r>
      <w:r>
        <w:t xml:space="preserve">Exhibit 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 B</w:t>
      </w:r>
      <w:r>
        <w:t xml:space="preserve"> </w:t>
      </w:r>
      <w:r>
        <w:t xml:space="preserve">— Plant Trait Expression Platform License Agreement</w:t>
      </w:r>
      <w:r>
        <w:t xml:space="preserve"> </w:t>
      </w:r>
      <w:r>
        <w:t xml:space="preserve">(TraitForge), dated January 1, 2018 (incl. Exhibits A, B, 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License C</w:t>
      </w:r>
      <w:r>
        <w:t xml:space="preserve"> </w:t>
      </w:r>
      <w:r>
        <w:t xml:space="preserve">— GenoMap Pro Software License Agreement, dated</w:t>
      </w:r>
      <w:r>
        <w:t xml:space="preserve"> </w:t>
      </w:r>
      <w:r>
        <w:t xml:space="preserve">March 1, 2020 (incl. Exhibit A, Accepted Use Policy).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Prairielands Sublicense</w:t>
      </w:r>
      <w:r>
        <w:t xml:space="preserve"> </w:t>
      </w:r>
      <w:r>
        <w:t xml:space="preserve">— Sublicense Agreement (TraitForge;</w:t>
      </w:r>
      <w:r>
        <w:t xml:space="preserve"> </w:t>
      </w:r>
      <w:r>
        <w:t xml:space="preserve">soybean drought tolerance; Argentina &amp; Brazil), dated May 1, 2021</w:t>
      </w:r>
      <w:r>
        <w:t xml:space="preserve"> </w:t>
      </w:r>
      <w:r>
        <w:t xml:space="preserve">(incl. Exhibit A, NovaTrait consent letter dated April 15, 2021).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NovaTrait Renewal Proposal</w:t>
      </w:r>
      <w:r>
        <w:t xml:space="preserve"> </w:t>
      </w:r>
      <w:r>
        <w:t xml:space="preserve">— Consolidated Renewal Proposal</w:t>
      </w:r>
      <w:r>
        <w:t xml:space="preserve"> </w:t>
      </w:r>
      <w:r>
        <w:t xml:space="preserve">(Licenses A, B &amp; C), dated October 14, 2024 (Parts I–VIII,</w:t>
      </w:r>
      <w:r>
        <w:t xml:space="preserve"> </w:t>
      </w:r>
      <w:r>
        <w:t xml:space="preserve">Appendices A &amp; 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Clarendon Patent Landscape</w:t>
      </w:r>
      <w:r>
        <w:t xml:space="preserve"> </w:t>
      </w:r>
      <w:r>
        <w:t xml:space="preserve">— Clarendon IP Consulting, LLC,</w:t>
      </w:r>
      <w:r>
        <w:t xml:space="preserve"> </w:t>
      </w:r>
      <w:r>
        <w:t xml:space="preserve">Executive Summary,</w:t>
      </w:r>
      <w:r>
        <w:t xml:space="preserve"> </w:t>
      </w:r>
      <w:r>
        <w:t xml:space="preserve">“</w:t>
      </w:r>
      <w:r>
        <w:t xml:space="preserve">Patent Landscape Analysis: NovaTrait Genomics</w:t>
      </w:r>
      <w:r>
        <w:t xml:space="preserve"> </w:t>
      </w:r>
      <w:r>
        <w:t xml:space="preserve">Corporation Licensed Technology Portfolios,</w:t>
      </w:r>
      <w:r>
        <w:t xml:space="preserve">”</w:t>
      </w:r>
      <w:r>
        <w:t xml:space="preserve"> </w:t>
      </w:r>
      <w:r>
        <w:t xml:space="preserve">dated September 14,</w:t>
      </w:r>
      <w:r>
        <w:t xml:space="preserve"> </w:t>
      </w:r>
      <w:r>
        <w:t xml:space="preserve">2020 (Engagement CPC-2020-0447).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Oakvale/Ridgemont Financial Analysis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IP License Renewal —</w:t>
      </w:r>
      <w:r>
        <w:t xml:space="preserve"> </w:t>
      </w:r>
      <w:r>
        <w:t xml:space="preserve">Royalty &amp; Term Analysis,</w:t>
      </w:r>
      <w:r>
        <w:t xml:space="preserve">”</w:t>
      </w:r>
      <w:r>
        <w:t xml:space="preserve"> </w:t>
      </w:r>
      <w:r>
        <w:t xml:space="preserve">prepared for Greenfield, dated February</w:t>
      </w:r>
      <w:r>
        <w:t xml:space="preserve"> </w:t>
      </w:r>
      <w:r>
        <w:t xml:space="preserve">2025 (15 worksheets: Summary, per-license royalty models,</w:t>
      </w:r>
      <w:r>
        <w:t xml:space="preserve"> </w:t>
      </w:r>
      <w:r>
        <w:t xml:space="preserve">sensitivity analyses, market comparables, switching-cost analyses,</w:t>
      </w:r>
      <w:r>
        <w:t xml:space="preserve"> </w:t>
      </w:r>
      <w:r>
        <w:t xml:space="preserve">negotiation priorities, timeline, rate-cap analysis, assumptions).</w:t>
      </w:r>
    </w:p>
    <w:bookmarkEnd w:id="21"/>
    <w:bookmarkStart w:id="22" w:name="current-license-portfolio-summary"/>
    <w:p>
      <w:pPr>
        <w:pStyle w:val="Heading2"/>
      </w:pPr>
      <w:r>
        <w:t xml:space="preserve">3. Current License Portfolio — Summary</w:t>
      </w:r>
    </w:p>
    <w:tbl>
      <w:tblPr>
        <w:tblStyle w:val="Table"/>
        <w:tblW w:type="pct" w:w="4867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2006"/>
        <w:gridCol w:w="1900"/>
        <w:gridCol w:w="1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</w:t>
            </w:r>
            <w:r>
              <w:t xml:space="preserve"> </w:t>
            </w:r>
            <w:r>
              <w:t xml:space="preserve">(CRISPR-Ag Suite)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B</w:t>
            </w:r>
            <w:r>
              <w:t xml:space="preserve"> </w:t>
            </w:r>
            <w:r>
              <w:t xml:space="preserve">(TraitForge)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</w:t>
            </w:r>
            <w:r>
              <w:t xml:space="preserve"> </w:t>
            </w:r>
            <w:r>
              <w:t xml:space="preserve">(GenoMap Pro)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1,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1,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term</w:t>
            </w:r>
            <w:r>
              <w:t xml:space="preserve"> </w:t>
            </w: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30,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31, 2024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(expired)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Feb. 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force; renewal</w:t>
            </w:r>
            <w:r>
              <w:t xml:space="preserve"> </w:t>
            </w:r>
            <w:r>
              <w:t xml:space="preserve">window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</w:t>
            </w:r>
            <w:r>
              <w:t xml:space="preserve"> </w:t>
            </w:r>
            <w:r>
              <w:t xml:space="preserve">(§12.6) through</w:t>
            </w:r>
            <w:r>
              <w:t xml:space="preserve"> </w:t>
            </w:r>
            <w:r>
              <w:t xml:space="preserve">~June 29,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force;</w:t>
            </w:r>
            <w:r>
              <w:t xml:space="preserve"> </w:t>
            </w:r>
            <w:r>
              <w:t xml:space="preserve">expiration</w:t>
            </w:r>
            <w:r>
              <w:t xml:space="preserve"> </w:t>
            </w:r>
            <w:r>
              <w:t xml:space="preserve">imminent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Renewal-notice</w:t>
            </w:r>
            <w:r>
              <w:t xml:space="preserve"> </w:t>
            </w: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31, 2025 (90</w:t>
            </w:r>
            <w:r>
              <w:t xml:space="preserve"> </w:t>
            </w:r>
            <w:r>
              <w:t xml:space="preserve">days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30, 2024</w:t>
            </w:r>
            <w:r>
              <w:t xml:space="preserve"> </w:t>
            </w:r>
            <w:r>
              <w:t xml:space="preserve">(passed)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Nov. 30, 2024</w:t>
            </w:r>
            <w:r>
              <w:t xml:space="preserve"> </w:t>
            </w:r>
            <w:r>
              <w:t xml:space="preserve">(passed)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Royalty /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 of Net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3.75% of Net</w:t>
            </w:r>
            <w:r>
              <w:t xml:space="preserve"> </w:t>
            </w: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$3.14M flat</w:t>
            </w:r>
            <w:r>
              <w:t xml:space="preserve"> </w:t>
            </w:r>
            <w:r>
              <w:t xml:space="preserve">annual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annual</w:t>
            </w:r>
            <w:r>
              <w:t xml:space="preserve"> </w:t>
            </w:r>
            <w:r>
              <w:t xml:space="preserve">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 Net Sales</w:t>
            </w:r>
            <w:r>
              <w:t xml:space="preserve"> </w:t>
            </w:r>
            <w:r>
              <w:t xml:space="preserve">/ fee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$202.67M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$170.13M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$3.14M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2024</w:t>
            </w:r>
            <w:r>
              <w:t xml:space="preserve"> </w:t>
            </w:r>
            <w:r>
              <w:t xml:space="preserve">royalty/fee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of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Corn + soybean;</w:t>
            </w:r>
            <w:r>
              <w:t xml:space="preserve"> </w:t>
            </w:r>
            <w:r>
              <w:t xml:space="preserve">herbicide</w:t>
            </w:r>
            <w:r>
              <w:t xml:space="preserve"> </w:t>
            </w:r>
            <w:r>
              <w:t xml:space="preserve">tolerance + insect</w:t>
            </w:r>
            <w:r>
              <w:t xml:space="preserve"> </w:t>
            </w:r>
            <w:r>
              <w:t xml:space="preserve">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Drought</w:t>
            </w:r>
            <w:r>
              <w:t xml:space="preserve"> </w:t>
            </w:r>
            <w:r>
              <w:t xml:space="preserve">tolerance +</w:t>
            </w:r>
            <w:r>
              <w:t xml:space="preserve"> </w:t>
            </w:r>
            <w:r>
              <w:t xml:space="preserve">nutrient uptake</w:t>
            </w:r>
            <w:r>
              <w:t xml:space="preserve"> </w:t>
            </w:r>
            <w:r>
              <w:t xml:space="preserve">in corn, soybean,</w:t>
            </w:r>
            <w:r>
              <w:t xml:space="preserve"> </w:t>
            </w:r>
            <w:r>
              <w:t xml:space="preserve">cotton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genomic</w:t>
            </w:r>
            <w:r>
              <w:t xml:space="preserve"> </w:t>
            </w:r>
            <w:r>
              <w:t xml:space="preserve">analysis / trait</w:t>
            </w:r>
            <w:r>
              <w:t xml:space="preserve"> </w:t>
            </w:r>
            <w:r>
              <w:t xml:space="preserve">mapping / product</w:t>
            </w:r>
            <w:r>
              <w:t xml:space="preserve"> </w:t>
            </w: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 ex China</w:t>
            </w:r>
            <w:r>
              <w:t xml:space="preserve"> </w:t>
            </w:r>
            <w:r>
              <w:t xml:space="preserve">(incl. HK/Macau) &amp;</w:t>
            </w:r>
            <w:r>
              <w:t xml:space="preserve"> </w:t>
            </w: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Western</w:t>
            </w:r>
            <w:r>
              <w:t xml:space="preserve"> </w:t>
            </w:r>
            <w:r>
              <w:t xml:space="preserve">Hemisphere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</w:t>
            </w:r>
            <w:r>
              <w:t xml:space="preserve"> </w:t>
            </w:r>
            <w:r>
              <w:t xml:space="preserve">(corn/soybean in</w:t>
            </w:r>
            <w:r>
              <w:t xml:space="preserve"> </w:t>
            </w:r>
            <w:r>
              <w:t xml:space="preserve">field), subject to</w:t>
            </w:r>
            <w:r>
              <w:t xml:space="preserve"> </w:t>
            </w:r>
            <w:r>
              <w:t xml:space="preserve">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first 3</w:t>
            </w:r>
            <w:r>
              <w:t xml:space="preserve"> </w:t>
            </w:r>
            <w:r>
              <w:t xml:space="preserve">yrs only;</w:t>
            </w:r>
            <w:r>
              <w:t xml:space="preserve"> </w:t>
            </w:r>
            <w:r>
              <w:rPr>
                <w:b/>
                <w:bCs/>
              </w:rPr>
              <w:t xml:space="preserve">non-exclusive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since Jan. 1,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Sublicense</w:t>
            </w:r>
            <w:r>
              <w:t xml:space="preserve"> </w:t>
            </w:r>
            <w:r>
              <w:t xml:space="preserve">pass-through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(consent</w:t>
            </w:r>
            <w:r>
              <w:t xml:space="preserve"> </w:t>
            </w:r>
            <w:r>
              <w:t xml:space="preserve">required; no</w:t>
            </w:r>
            <w:r>
              <w:t xml:space="preserve"> </w:t>
            </w:r>
            <w:r>
              <w:t xml:space="preserve">pass-through)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sublicensing</w:t>
            </w:r>
            <w:r>
              <w:t xml:space="preserve"> </w:t>
            </w:r>
            <w:r>
              <w:t xml:space="preserve">permitted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sole</w:t>
            </w:r>
            <w:r>
              <w:t xml:space="preserve"> </w:t>
            </w:r>
            <w:r>
              <w:t xml:space="preserve">owner; license</w:t>
            </w:r>
            <w:r>
              <w:t xml:space="preserve"> </w:t>
            </w:r>
            <w:r>
              <w:t xml:space="preserve">back to NovaTrait</w:t>
            </w:r>
            <w:r>
              <w:t xml:space="preserve"> </w:t>
            </w:r>
            <w:r>
              <w:t xml:space="preserve">at CR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sole</w:t>
            </w:r>
            <w:r>
              <w:t xml:space="preserve"> </w:t>
            </w:r>
            <w:r>
              <w:t xml:space="preserve">owner of its</w:t>
            </w:r>
            <w:r>
              <w:t xml:space="preserve"> </w:t>
            </w:r>
            <w:r>
              <w:t xml:space="preserve">Improvements;</w:t>
            </w:r>
            <w:r>
              <w:t xml:space="preserve"> </w:t>
            </w:r>
            <w:r>
              <w:t xml:space="preserve">license back at</w:t>
            </w:r>
            <w:r>
              <w:t xml:space="preserve"> </w:t>
            </w:r>
            <w:r>
              <w:t xml:space="preserve">CR royalty; Joint</w:t>
            </w:r>
            <w:r>
              <w:t xml:space="preserve"> </w:t>
            </w:r>
            <w:r>
              <w:t xml:space="preserve">Improvements</w:t>
            </w:r>
            <w:r>
              <w:t xml:space="preserve"> </w:t>
            </w:r>
            <w:r>
              <w:t xml:space="preserve">jointly 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Licensee</w:t>
            </w:r>
            <w:r>
              <w:t xml:space="preserve"> </w:t>
            </w:r>
            <w:r>
              <w:t xml:space="preserve">Modifications</w:t>
            </w:r>
            <w:r>
              <w:t xml:space="preserve"> </w:t>
            </w:r>
            <w:r>
              <w:t xml:space="preserve">owned by</w:t>
            </w:r>
            <w:r>
              <w:t xml:space="preserve"> </w:t>
            </w:r>
            <w:r>
              <w:t xml:space="preserve">Greenfield;</w:t>
            </w:r>
            <w:r>
              <w:t xml:space="preserve"> </w:t>
            </w:r>
            <w:r>
              <w:t xml:space="preserve">royalty-free</w:t>
            </w:r>
            <w:r>
              <w:t xml:space="preserve"> </w:t>
            </w:r>
            <w:r>
              <w:t xml:space="preserve">license back to</w:t>
            </w:r>
            <w:r>
              <w:t xml:space="preserve"> </w:t>
            </w:r>
            <w:r>
              <w:t xml:space="preserve">NovaTrait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9,234,117 (exp.</w:t>
            </w:r>
            <w:r>
              <w:t xml:space="preserve"> </w:t>
            </w:r>
            <w:r>
              <w:t xml:space="preserve">3/12/2028),</w:t>
            </w:r>
            <w:r>
              <w:t xml:space="preserve"> </w:t>
            </w:r>
            <w:r>
              <w:t xml:space="preserve">9,234,118,</w:t>
            </w:r>
            <w:r>
              <w:t xml:space="preserve"> </w:t>
            </w:r>
            <w:r>
              <w:t xml:space="preserve">9,651,002,</w:t>
            </w:r>
            <w:r>
              <w:t xml:space="preserve"> </w:t>
            </w:r>
            <w:r>
              <w:t xml:space="preserve">10,112,445 +</w:t>
            </w:r>
            <w:r>
              <w:t xml:space="preserve"> </w:t>
            </w:r>
            <w:r>
              <w:t xml:space="preserve">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10,443,076,</w:t>
            </w:r>
            <w:r>
              <w:t xml:space="preserve"> </w:t>
            </w:r>
            <w:r>
              <w:t xml:space="preserve">10,443,077,</w:t>
            </w:r>
            <w:r>
              <w:t xml:space="preserve"> </w:t>
            </w:r>
            <w:r>
              <w:t xml:space="preserve">10,889,201 +</w:t>
            </w:r>
            <w:r>
              <w:t xml:space="preserve"> </w:t>
            </w:r>
            <w:r>
              <w:t xml:space="preserve">foreign (exp.</w:t>
            </w:r>
            <w:r>
              <w:t xml:space="preserve"> </w:t>
            </w:r>
            <w:r>
              <w:t xml:space="preserve">2036–2038)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</w:t>
            </w:r>
            <w:r>
              <w:t xml:space="preserve"> </w:t>
            </w:r>
            <w:r>
              <w:t xml:space="preserve">TX-8-912-445;</w:t>
            </w:r>
            <w:r>
              <w:t xml:space="preserve"> </w:t>
            </w:r>
            <w:r>
              <w:t xml:space="preserve">source code +</w:t>
            </w:r>
            <w:r>
              <w:t xml:space="preserve"> </w:t>
            </w:r>
            <w:r>
              <w:t xml:space="preserve">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 /</w:t>
            </w:r>
            <w:r>
              <w:t xml:space="preserve"> </w:t>
            </w: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law; Boston</w:t>
            </w:r>
            <w:r>
              <w:t xml:space="preserve"> </w:t>
            </w:r>
            <w:r>
              <w:t xml:space="preserve">state/federal</w:t>
            </w:r>
            <w:r>
              <w:t xml:space="preserve"> </w:t>
            </w:r>
            <w:r>
              <w:t xml:space="preserve">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law; Suffolk</w:t>
            </w:r>
            <w:r>
              <w:t xml:space="preserve"> </w:t>
            </w:r>
            <w:r>
              <w:t xml:space="preserve">County, MA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law;</w:t>
            </w:r>
            <w:r>
              <w:t xml:space="preserve"> </w:t>
            </w:r>
            <w:r>
              <w:rPr>
                <w:b/>
                <w:bCs/>
              </w:rPr>
              <w:t xml:space="preserve">binding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AAA arbitration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(3 arbitrators),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Boston</w:t>
            </w:r>
          </w:p>
        </w:tc>
      </w:tr>
    </w:tbl>
    <w:p>
      <w:pPr>
        <w:pStyle w:val="BodyText"/>
      </w:pPr>
      <w:r>
        <w:t xml:space="preserve">Greenfield’s FY 2024 revenue is $387.2M; aggregate current IP cost is</w:t>
      </w:r>
      <w:r>
        <w:t xml:space="preserve"> </w:t>
      </w:r>
      <w:r>
        <w:t xml:space="preserve">~$18.64M (≈4.81% of revenue).</w:t>
      </w:r>
    </w:p>
    <w:bookmarkEnd w:id="22"/>
    <w:bookmarkStart w:id="23" w:name="Xa261c7765b1f583b3a22e012edc0ea16aec990c"/>
    <w:p>
      <w:pPr>
        <w:pStyle w:val="Heading2"/>
      </w:pPr>
      <w:r>
        <w:t xml:space="preserve">4. NovaTrait’s Consolidated Renewal Proposal — Overview</w:t>
      </w:r>
    </w:p>
    <w:p>
      <w:pPr>
        <w:pStyle w:val="FirstParagraph"/>
      </w:pPr>
      <w:r>
        <w:t xml:space="preserve">NovaTrait proposes amended-and-restated renewals of all three</w:t>
      </w:r>
      <w:r>
        <w:t xml:space="preserve"> </w:t>
      </w:r>
      <w:r>
        <w:t xml:space="preserve">agreements, with materially increased economics and several</w:t>
      </w:r>
      <w:r>
        <w:t xml:space="preserve"> </w:t>
      </w:r>
      <w:r>
        <w:t xml:space="preserve">scope/ownership changes adverse to Greenfield. The Proposal’s own</w:t>
      </w:r>
      <w:r>
        <w:t xml:space="preserve"> </w:t>
      </w:r>
      <w:r>
        <w:t xml:space="preserve">aggregate financial model (Part VI) shows current ~$18.64M → proposed</w:t>
      </w:r>
      <w:r>
        <w:t xml:space="preserve"> </w:t>
      </w:r>
      <w:r>
        <w:t xml:space="preserve">~$27.95M (+$9.31M; +2.41 pts to 7.22% of revenue). The Oakvale</w:t>
      </w:r>
      <w:r>
        <w:t xml:space="preserve"> </w:t>
      </w:r>
      <w:r>
        <w:t xml:space="preserve">analysis independently confirms a Year-1 increase of ~$9.31M (+49.9%)</w:t>
      </w:r>
      <w:r>
        <w:t xml:space="preserve"> </w:t>
      </w:r>
      <w:r>
        <w:t xml:space="preserve">and a cumulative 3-year incremental cost of ~$30.0M (base case),</w:t>
      </w:r>
      <w:r>
        <w:t xml:space="preserve"> </w:t>
      </w:r>
      <w:r>
        <w:t xml:space="preserve">rising to ~$30.3M under a 7% growth scenario — and that figure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the proposed License B sublicense pass-through and License</w:t>
      </w:r>
      <w:r>
        <w:t xml:space="preserve"> </w:t>
      </w:r>
      <w:r>
        <w:t xml:space="preserve">C one-time conversion costs.</w:t>
      </w:r>
    </w:p>
    <w:p>
      <w:pPr>
        <w:pStyle w:val="BodyText"/>
      </w:pPr>
      <w:r>
        <w:t xml:space="preserve">The Proposal also sets a procedural timetable: Greenfield response by</w:t>
      </w:r>
      <w:r>
        <w:t xml:space="preserve"> </w:t>
      </w:r>
      <w:r>
        <w:t xml:space="preserve">November 15, 2024; License B standstill confirmation by December 15,</w:t>
      </w:r>
      <w:r>
        <w:t xml:space="preserve"> </w:t>
      </w:r>
      <w:r>
        <w:t xml:space="preserve">2024; License C renewal notice by November 30, 2024; target execution of</w:t>
      </w:r>
      <w:r>
        <w:t xml:space="preserve"> </w:t>
      </w:r>
      <w:r>
        <w:t xml:space="preserve">all three amended agreements by March 15, 2025. Several of these dates</w:t>
      </w:r>
      <w:r>
        <w:t xml:space="preserve"> </w:t>
      </w:r>
      <w:r>
        <w:t xml:space="preserve">have already passed; the operative deadlines are tracked in Section 12</w:t>
      </w:r>
      <w:r>
        <w:t xml:space="preserve"> </w:t>
      </w:r>
      <w:r>
        <w:t xml:space="preserve">below.</w:t>
      </w:r>
    </w:p>
    <w:bookmarkEnd w:id="23"/>
    <w:bookmarkStart w:id="44" w:name="license-a-crispr-ag-suite-issue-analysis"/>
    <w:p>
      <w:pPr>
        <w:pStyle w:val="Heading2"/>
      </w:pPr>
      <w:r>
        <w:t xml:space="preserve">5. License A (CRISPR-Ag Suite) — Issue Analysis</w:t>
      </w:r>
    </w:p>
    <w:bookmarkStart w:id="24" w:name="royalty-rate-increase-4.5-6.25"/>
    <w:p>
      <w:pPr>
        <w:pStyle w:val="Heading3"/>
      </w:pPr>
      <w:r>
        <w:t xml:space="preserve">5.1 Royalty rate increase (4.5% → 6.25%)</w:t>
      </w:r>
    </w:p>
    <w:p>
      <w:pPr>
        <w:pStyle w:val="FirstParagraph"/>
      </w:pPr>
      <w:r>
        <w:t xml:space="preserve">NovaTrait proposes increasing the running royalty from 4.5% to 6.25% of</w:t>
      </w:r>
      <w:r>
        <w:t xml:space="preserve"> </w:t>
      </w:r>
      <w:r>
        <w:t xml:space="preserve">Net Sales. NovaTrait asserts this is within the Section 14.3(a) cap of</w:t>
      </w:r>
      <w:r>
        <w:t xml:space="preserve"> </w:t>
      </w:r>
      <w:r>
        <w:t xml:space="preserve">150% of the then-current rate (i.e., 6.75%) and therefore requires no</w:t>
      </w:r>
      <w:r>
        <w:t xml:space="preserve"> </w:t>
      </w:r>
      <w:r>
        <w:t xml:space="preserve">independent fair-market-value (</w:t>
      </w:r>
      <w:r>
        <w:t xml:space="preserve">“</w:t>
      </w:r>
      <w:r>
        <w:t xml:space="preserve">IFMV</w:t>
      </w:r>
      <w:r>
        <w:t xml:space="preserve">”</w:t>
      </w:r>
      <w:r>
        <w:t xml:space="preserve">) assessment.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6.25%</w:t>
      </w:r>
      <w:r>
        <w:t xml:space="preserve"> </w:t>
      </w:r>
      <w:r>
        <w:t xml:space="preserve">nominal rate is above the upper end of the gene-editing</w:t>
      </w:r>
      <w:r>
        <w:t xml:space="preserve"> </w:t>
      </w:r>
      <w:r>
        <w:t xml:space="preserve">market-comparable range (3.5%–5.5%; median 4.0%; mean 4.33% per</w:t>
      </w:r>
      <w:r>
        <w:t xml:space="preserve"> </w:t>
      </w:r>
      <w:r>
        <w:t xml:space="preserve">Oakvale; 3.5%–5.5% per Clarendon). NovaTrait’s reliance on a</w:t>
      </w:r>
      <w:r>
        <w:t xml:space="preserve"> </w:t>
      </w:r>
      <w:r>
        <w:t xml:space="preserve">“</w:t>
      </w:r>
      <w:r>
        <w:t xml:space="preserve">2024</w:t>
      </w:r>
      <w:r>
        <w:t xml:space="preserve"> </w:t>
      </w:r>
      <w:r>
        <w:t xml:space="preserve">Evergreen IP Royalty Benchmarking Report</w:t>
      </w:r>
      <w:r>
        <w:t xml:space="preserve">”</w:t>
      </w:r>
      <w:r>
        <w:t xml:space="preserve"> </w:t>
      </w:r>
      <w:r>
        <w:t xml:space="preserve">asserting a 5.5%–7.0% range</w:t>
      </w:r>
      <w:r>
        <w:t xml:space="preserve"> </w:t>
      </w:r>
      <w:r>
        <w:t xml:space="preserve">directly conflicts with Greenfield’s market data and should be</w:t>
      </w:r>
      <w:r>
        <w:t xml:space="preserve"> </w:t>
      </w:r>
      <w:r>
        <w:t xml:space="preserve">challenged.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Counter at 5.0% on the original Net</w:t>
      </w:r>
      <w:r>
        <w:t xml:space="preserve"> </w:t>
      </w:r>
      <w:r>
        <w:t xml:space="preserve">Sales definition, or 4.75% on a redefined definition, and require</w:t>
      </w:r>
      <w:r>
        <w:t xml:space="preserve"> </w:t>
      </w:r>
      <w:r>
        <w:t xml:space="preserve">NovaTrait to produce and substantiate the Evergreen report.</w:t>
      </w:r>
    </w:p>
    <w:bookmarkEnd w:id="24"/>
    <w:bookmarkStart w:id="25" w:name="Xd8aa1e5424c40dba61c28483835e1ff1f410b1f"/>
    <w:p>
      <w:pPr>
        <w:pStyle w:val="Heading3"/>
      </w:pPr>
      <w:r>
        <w:t xml:space="preserve">5.2 Net Sales redefinition (enlarged royalty base)</w:t>
      </w:r>
    </w:p>
    <w:p>
      <w:pPr>
        <w:pStyle w:val="FirstParagraph"/>
      </w:pPr>
      <w:r>
        <w:t xml:space="preserve">The Proposal would amend Section 1.14 to permit only (a)</w:t>
      </w:r>
      <w:r>
        <w:t xml:space="preserve"> </w:t>
      </w:r>
      <w:r>
        <w:t xml:space="preserve">trade/cash/quantity discounts and (b) taxes as deductions,</w:t>
      </w:r>
      <w:r>
        <w:t xml:space="preserve"> </w:t>
      </w:r>
      <w:r>
        <w:rPr>
          <w:b/>
          <w:bCs/>
        </w:rPr>
        <w:t xml:space="preserve">eliminating</w:t>
      </w:r>
      <w:r>
        <w:t xml:space="preserve"> </w:t>
      </w:r>
      <w:r>
        <w:t xml:space="preserve">deductions for freight/shipping/insurance/handling,</w:t>
      </w:r>
      <w:r>
        <w:t xml:space="preserve"> </w:t>
      </w:r>
      <w:r>
        <w:t xml:space="preserve">credits/allowances for returns/rejections/recalls/chargebacks, and</w:t>
      </w:r>
      <w:r>
        <w:t xml:space="preserve"> </w:t>
      </w:r>
      <w:r>
        <w:t xml:space="preserve">bad-debt write-offs.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Oakvale estimates this enlarges the</w:t>
      </w:r>
      <w:r>
        <w:t xml:space="preserve"> </w:t>
      </w:r>
      <w:r>
        <w:t xml:space="preserve">License A royalty base by</w:t>
      </w:r>
      <w:r>
        <w:t xml:space="preserve"> </w:t>
      </w:r>
      <w:r>
        <w:rPr>
          <w:b/>
          <w:bCs/>
        </w:rPr>
        <w:t xml:space="preserve">+7.2%</w:t>
      </w:r>
      <w:r>
        <w:t xml:space="preserve"> </w:t>
      </w:r>
      <w:r>
        <w:t xml:space="preserve">(and License B by +6.8%). Combined</w:t>
      </w:r>
      <w:r>
        <w:t xml:space="preserve"> </w:t>
      </w:r>
      <w:r>
        <w:t xml:space="preserve">with the rate increase, the</w:t>
      </w:r>
      <w:r>
        <w:t xml:space="preserve"> </w:t>
      </w:r>
      <w:r>
        <w:rPr>
          <w:b/>
          <w:bCs/>
        </w:rPr>
        <w:t xml:space="preserve">effective rate on the original Net Sales</w:t>
      </w:r>
      <w:r>
        <w:rPr>
          <w:b/>
          <w:bCs/>
        </w:rPr>
        <w:t xml:space="preserve"> </w:t>
      </w:r>
      <w:r>
        <w:rPr>
          <w:b/>
          <w:bCs/>
        </w:rPr>
        <w:t xml:space="preserve">base is 6.70% — i.e., 148.9% of the current rate</w:t>
      </w:r>
      <w:r>
        <w:t xml:space="preserve">, which is within</w:t>
      </w:r>
      <w:r>
        <w:t xml:space="preserve"> </w:t>
      </w:r>
      <w:r>
        <w:t xml:space="preserve">the 150% cap only barely and only if</w:t>
      </w:r>
      <w:r>
        <w:t xml:space="preserve"> </w:t>
      </w:r>
      <w:r>
        <w:t xml:space="preserve">“</w:t>
      </w:r>
      <w:r>
        <w:t xml:space="preserve">rate</w:t>
      </w:r>
      <w:r>
        <w:t xml:space="preserve">”</w:t>
      </w:r>
      <w:r>
        <w:t xml:space="preserve"> </w:t>
      </w:r>
      <w:r>
        <w:t xml:space="preserve">is read to capture the</w:t>
      </w:r>
      <w:r>
        <w:t xml:space="preserve"> </w:t>
      </w:r>
      <w:r>
        <w:t xml:space="preserve">economic burden rather than the nominal percentage. Of six rate-based</w:t>
      </w:r>
      <w:r>
        <w:t xml:space="preserve"> </w:t>
      </w:r>
      <w:r>
        <w:t xml:space="preserve">market comparables, only one uses a modified Net Sales definition, and</w:t>
      </w:r>
      <w:r>
        <w:t xml:space="preserve"> </w:t>
      </w:r>
      <w:r>
        <w:t xml:space="preserve">that comp removes returns only — none removes freight, insurance, and</w:t>
      </w:r>
      <w:r>
        <w:t xml:space="preserve"> </w:t>
      </w:r>
      <w:r>
        <w:t xml:space="preserve">bad debt.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 the redefinition; if accepted,</w:t>
      </w:r>
      <w:r>
        <w:t xml:space="preserve"> </w:t>
      </w:r>
      <w:r>
        <w:t xml:space="preserve">insist that the combined effective rate be measured against the 150% cap</w:t>
      </w:r>
      <w:r>
        <w:t xml:space="preserve"> </w:t>
      </w:r>
      <w:r>
        <w:t xml:space="preserve">and that the rate be reduced accordingly.</w:t>
      </w:r>
    </w:p>
    <w:bookmarkEnd w:id="25"/>
    <w:bookmarkStart w:id="26" w:name="section-14.3-rate-cap-analysis"/>
    <w:p>
      <w:pPr>
        <w:pStyle w:val="Heading3"/>
      </w:pPr>
      <w:r>
        <w:t xml:space="preserve">5.3 Section 14.3 rate-cap analysis</w:t>
      </w:r>
    </w:p>
    <w:p>
      <w:pPr>
        <w:pStyle w:val="FirstParagraph"/>
      </w:pPr>
      <w:r>
        <w:t xml:space="preserve">Section 14.3(a) permits a royalty-rate increase up to 150% of the</w:t>
      </w:r>
      <w:r>
        <w:t xml:space="preserve"> </w:t>
      </w:r>
      <w:r>
        <w:t xml:space="preserve">then-current rate (max 6.75%) without an IFMV assessment; increases</w:t>
      </w:r>
      <w:r>
        <w:t xml:space="preserve"> </w:t>
      </w:r>
      <w:r>
        <w:t xml:space="preserve">above 150% require an IFMV by a mutually agreed independent valuation</w:t>
      </w:r>
      <w:r>
        <w:t xml:space="preserve"> </w:t>
      </w:r>
      <w:r>
        <w:t xml:space="preserve">firm.</w:t>
      </w:r>
      <w:r>
        <w:t xml:space="preserve"> </w:t>
      </w:r>
      <w:r>
        <w:rPr>
          <w:b/>
          <w:bCs/>
        </w:rPr>
        <w:t xml:space="preserve">Issues:</w:t>
      </w:r>
      <w:r>
        <w:t xml:space="preserve"> </w:t>
      </w:r>
      <w:r>
        <w:t xml:space="preserve">(i) The nominal 6.25% is below 6.75%, but the</w:t>
      </w:r>
      <w:r>
        <w:t xml:space="preserve"> </w:t>
      </w:r>
      <w:r>
        <w:t xml:space="preserve">effective rate (6.70% on the original base, per Section 5.2 above) is</w:t>
      </w:r>
      <w:r>
        <w:t xml:space="preserve"> </w:t>
      </w:r>
      <w:r>
        <w:t xml:space="preserve">148.9% of current — within the cap by only 1.1 percentage points. (ii)</w:t>
      </w:r>
      <w:r>
        <w:t xml:space="preserve"> </w:t>
      </w:r>
      <w:r>
        <w:t xml:space="preserve">Section 14.3 is ambiguous as to whether a Net Sales redefinition</w:t>
      </w:r>
      <w:r>
        <w:t xml:space="preserve"> </w:t>
      </w:r>
      <w:r>
        <w:t xml:space="preserve">constitutes a</w:t>
      </w:r>
      <w:r>
        <w:t xml:space="preserve"> </w:t>
      </w:r>
      <w:r>
        <w:t xml:space="preserve">“</w:t>
      </w:r>
      <w:r>
        <w:t xml:space="preserve">rate</w:t>
      </w:r>
      <w:r>
        <w:t xml:space="preserve">”</w:t>
      </w:r>
      <w:r>
        <w:t xml:space="preserve"> </w:t>
      </w:r>
      <w:r>
        <w:t xml:space="preserve">increase; Greenfield should argue it does, so the</w:t>
      </w:r>
      <w:r>
        <w:t xml:space="preserve"> </w:t>
      </w:r>
      <w:r>
        <w:t xml:space="preserve">combined effect is measured against the cap. (iii) Even if within the</w:t>
      </w:r>
      <w:r>
        <w:t xml:space="preserve"> </w:t>
      </w:r>
      <w:r>
        <w:t xml:space="preserve">cap, Section 14.3 requires the increase to be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by mutual agreement</w:t>
      </w:r>
      <w:r>
        <w:rPr>
          <w:b/>
          <w:bCs/>
        </w:rPr>
        <w:t xml:space="preserve">”</w:t>
      </w:r>
      <w:r>
        <w:t xml:space="preserve"> </w:t>
      </w:r>
      <w:r>
        <w:t xml:space="preserve">— Greenfield is not obligated to accept any increase. (iv) The only</w:t>
      </w:r>
      <w:r>
        <w:t xml:space="preserve"> </w:t>
      </w:r>
      <w:r>
        <w:t xml:space="preserve">IFMV-type analysis in the record is the 2020 Clarendon report, which is</w:t>
      </w:r>
      <w:r>
        <w:t xml:space="preserve"> </w:t>
      </w:r>
      <w:r>
        <w:t xml:space="preserve">now over four years old and predates the ’117 IPR and the post-2020</w:t>
      </w:r>
      <w:r>
        <w:t xml:space="preserve"> </w:t>
      </w:r>
      <w:r>
        <w:t xml:space="preserve">competitive filings; an updated assessment should be commissioned if any</w:t>
      </w:r>
      <w:r>
        <w:t xml:space="preserve"> </w:t>
      </w:r>
      <w:r>
        <w:t xml:space="preserve">increase above the cap is sought.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Preserve all</w:t>
      </w:r>
      <w:r>
        <w:t xml:space="preserve"> </w:t>
      </w:r>
      <w:r>
        <w:t xml:space="preserve">cap-based arguments; do not concede that 6.25% is</w:t>
      </w:r>
      <w:r>
        <w:t xml:space="preserve"> </w:t>
      </w:r>
      <w:r>
        <w:t xml:space="preserve">“</w:t>
      </w:r>
      <w:r>
        <w:t xml:space="preserve">automatically</w:t>
      </w:r>
      <w:r>
        <w:t xml:space="preserve">”</w:t>
      </w:r>
      <w:r>
        <w:t xml:space="preserve"> </w:t>
      </w:r>
      <w:r>
        <w:t xml:space="preserve">permissible.</w:t>
      </w:r>
    </w:p>
    <w:bookmarkEnd w:id="26"/>
    <w:bookmarkStart w:id="27" w:name="minimum-annual-royalty-doubled-4m-8m"/>
    <w:p>
      <w:pPr>
        <w:pStyle w:val="Heading3"/>
      </w:pPr>
      <w:r>
        <w:t xml:space="preserve">5.4 Minimum annual royalty doubled ($4M → $8M)</w:t>
      </w:r>
    </w:p>
    <w:p>
      <w:pPr>
        <w:pStyle w:val="FirstParagraph"/>
      </w:pPr>
      <w:r>
        <w:t xml:space="preserve">The Proposal doubles the MAR to $8,000,000, payable quarterly at</w:t>
      </w:r>
      <w:r>
        <w:t xml:space="preserve"> </w:t>
      </w:r>
      <w:r>
        <w:t xml:space="preserve">$2,000,000 with a 45-day shortfall true-up.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Under all</w:t>
      </w:r>
      <w:r>
        <w:t xml:space="preserve"> </w:t>
      </w:r>
      <w:r>
        <w:t xml:space="preserve">modeled growth scenarios the calculated royalty exceeds $8M, so the MAR</w:t>
      </w:r>
      <w:r>
        <w:t xml:space="preserve"> </w:t>
      </w:r>
      <w:r>
        <w:t xml:space="preserve">is not currently binding — but it creates material downside risk if</w:t>
      </w:r>
      <w:r>
        <w:t xml:space="preserve"> </w:t>
      </w:r>
      <w:r>
        <w:t xml:space="preserve">Net Sales decline, and it is double the current obligation with no</w:t>
      </w:r>
      <w:r>
        <w:t xml:space="preserve"> </w:t>
      </w:r>
      <w:r>
        <w:t xml:space="preserve">commensurate expansion of rights (indeed, rights are narrowed — see</w:t>
      </w:r>
      <w:r>
        <w:t xml:space="preserve"> </w:t>
      </w:r>
      <w:r>
        <w:t xml:space="preserve">Sections 5.6–5.7).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 the doubling; if a MAR</w:t>
      </w:r>
      <w:r>
        <w:t xml:space="preserve"> </w:t>
      </w:r>
      <w:r>
        <w:t xml:space="preserve">increase is unavoidable, tie it to a reduced rate or to the post-2028</w:t>
      </w:r>
      <w:r>
        <w:t xml:space="preserve"> </w:t>
      </w:r>
      <w:r>
        <w:t xml:space="preserve">step-down (Section 5.11).</w:t>
      </w:r>
    </w:p>
    <w:bookmarkEnd w:id="27"/>
    <w:bookmarkStart w:id="28" w:name="Xcdc8eb269a7120bfe385b16e0baa0f858b576e7"/>
    <w:p>
      <w:pPr>
        <w:pStyle w:val="Heading3"/>
      </w:pPr>
      <w:r>
        <w:t xml:space="preserve">5.5 Field of Use — removal of insect resistance</w:t>
      </w:r>
    </w:p>
    <w:p>
      <w:pPr>
        <w:pStyle w:val="FirstParagraph"/>
      </w:pPr>
      <w:r>
        <w:t xml:space="preserve">The Proposal would remove</w:t>
      </w:r>
      <w:r>
        <w:t xml:space="preserve"> </w:t>
      </w:r>
      <w:r>
        <w:rPr>
          <w:b/>
          <w:bCs/>
        </w:rPr>
        <w:t xml:space="preserve">insect resistance</w:t>
      </w:r>
      <w:r>
        <w:t xml:space="preserve"> </w:t>
      </w:r>
      <w:r>
        <w:t xml:space="preserve">(including Bt-derived</w:t>
      </w:r>
      <w:r>
        <w:t xml:space="preserve"> </w:t>
      </w:r>
      <w:r>
        <w:t xml:space="preserve">and non-Bt insecticidal proteins) from the Field of Use, on the stated</w:t>
      </w:r>
      <w:r>
        <w:t xml:space="preserve"> </w:t>
      </w:r>
      <w:r>
        <w:t xml:space="preserve">ground that NovaTrait has granted exclusive insect-resistance rights to</w:t>
      </w:r>
      <w:r>
        <w:t xml:space="preserve"> </w:t>
      </w:r>
      <w:r>
        <w:t xml:space="preserve">another agricultural biotechnology company.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Per Oakvale,</w:t>
      </w:r>
      <w:r>
        <w:t xml:space="preserve"> </w:t>
      </w:r>
      <w:r>
        <w:t xml:space="preserve">insect resistance is approximately</w:t>
      </w:r>
      <w:r>
        <w:t xml:space="preserve"> </w:t>
      </w:r>
      <w:r>
        <w:rPr>
          <w:b/>
          <w:bCs/>
        </w:rPr>
        <w:t xml:space="preserve">30% of License A revenue</w:t>
      </w:r>
      <w:r>
        <w:t xml:space="preserve">.</w:t>
      </w:r>
      <w:r>
        <w:t xml:space="preserve"> </w:t>
      </w:r>
      <w:r>
        <w:t xml:space="preserve">Removing it is a substantial narrowing of scope, yet the royalty rate is</w:t>
      </w:r>
      <w:r>
        <w:t xml:space="preserve"> </w:t>
      </w:r>
      <w:r>
        <w:t xml:space="preserve">being</w:t>
      </w:r>
      <w:r>
        <w:t xml:space="preserve"> </w:t>
      </w:r>
      <w:r>
        <w:rPr>
          <w:i/>
          <w:iCs/>
        </w:rPr>
        <w:t xml:space="preserve">increased</w:t>
      </w:r>
      <w:r>
        <w:t xml:space="preserve">. NovaTrait offers only to</w:t>
      </w:r>
      <w:r>
        <w:t xml:space="preserve"> </w:t>
      </w:r>
      <w:r>
        <w:t xml:space="preserve">“</w:t>
      </w:r>
      <w:r>
        <w:t xml:space="preserve">discuss</w:t>
      </w:r>
      <w:r>
        <w:t xml:space="preserve">”</w:t>
      </w:r>
      <w:r>
        <w:t xml:space="preserve"> </w:t>
      </w:r>
      <w:r>
        <w:t xml:space="preserve">a separate,</w:t>
      </w:r>
      <w:r>
        <w:t xml:space="preserve"> </w:t>
      </w:r>
      <w:r>
        <w:t xml:space="preserve">non-exclusive, transitional license with a finite sunset for</w:t>
      </w:r>
      <w:r>
        <w:t xml:space="preserve"> </w:t>
      </w:r>
      <w:r>
        <w:t xml:space="preserve">Greenfield’s existing insect-resistance product lines.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the removal as part of a rate-increasing</w:t>
      </w:r>
      <w:r>
        <w:t xml:space="preserve"> </w:t>
      </w:r>
      <w:r>
        <w:t xml:space="preserve">renewal; at minimum demand (a) a binding transitional/sunset license on</w:t>
      </w:r>
      <w:r>
        <w:t xml:space="preserve"> </w:t>
      </w:r>
      <w:r>
        <w:t xml:space="preserve">pre-negotiated terms, (b) preservation of the 12-month sell-off right</w:t>
      </w:r>
      <w:r>
        <w:t xml:space="preserve"> </w:t>
      </w:r>
      <w:r>
        <w:t xml:space="preserve">(Section 15.5(b)) for existing insect-resistance inventory, and (c) a</w:t>
      </w:r>
      <w:r>
        <w:t xml:space="preserve"> </w:t>
      </w:r>
      <w:r>
        <w:t xml:space="preserve">rate reduction proportionate to the removed scope. Do not agree to</w:t>
      </w:r>
      <w:r>
        <w:t xml:space="preserve"> </w:t>
      </w:r>
      <w:r>
        <w:t xml:space="preserve">remove insect resistance while paying a higher rate for less coverage.</w:t>
      </w:r>
    </w:p>
    <w:bookmarkEnd w:id="28"/>
    <w:bookmarkStart w:id="29" w:name="field-of-use-addition-of-wheat"/>
    <w:p>
      <w:pPr>
        <w:pStyle w:val="Heading3"/>
      </w:pPr>
      <w:r>
        <w:t xml:space="preserve">5.6 Field of Use — addition of wheat</w:t>
      </w:r>
    </w:p>
    <w:p>
      <w:pPr>
        <w:pStyle w:val="FirstParagraph"/>
      </w:pPr>
      <w:r>
        <w:t xml:space="preserve">The Proposal adds wheat (</w:t>
      </w:r>
      <w:r>
        <w:rPr>
          <w:i/>
          <w:iCs/>
        </w:rPr>
        <w:t xml:space="preserve">Triticum</w:t>
      </w:r>
      <w:r>
        <w:t xml:space="preserve"> </w:t>
      </w:r>
      <w:r>
        <w:t xml:space="preserve">spp.) to the Field of Use (herbicide</w:t>
      </w:r>
      <w:r>
        <w:t xml:space="preserve"> </w:t>
      </w:r>
      <w:r>
        <w:t xml:space="preserve">tolerance only).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Clarendon Recommendation #2 warns that any</w:t>
      </w:r>
      <w:r>
        <w:t xml:space="preserve"> </w:t>
      </w:r>
      <w:r>
        <w:t xml:space="preserve">field-of-use expansion must be evaluated against the actual scope of the</w:t>
      </w:r>
      <w:r>
        <w:t xml:space="preserve"> </w:t>
      </w:r>
      <w:r>
        <w:t xml:space="preserve">underlying patent claims — if NovaTrait’s patents lack specific</w:t>
      </w:r>
      <w:r>
        <w:t xml:space="preserve"> </w:t>
      </w:r>
      <w:r>
        <w:t xml:space="preserve">embodiments or data for wheat, the expanded field may not block</w:t>
      </w:r>
      <w:r>
        <w:t xml:space="preserve"> </w:t>
      </w:r>
      <w:r>
        <w:t xml:space="preserve">third-party competition, and the license value in the expanded field is</w:t>
      </w:r>
      <w:r>
        <w:t xml:space="preserve"> </w:t>
      </w:r>
      <w:r>
        <w:t xml:space="preserve">diminished. NovaTrait has not demonstrated that its portfolio confers</w:t>
      </w:r>
      <w:r>
        <w:t xml:space="preserve"> </w:t>
      </w:r>
      <w:r>
        <w:t xml:space="preserve">meaningful exclusivity in wheat.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Do not pay a rate</w:t>
      </w:r>
      <w:r>
        <w:t xml:space="preserve"> </w:t>
      </w:r>
      <w:r>
        <w:t xml:space="preserve">premium for wheat absent evidence of claim coverage and blocking effect;</w:t>
      </w:r>
      <w:r>
        <w:t xml:space="preserve"> </w:t>
      </w:r>
      <w:r>
        <w:t xml:space="preserve">condition any wheat addition on NovaTrait’s demonstration of coverage</w:t>
      </w:r>
      <w:r>
        <w:t xml:space="preserve"> </w:t>
      </w:r>
      <w:r>
        <w:t xml:space="preserve">and on achievable diligence milestones (Section 5.12).</w:t>
      </w:r>
    </w:p>
    <w:bookmarkEnd w:id="29"/>
    <w:bookmarkStart w:id="30" w:name="sublicense-pass-through-increase-35-50"/>
    <w:p>
      <w:pPr>
        <w:pStyle w:val="Heading3"/>
      </w:pPr>
      <w:r>
        <w:t xml:space="preserve">5.7 Sublicense pass-through increase (35% → 50%)</w:t>
      </w:r>
    </w:p>
    <w:p>
      <w:pPr>
        <w:pStyle w:val="FirstParagraph"/>
      </w:pPr>
      <w:r>
        <w:t xml:space="preserve">The Proposal raises the License A sublicense pass-through from 35% to</w:t>
      </w:r>
      <w:r>
        <w:t xml:space="preserve"> </w:t>
      </w:r>
      <w:r>
        <w:t xml:space="preserve">50% of sublicensee royalties/fees/milestones (net of running royalties</w:t>
      </w:r>
      <w:r>
        <w:t xml:space="preserve"> </w:t>
      </w:r>
      <w:r>
        <w:t xml:space="preserve">on sublicensee Net Sales), applicable prospectively from the renewal</w:t>
      </w:r>
      <w:r>
        <w:t xml:space="preserve"> </w:t>
      </w:r>
      <w:r>
        <w:t xml:space="preserve">effective date.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current 35% is already above the market</w:t>
      </w:r>
      <w:r>
        <w:t xml:space="preserve"> </w:t>
      </w:r>
      <w:r>
        <w:t xml:space="preserve">median; the market comparables show pass-throughs of 30% and 40% in the</w:t>
      </w:r>
      <w:r>
        <w:t xml:space="preserve"> </w:t>
      </w:r>
      <w:r>
        <w:t xml:space="preserve">two comps that specify one. A 50% pass-through materially erodes the</w:t>
      </w:r>
      <w:r>
        <w:t xml:space="preserve"> </w:t>
      </w:r>
      <w:r>
        <w:t xml:space="preserve">economics of any future License A sublicensing.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Retain 35%, or accept 40% only with a volume discount above a defined</w:t>
      </w:r>
      <w:r>
        <w:t xml:space="preserve"> </w:t>
      </w:r>
      <w:r>
        <w:t xml:space="preserve">pass-through threshold.</w:t>
      </w:r>
    </w:p>
    <w:bookmarkEnd w:id="30"/>
    <w:bookmarkStart w:id="31" w:name="X17d237a8ecd067a962ee23f65eb829bacd4b13a"/>
    <w:p>
      <w:pPr>
        <w:pStyle w:val="Heading3"/>
      </w:pPr>
      <w:r>
        <w:t xml:space="preserve">5.8 Improvements — reversal of ownership (Section 8.1)</w:t>
      </w:r>
    </w:p>
    <w:p>
      <w:pPr>
        <w:pStyle w:val="FirstParagraph"/>
      </w:pPr>
      <w:r>
        <w:t xml:space="preserve">Current Section 8.1: Greenfield</w:t>
      </w:r>
      <w:r>
        <w:t xml:space="preserve"> </w:t>
      </w:r>
      <w:r>
        <w:rPr>
          <w:b/>
          <w:bCs/>
        </w:rPr>
        <w:t xml:space="preserve">solely owns</w:t>
      </w:r>
      <w:r>
        <w:t xml:space="preserve"> </w:t>
      </w:r>
      <w:r>
        <w:t xml:space="preserve">its Improvements, with a</w:t>
      </w:r>
      <w:r>
        <w:t xml:space="preserve"> </w:t>
      </w:r>
      <w:r>
        <w:t xml:space="preserve">non-exclusive license back to NovaTrait (outside the Field of Use) at a</w:t>
      </w:r>
      <w:r>
        <w:t xml:space="preserve"> </w:t>
      </w:r>
      <w:r>
        <w:t xml:space="preserve">commercially reasonable royalty to be negotiated; NovaTrait may not use</w:t>
      </w:r>
      <w:r>
        <w:t xml:space="preserve"> </w:t>
      </w:r>
      <w:r>
        <w:t xml:space="preserve">Greenfield Improvements in the Field/Territory to compete during the</w:t>
      </w:r>
      <w:r>
        <w:t xml:space="preserve"> </w:t>
      </w:r>
      <w:r>
        <w:t xml:space="preserve">Term without consent. The Proposal would reverse this to</w:t>
      </w:r>
      <w:r>
        <w:t xml:space="preserve"> </w:t>
      </w:r>
      <w:r>
        <w:rPr>
          <w:b/>
          <w:bCs/>
        </w:rPr>
        <w:t xml:space="preserve">joint</w:t>
      </w:r>
      <w:r>
        <w:rPr>
          <w:b/>
          <w:bCs/>
        </w:rP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of all Improvements, with NovaTrait receiving an</w:t>
      </w:r>
      <w:r>
        <w:t xml:space="preserve"> </w:t>
      </w:r>
      <w:r>
        <w:rPr>
          <w:b/>
          <w:bCs/>
        </w:rPr>
        <w:t xml:space="preserve">irrevocable, perpetual, worldwide, fully paid-up, royalty-free,</w:t>
      </w:r>
      <w:r>
        <w:rPr>
          <w:b/>
          <w:bCs/>
        </w:rPr>
        <w:t xml:space="preserve"> </w:t>
      </w:r>
      <w:r>
        <w:rPr>
          <w:b/>
          <w:bCs/>
        </w:rPr>
        <w:t xml:space="preserve">sublicensable, transferable</w:t>
      </w:r>
      <w:r>
        <w:t xml:space="preserve"> </w:t>
      </w:r>
      <w:r>
        <w:t xml:space="preserve">license for any purpose, while Greenfield</w:t>
      </w:r>
      <w:r>
        <w:t xml:space="preserve"> </w:t>
      </w:r>
      <w:r>
        <w:t xml:space="preserve">receives only a</w:t>
      </w:r>
      <w:r>
        <w:t xml:space="preserve"> </w:t>
      </w:r>
      <w:r>
        <w:rPr>
          <w:b/>
          <w:bCs/>
        </w:rPr>
        <w:t xml:space="preserve">non-exclusive, non-sublicensable, royalty-bearing</w:t>
      </w:r>
      <w:r>
        <w:rPr>
          <w:b/>
          <w:bCs/>
        </w:rPr>
        <w:t xml:space="preserve"> </w:t>
      </w:r>
      <w:r>
        <w:rPr>
          <w:b/>
          <w:bCs/>
        </w:rPr>
        <w:t xml:space="preserve">license for the Renewal Term only</w:t>
      </w:r>
      <w:r>
        <w:t xml:space="preserve">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is a fundamental</w:t>
      </w:r>
      <w:r>
        <w:t xml:space="preserve"> </w:t>
      </w:r>
      <w:r>
        <w:t xml:space="preserve">adverse change — Greenfield would lose sole ownership of its own</w:t>
      </w:r>
      <w:r>
        <w:t xml:space="preserve"> </w:t>
      </w:r>
      <w:r>
        <w:t xml:space="preserve">inventions, grant NovaTrait a royalty-free perpetual license usable even</w:t>
      </w:r>
      <w:r>
        <w:t xml:space="preserve"> </w:t>
      </w:r>
      <w:r>
        <w:t xml:space="preserve">against Greenfield outside the Field, and receive back only a</w:t>
      </w:r>
      <w:r>
        <w:t xml:space="preserve"> </w:t>
      </w:r>
      <w:r>
        <w:t xml:space="preserve">term-limited, non-sublicensable, royalty-bearing license to its own</w:t>
      </w:r>
      <w:r>
        <w:t xml:space="preserve"> </w:t>
      </w:r>
      <w:r>
        <w:t xml:space="preserve">technology.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Reject; retain sole Greenfield ownership</w:t>
      </w:r>
      <w:r>
        <w:t xml:space="preserve"> </w:t>
      </w:r>
      <w:r>
        <w:t xml:space="preserve">of Greenfield Improvements with a non-exclusive license back to</w:t>
      </w:r>
      <w:r>
        <w:t xml:space="preserve"> </w:t>
      </w:r>
      <w:r>
        <w:t xml:space="preserve">NovaTrait at a commercially reasonable royalty (the current structure).</w:t>
      </w:r>
    </w:p>
    <w:bookmarkEnd w:id="31"/>
    <w:bookmarkStart w:id="32" w:name="X164a3fe2edbb6081127abe2db9915ca37a40a79"/>
    <w:p>
      <w:pPr>
        <w:pStyle w:val="Heading3"/>
      </w:pPr>
      <w:r>
        <w:t xml:space="preserve">5.9 Anti-stacking / third-party royalty offset (new Section 7.7) — favorable, with caveats</w:t>
      </w:r>
    </w:p>
    <w:p>
      <w:pPr>
        <w:pStyle w:val="FirstParagraph"/>
      </w:pPr>
      <w:r>
        <w:t xml:space="preserve">The Proposal adds a 50% credit against running royalties for third-party</w:t>
      </w:r>
      <w:r>
        <w:t xml:space="preserve"> </w:t>
      </w:r>
      <w:r>
        <w:t xml:space="preserve">FTO royalties actually paid, capped at 25% of quarterly royalties</w:t>
      </w:r>
      <w:r>
        <w:t xml:space="preserve"> </w:t>
      </w:r>
      <w:r>
        <w:t xml:space="preserve">otherwise payable, with an effective-rate floor of 4.75%.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is one of the few favorable terms and reflects the reality that</w:t>
      </w:r>
      <w:r>
        <w:t xml:space="preserve"> </w:t>
      </w:r>
      <w:r>
        <w:t xml:space="preserve">Greenfield may need third-party FTO licenses (e.g., to navigate the</w:t>
      </w:r>
      <w:r>
        <w:t xml:space="preserve"> </w:t>
      </w:r>
      <w:r>
        <w:t xml:space="preserve">AgriGenome/CropTech landscape post-2028). However, the 4.75% floor</w:t>
      </w:r>
      <w:r>
        <w:t xml:space="preserve"> </w:t>
      </w:r>
      <w:r>
        <w:t xml:space="preserve">limits the offset’s utility, and the cap is expressed against quarterly</w:t>
      </w:r>
      <w:r>
        <w:t xml:space="preserve"> </w:t>
      </w:r>
      <w:r>
        <w:t xml:space="preserve">royalties.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Accept the concept with modifications:</w:t>
      </w:r>
      <w:r>
        <w:t xml:space="preserve"> </w:t>
      </w:r>
      <w:r>
        <w:t xml:space="preserve">(i) floor at 75% of the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(not minimum) royalty, and (ii)</w:t>
      </w:r>
      <w:r>
        <w:t xml:space="preserve"> </w:t>
      </w:r>
      <w:r>
        <w:t xml:space="preserve">clarify that the offset is available against the MAR true-up as well.</w:t>
      </w:r>
    </w:p>
    <w:bookmarkEnd w:id="32"/>
    <w:bookmarkStart w:id="33" w:name="X051604006c712204f31bcaf757ebb6ed5495dea"/>
    <w:p>
      <w:pPr>
        <w:pStyle w:val="Heading3"/>
      </w:pPr>
      <w:r>
        <w:t xml:space="preserve">5.10 Term shortened (10 → 5 years) and renewal structure</w:t>
      </w:r>
    </w:p>
    <w:p>
      <w:pPr>
        <w:pStyle w:val="FirstParagraph"/>
      </w:pPr>
      <w:r>
        <w:t xml:space="preserve">The Proposal offers a 5-year renewal (July 1, 2025 – June 30, 2030)</w:t>
      </w:r>
      <w:r>
        <w:t xml:space="preserve"> </w:t>
      </w:r>
      <w:r>
        <w:t xml:space="preserve">with one further 5-year option subject to a renewed IFMV assessment.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A 5-year term straddles the ’117 patent expiry (March 12,</w:t>
      </w:r>
      <w:r>
        <w:t xml:space="preserve"> </w:t>
      </w:r>
      <w:r>
        <w:t xml:space="preserve">2028), meaning ~2.25 years of the term run after the foundational</w:t>
      </w:r>
      <w:r>
        <w:t xml:space="preserve"> </w:t>
      </w:r>
      <w:r>
        <w:t xml:space="preserve">patent enters the public domain. A shorter initial term (e.g., to</w:t>
      </w:r>
      <w:r>
        <w:t xml:space="preserve"> </w:t>
      </w:r>
      <w:r>
        <w:t xml:space="preserve">mid-2028) or a step-down mechanism (Section 5.11) would better align</w:t>
      </w:r>
      <w:r>
        <w:t xml:space="preserve"> </w:t>
      </w:r>
      <w:r>
        <w:t xml:space="preserve">price with value.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either a step-down</w:t>
      </w:r>
      <w:r>
        <w:t xml:space="preserve"> </w:t>
      </w:r>
      <w:r>
        <w:t xml:space="preserve">(preferred) or a shorter initial term aligned to the ’117 expiry.</w:t>
      </w:r>
    </w:p>
    <w:bookmarkEnd w:id="33"/>
    <w:bookmarkStart w:id="34" w:name="X1c57d351321370509538435020a9ea81ff39340"/>
    <w:p>
      <w:pPr>
        <w:pStyle w:val="Heading3"/>
      </w:pPr>
      <w:r>
        <w:t xml:space="preserve">5.11 Royalty step-down tied to ’117 patent expiry (March 12, 2028) — critical</w:t>
      </w:r>
    </w:p>
    <w:p>
      <w:pPr>
        <w:pStyle w:val="FirstParagraph"/>
      </w:pPr>
      <w:r>
        <w:t xml:space="preserve">Clarendon assesses U.S. Patent No. 9,234,117 as</w:t>
      </w:r>
      <w:r>
        <w:t xml:space="preserve"> </w:t>
      </w:r>
      <w:r>
        <w:rPr>
          <w:b/>
          <w:bCs/>
        </w:rPr>
        <w:t xml:space="preserve">~60% of the License A</w:t>
      </w:r>
      <w:r>
        <w:rPr>
          <w:b/>
          <w:bCs/>
        </w:rPr>
        <w:t xml:space="preserve"> </w:t>
      </w:r>
      <w:r>
        <w:rPr>
          <w:b/>
          <w:bCs/>
        </w:rPr>
        <w:t xml:space="preserve">portfolio’s value</w:t>
      </w:r>
      <w:r>
        <w:t xml:space="preserve"> </w:t>
      </w:r>
      <w:r>
        <w:t xml:space="preserve">and the foundational method patent upon which the</w:t>
      </w:r>
      <w:r>
        <w:t xml:space="preserve"> </w:t>
      </w:r>
      <w:r>
        <w:t xml:space="preserve">improvement patents depend; upon its expiry the residual portfolio value</w:t>
      </w:r>
      <w:r>
        <w:t xml:space="preserve"> </w:t>
      </w:r>
      <w:r>
        <w:t xml:space="preserve">drops to</w:t>
      </w:r>
      <w:r>
        <w:t xml:space="preserve"> </w:t>
      </w:r>
      <w:r>
        <w:rPr>
          <w:b/>
          <w:bCs/>
        </w:rPr>
        <w:t xml:space="preserve">~35–40%</w:t>
      </w:r>
      <w:r>
        <w:t xml:space="preserve">, and competitors (AgriGenome Solutions, CropTech</w:t>
      </w:r>
      <w:r>
        <w:t xml:space="preserve"> </w:t>
      </w:r>
      <w:r>
        <w:t xml:space="preserve">Innovations) will be free to combine public-domain methods with their</w:t>
      </w:r>
      <w:r>
        <w:t xml:space="preserve"> </w:t>
      </w:r>
      <w:r>
        <w:t xml:space="preserve">own improvement patents. Clarendon recommends a</w:t>
      </w:r>
      <w:r>
        <w:t xml:space="preserve"> </w:t>
      </w:r>
      <w:r>
        <w:rPr>
          <w:b/>
          <w:bCs/>
        </w:rPr>
        <w:t xml:space="preserve">step-down royalty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or a rate-renegotiation trigger upon ’117 expiry, with</w:t>
      </w:r>
      <w:r>
        <w:t xml:space="preserve"> </w:t>
      </w:r>
      <w:r>
        <w:t xml:space="preserve">post-2028 rates in the</w:t>
      </w:r>
      <w:r>
        <w:t xml:space="preserve"> </w:t>
      </w:r>
      <w:r>
        <w:rPr>
          <w:b/>
          <w:bCs/>
        </w:rPr>
        <w:t xml:space="preserve">2.0%–3.5%</w:t>
      </w:r>
      <w:r>
        <w:t xml:space="preserve"> </w:t>
      </w:r>
      <w:r>
        <w:t xml:space="preserve">range. NovaTrait’s Proposal</w:t>
      </w:r>
      <w:r>
        <w:t xml:space="preserve"> </w:t>
      </w:r>
      <w:r>
        <w:t xml:space="preserve">applies a flat 6.25% across the entire term and asserts (Part I, item</w:t>
      </w:r>
      <w:r>
        <w:t xml:space="preserve"> </w:t>
      </w:r>
      <w:r>
        <w:t xml:space="preserve">14) that post-2028 value is</w:t>
      </w:r>
      <w:r>
        <w:t xml:space="preserve"> </w:t>
      </w:r>
      <w:r>
        <w:t xml:space="preserve">“</w:t>
      </w:r>
      <w:r>
        <w:t xml:space="preserve">not materially impaired</w:t>
      </w:r>
      <w:r>
        <w:t xml:space="preserve">”</w:t>
      </w:r>
      <w:r>
        <w:t xml:space="preserve"> </w:t>
      </w:r>
      <w:r>
        <w:t xml:space="preserve">because of</w:t>
      </w:r>
      <w:r>
        <w:t xml:space="preserve"> </w:t>
      </w:r>
      <w:r>
        <w:t xml:space="preserve">continuation patents and know-how.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A flat 6.25% through 2030</w:t>
      </w:r>
      <w:r>
        <w:t xml:space="preserve"> </w:t>
      </w:r>
      <w:r>
        <w:t xml:space="preserve">would have Greenfield overpaying for the final ~2.25 years relative to</w:t>
      </w:r>
      <w:r>
        <w:t xml:space="preserve"> </w:t>
      </w:r>
      <w:r>
        <w:t xml:space="preserve">actual IP value.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Insist on an automatic step-down to</w:t>
      </w:r>
      <w:r>
        <w:t xml:space="preserve"> </w:t>
      </w:r>
      <w:r>
        <w:t xml:space="preserve">~2.5%–3.5% effective March 12, 2028, or a renegotiation trigger on</w:t>
      </w:r>
      <w:r>
        <w:t xml:space="preserve"> </w:t>
      </w:r>
      <w:r>
        <w:t xml:space="preserve">that date, supported by the Clarendon value-weighting.</w:t>
      </w:r>
    </w:p>
    <w:bookmarkEnd w:id="34"/>
    <w:bookmarkStart w:id="35" w:name="diligence-milestones-for-wheat"/>
    <w:p>
      <w:pPr>
        <w:pStyle w:val="Heading3"/>
      </w:pPr>
      <w:r>
        <w:t xml:space="preserve">5.12 Diligence milestones for wheat</w:t>
      </w:r>
    </w:p>
    <w:p>
      <w:pPr>
        <w:pStyle w:val="FirstParagraph"/>
      </w:pPr>
      <w:r>
        <w:t xml:space="preserve">The Proposal adds wheat-specific milestones: (a) initiation of at least</w:t>
      </w:r>
      <w:r>
        <w:t xml:space="preserve"> </w:t>
      </w:r>
      <w:r>
        <w:t xml:space="preserve">one wheat field trial in North America within 36 months of the renewal</w:t>
      </w:r>
      <w:r>
        <w:t xml:space="preserve"> </w:t>
      </w:r>
      <w:r>
        <w:t xml:space="preserve">effective date; (b) a U.S. or Canadian regulatory submission for at</w:t>
      </w:r>
      <w:r>
        <w:t xml:space="preserve"> </w:t>
      </w:r>
      <w:r>
        <w:t xml:space="preserve">least one wheat Licensed Product within 60 months. Failure triggers the</w:t>
      </w:r>
      <w:r>
        <w:t xml:space="preserve"> </w:t>
      </w:r>
      <w:r>
        <w:t xml:space="preserve">existing 180-day cure and conversion-to-non-exclusive remedy (Section</w:t>
      </w:r>
      <w:r>
        <w:t xml:space="preserve"> </w:t>
      </w:r>
      <w:r>
        <w:t xml:space="preserve">4.3).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Committing to wheat milestones is a new obligation tied</w:t>
      </w:r>
      <w:r>
        <w:t xml:space="preserve"> </w:t>
      </w:r>
      <w:r>
        <w:t xml:space="preserve">to an expanded field whose blocking value is unproven (Section 5.6); the</w:t>
      </w:r>
      <w:r>
        <w:t xml:space="preserve"> </w:t>
      </w:r>
      <w:r>
        <w:t xml:space="preserve">conversion-to-non-exclusive remedy is a severe consequence.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Accept wheat milestones only if the wheat expansion</w:t>
      </w:r>
      <w:r>
        <w:t xml:space="preserve"> </w:t>
      </w:r>
      <w:r>
        <w:t xml:space="preserve">is retained on terms that demonstrate real claim coverage; otherwise</w:t>
      </w:r>
      <w:r>
        <w:t xml:space="preserve"> </w:t>
      </w:r>
      <w:r>
        <w:t xml:space="preserve">decline the wheat expansion and the associated milestones.</w:t>
      </w:r>
    </w:p>
    <w:bookmarkEnd w:id="35"/>
    <w:bookmarkStart w:id="36" w:name="X30b983df8a281f2b718bb39e2f44075fbf1ff41"/>
    <w:p>
      <w:pPr>
        <w:pStyle w:val="Heading3"/>
      </w:pPr>
      <w:r>
        <w:t xml:space="preserve">5.13 Patent schedule discrepancy (Appendix A vs. Exhibit A)</w:t>
      </w:r>
    </w:p>
    <w:p>
      <w:pPr>
        <w:pStyle w:val="FirstParagraph"/>
      </w:pPr>
      <w:r>
        <w:t xml:space="preserve">The Proposal’s Appendix A lists expiration dates for the supporting</w:t>
      </w:r>
      <w:r>
        <w:t xml:space="preserve"> </w:t>
      </w:r>
      <w:r>
        <w:t xml:space="preserve">License A patents that</w:t>
      </w:r>
      <w:r>
        <w:t xml:space="preserve"> </w:t>
      </w:r>
      <w:r>
        <w:rPr>
          <w:b/>
          <w:bCs/>
        </w:rPr>
        <w:t xml:space="preserve">differ materially</w:t>
      </w:r>
      <w:r>
        <w:t xml:space="preserve"> </w:t>
      </w:r>
      <w:r>
        <w:t xml:space="preserve">from the original License A</w:t>
      </w:r>
      <w:r>
        <w:t xml:space="preserve"> </w:t>
      </w:r>
      <w:r>
        <w:t xml:space="preserve">Exhibit A and from the Clarendon report: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Exhibit A /</w:t>
            </w:r>
            <w:r>
              <w:t xml:space="preserve"> </w:t>
            </w:r>
            <w:r>
              <w:t xml:space="preserve">Clarendon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Proposal</w:t>
            </w:r>
            <w:r>
              <w:t xml:space="preserve"> </w:t>
            </w:r>
            <w:r>
              <w:t xml:space="preserve">Appendix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9,234,118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22, 2033 / 2033</w:t>
            </w:r>
            <w:r>
              <w:t xml:space="preserve"> </w:t>
            </w:r>
            <w:r>
              <w:t xml:space="preserve">(est.)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19,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9,651,002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8, 2034 / 2034</w:t>
            </w:r>
            <w:r>
              <w:t xml:space="preserve"> </w:t>
            </w:r>
            <w:r>
              <w:t xml:space="preserve">(est.)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Mar. 8,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10,112,445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Oct. 6, 2035 / Oct. 6,</w:t>
            </w:r>
            <w:r>
              <w:t xml:space="preserve"> </w:t>
            </w:r>
            <w: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3, 2031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If the Proposal’s earlier dates are correct, the post-’117</w:t>
      </w:r>
      <w:r>
        <w:t xml:space="preserve"> </w:t>
      </w:r>
      <w:r>
        <w:t xml:space="preserve">residual coverage is even shorter and weaker than Clarendon assumed</w:t>
      </w:r>
      <w:r>
        <w:t xml:space="preserve"> </w:t>
      </w:r>
      <w:r>
        <w:t xml:space="preserve">(Clarendon’s 35–40% residual value assumed the supporting patents run</w:t>
      </w:r>
      <w:r>
        <w:t xml:space="preserve"> </w:t>
      </w:r>
      <w:r>
        <w:t xml:space="preserve">to 2033–2035), which</w:t>
      </w:r>
      <w:r>
        <w:t xml:space="preserve"> </w:t>
      </w:r>
      <w:r>
        <w:rPr>
          <w:i/>
          <w:iCs/>
        </w:rPr>
        <w:t xml:space="preserve">strengthens</w:t>
      </w:r>
      <w:r>
        <w:t xml:space="preserve"> </w:t>
      </w:r>
      <w:r>
        <w:t xml:space="preserve">Greenfield’s step-down argument but</w:t>
      </w:r>
      <w:r>
        <w:t xml:space="preserve"> </w:t>
      </w:r>
      <w:r>
        <w:t xml:space="preserve">also means NovaTrait’s reassurance that continuation patents protect</w:t>
      </w:r>
      <w:r>
        <w:t xml:space="preserve"> </w:t>
      </w:r>
      <w:r>
        <w:t xml:space="preserve">post-2028 value is weaker on NovaTrait’s own schedule. If the original</w:t>
      </w:r>
      <w:r>
        <w:t xml:space="preserve"> </w:t>
      </w:r>
      <w:r>
        <w:t xml:space="preserve">Exhibit A dates are correct, the Proposal’s schedule understates</w:t>
      </w:r>
      <w:r>
        <w:t xml:space="preserve"> </w:t>
      </w:r>
      <w:r>
        <w:t xml:space="preserve">remaining life. Either way the discrepancy must be reconciled.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that NovaTrait reconcile the schedules with</w:t>
      </w:r>
      <w:r>
        <w:t xml:space="preserve"> </w:t>
      </w:r>
      <w:r>
        <w:t xml:space="preserve">verified patent-term calculations (including priority claims, terminal</w:t>
      </w:r>
      <w:r>
        <w:t xml:space="preserve"> </w:t>
      </w:r>
      <w:r>
        <w:t xml:space="preserve">disclaimers, and any PTE/SPC adjustments) before any renewal is signed;</w:t>
      </w:r>
      <w:r>
        <w:t xml:space="preserve"> </w:t>
      </w:r>
      <w:r>
        <w:t xml:space="preserve">do not rely on the Proposal’s Appendix A dates for valuation.</w:t>
      </w:r>
    </w:p>
    <w:bookmarkEnd w:id="36"/>
    <w:bookmarkStart w:id="37" w:name="X27c5ca9d0de123c081dd5dfea21585c72f247a8"/>
    <w:p>
      <w:pPr>
        <w:pStyle w:val="Heading3"/>
      </w:pPr>
      <w:r>
        <w:t xml:space="preserve">5.14</w:t>
      </w:r>
      <w:r>
        <w:t xml:space="preserve"> </w:t>
      </w:r>
      <w:r>
        <w:t xml:space="preserve">“</w:t>
      </w:r>
      <w:r>
        <w:t xml:space="preserve">Existing Section 14.5 (MFL)</w:t>
      </w:r>
      <w:r>
        <w:t xml:space="preserve">”</w:t>
      </w:r>
      <w:r>
        <w:t xml:space="preserve"> </w:t>
      </w:r>
      <w:r>
        <w:t xml:space="preserve">— provision does not exist</w:t>
      </w:r>
    </w:p>
    <w:p>
      <w:pPr>
        <w:pStyle w:val="FirstParagraph"/>
      </w:pPr>
      <w:r>
        <w:t xml:space="preserve">The Proposal (Part I, item 13) states NovaTrait</w:t>
      </w:r>
      <w:r>
        <w:t xml:space="preserve"> </w:t>
      </w:r>
      <w:r>
        <w:t xml:space="preserve">“</w:t>
      </w:r>
      <w:r>
        <w:t xml:space="preserve">proposes to maintain</w:t>
      </w:r>
      <w:r>
        <w:t xml:space="preserve"> </w:t>
      </w:r>
      <w:r>
        <w:t xml:space="preserve">existing Section 14.5 (MFL) with no changes, including the carve-outs</w:t>
      </w:r>
      <w:r>
        <w:t xml:space="preserve"> </w:t>
      </w:r>
      <w:r>
        <w:t xml:space="preserve">for (a) licenses granted to academic or non-profit research institutions</w:t>
      </w:r>
      <w:r>
        <w:t xml:space="preserve"> </w:t>
      </w:r>
      <w:r>
        <w:t xml:space="preserve">and (b) licenses entered into in connection with the settlement of</w:t>
      </w:r>
      <w:r>
        <w:t xml:space="preserve"> </w:t>
      </w:r>
      <w:r>
        <w:t xml:space="preserve">litigation.</w:t>
      </w:r>
      <w:r>
        <w:t xml:space="preserve">”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License A’s Article 14 contains only Sections</w:t>
      </w:r>
      <w:r>
        <w:t xml:space="preserve"> </w:t>
      </w:r>
      <w:r>
        <w:t xml:space="preserve">14.1–14.4 (Initial Term; Renewal Notice; Renewal Terms; Failure to</w:t>
      </w:r>
      <w:r>
        <w:t xml:space="preserve"> </w:t>
      </w:r>
      <w:r>
        <w:t xml:space="preserve">Agree).</w:t>
      </w:r>
      <w:r>
        <w:t xml:space="preserve"> </w:t>
      </w:r>
      <w:r>
        <w:rPr>
          <w:b/>
          <w:bCs/>
        </w:rPr>
        <w:t xml:space="preserve">There is no Section 14.5 and no most-favored-licensee (</w:t>
      </w:r>
      <w:r>
        <w:rPr>
          <w:b/>
          <w:bCs/>
        </w:rPr>
        <w:t xml:space="preserve">“</w:t>
      </w:r>
      <w:r>
        <w:rPr>
          <w:b/>
          <w:bCs/>
        </w:rPr>
        <w:t xml:space="preserve">MFL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clause in the current License A.</w:t>
      </w:r>
      <w:r>
        <w:t xml:space="preserve"> </w:t>
      </w:r>
      <w:r>
        <w:t xml:space="preserve">The Proposal thus references a</w:t>
      </w:r>
      <w:r>
        <w:t xml:space="preserve"> </w:t>
      </w:r>
      <w:r>
        <w:t xml:space="preserve">provision that does not exist.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Flag this discrepancy</w:t>
      </w:r>
      <w:r>
        <w:t xml:space="preserve"> </w:t>
      </w:r>
      <w:r>
        <w:t xml:space="preserve">to NovaTrait in writing. If anything, Greenfield should seek to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a</w:t>
      </w:r>
      <w:r>
        <w:t xml:space="preserve"> </w:t>
      </w:r>
      <w:r>
        <w:t xml:space="preserve">true MFL clause (favorable to Greenfield) rather than</w:t>
      </w:r>
      <w:r>
        <w:t xml:space="preserve"> </w:t>
      </w:r>
      <w:r>
        <w:t xml:space="preserve">“</w:t>
      </w:r>
      <w:r>
        <w:t xml:space="preserve">maintain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non-existent one; at minimum, obtain clarification of whether NovaTrait</w:t>
      </w:r>
      <w:r>
        <w:t xml:space="preserve"> </w:t>
      </w:r>
      <w:r>
        <w:t xml:space="preserve">believes an MFL exists (e.g., via an undisclosed side letter) and, if</w:t>
      </w:r>
      <w:r>
        <w:t xml:space="preserve"> </w:t>
      </w:r>
      <w:r>
        <w:t xml:space="preserve">so, produce it.</w:t>
      </w:r>
    </w:p>
    <w:bookmarkEnd w:id="37"/>
    <w:bookmarkStart w:id="38" w:name="X959814b475391b6ab03aad1fc2aa2650ffe1167"/>
    <w:p>
      <w:pPr>
        <w:pStyle w:val="Heading3"/>
      </w:pPr>
      <w:r>
        <w:t xml:space="preserve">5.15 Continuation/divisional patents — confirm inclusion</w:t>
      </w:r>
    </w:p>
    <w:p>
      <w:pPr>
        <w:pStyle w:val="FirstParagraph"/>
      </w:pPr>
      <w:r>
        <w:t xml:space="preserve">The Proposal’s Appendix A adds post-2015 continuations to the Licensed</w:t>
      </w:r>
      <w:r>
        <w:t xml:space="preserve"> </w:t>
      </w:r>
      <w:r>
        <w:t xml:space="preserve">Patents schedule: US 10,783,559 (CIP of 10,112,445); US 11,045,214</w:t>
      </w:r>
      <w:r>
        <w:t xml:space="preserve"> </w:t>
      </w:r>
      <w:r>
        <w:t xml:space="preserve">(divisional); US Application 17/812,449 (pending); plus additional</w:t>
      </w:r>
      <w:r>
        <w:t xml:space="preserve"> </w:t>
      </w:r>
      <w:r>
        <w:t xml:space="preserve">foreign counterparts (CA, ZA, MX).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These continuations are</w:t>
      </w:r>
      <w:r>
        <w:t xml:space="preserve"> </w:t>
      </w:r>
      <w:r>
        <w:t xml:space="preserve">important to preserve coverage after ’117 expires.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in the renewed schedule that all such</w:t>
      </w:r>
      <w:r>
        <w:t xml:space="preserve"> </w:t>
      </w:r>
      <w:r>
        <w:t xml:space="preserve">continuations/divisionals/CIPs and foreign counterparts are expressly</w:t>
      </w:r>
      <w:r>
        <w:t xml:space="preserve"> </w:t>
      </w:r>
      <w:r>
        <w:t xml:space="preserve">included within</w:t>
      </w:r>
      <w:r>
        <w:t xml:space="preserve"> </w:t>
      </w:r>
      <w:r>
        <w:t xml:space="preserve">“</w:t>
      </w:r>
      <w:r>
        <w:t xml:space="preserve">Licensed Patents</w:t>
      </w:r>
      <w:r>
        <w:t xml:space="preserve">”</w:t>
      </w:r>
      <w:r>
        <w:t xml:space="preserve"> </w:t>
      </w:r>
      <w:r>
        <w:t xml:space="preserve">(as Section 1.11 already provides),</w:t>
      </w:r>
      <w:r>
        <w:t xml:space="preserve"> </w:t>
      </w:r>
      <w:r>
        <w:t xml:space="preserve">and that Greenfield’s step-in prosecution rights (Section 8.4) extend to</w:t>
      </w:r>
      <w:r>
        <w:t xml:space="preserve"> </w:t>
      </w:r>
      <w:r>
        <w:t xml:space="preserve">them.</w:t>
      </w:r>
    </w:p>
    <w:bookmarkEnd w:id="38"/>
    <w:bookmarkStart w:id="39" w:name="X871fe9f3f987d93cff98823bfa89408f9645a10"/>
    <w:p>
      <w:pPr>
        <w:pStyle w:val="Heading3"/>
      </w:pPr>
      <w:r>
        <w:t xml:space="preserve">5.16 Patent-challenge termination clause (Section 15.4) — retained</w:t>
      </w:r>
    </w:p>
    <w:p>
      <w:pPr>
        <w:pStyle w:val="FirstParagraph"/>
      </w:pPr>
      <w:r>
        <w:t xml:space="preserve">Section 15.4 permits NovaTrait to terminate on 60 days’ notice if</w:t>
      </w:r>
      <w:r>
        <w:t xml:space="preserve"> </w:t>
      </w:r>
      <w:r>
        <w:t xml:space="preserve">Greenfield (or an Affiliate/Sublicensee) challenges any Licensed</w:t>
      </w:r>
      <w:r>
        <w:t xml:space="preserve"> </w:t>
      </w:r>
      <w:r>
        <w:t xml:space="preserve">Patent’s validity/enforceability, unless the challenge is withdrawn</w:t>
      </w:r>
      <w:r>
        <w:t xml:space="preserve"> </w:t>
      </w:r>
      <w:r>
        <w:t xml:space="preserve">within 60 days.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clause remains in force and constrains</w:t>
      </w:r>
      <w:r>
        <w:t xml:space="preserve"> </w:t>
      </w:r>
      <w:r>
        <w:t xml:space="preserve">Greenfield’s ability to challenge the ’117 patent or the disputed</w:t>
      </w:r>
      <w:r>
        <w:t xml:space="preserve"> </w:t>
      </w:r>
      <w:r>
        <w:t xml:space="preserve">expiration dates. Note that the ’117 patent has already survived an</w:t>
      </w:r>
      <w:r>
        <w:t xml:space="preserve"> </w:t>
      </w:r>
      <w:r>
        <w:t xml:space="preserve">inter partes review before the PTAB (per the Proposal cover letter),</w:t>
      </w:r>
      <w:r>
        <w:t xml:space="preserve"> </w:t>
      </w:r>
      <w:r>
        <w:t xml:space="preserve">which supports its enforceability through 2028 but does not extend its</w:t>
      </w:r>
      <w:r>
        <w:t xml:space="preserve"> </w:t>
      </w:r>
      <w:r>
        <w:t xml:space="preserve">term.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Retain awareness of this constraint; any</w:t>
      </w:r>
      <w:r>
        <w:t xml:space="preserve"> </w:t>
      </w:r>
      <w:r>
        <w:t xml:space="preserve">challenge strategy must account for the termination risk.</w:t>
      </w:r>
    </w:p>
    <w:bookmarkEnd w:id="39"/>
    <w:bookmarkStart w:id="40" w:name="X0971e9afefbce7513c73a8cd2dcfd8b8444e094"/>
    <w:p>
      <w:pPr>
        <w:pStyle w:val="Heading3"/>
      </w:pPr>
      <w:r>
        <w:t xml:space="preserve">5.17 Sell-off period and Combination Product provision — confirm retention</w:t>
      </w:r>
    </w:p>
    <w:p>
      <w:pPr>
        <w:pStyle w:val="FirstParagraph"/>
      </w:pPr>
      <w:r>
        <w:t xml:space="preserve">Section 15.5(b) provides a 12-month sell-off right on</w:t>
      </w:r>
      <w:r>
        <w:t xml:space="preserve"> </w:t>
      </w:r>
      <w:r>
        <w:t xml:space="preserve">expiration/termination; Section 1.14 contains a Combination Product</w:t>
      </w:r>
      <w:r>
        <w:t xml:space="preserve"> </w:t>
      </w:r>
      <w:r>
        <w:t xml:space="preserve">allocation formula (A/(A+B)). The Proposal does not address either.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sell-off right is especially important given the</w:t>
      </w:r>
      <w:r>
        <w:t xml:space="preserve"> </w:t>
      </w:r>
      <w:r>
        <w:t xml:space="preserve">insect-resistance removal (Greenfield will need to liquidate existing</w:t>
      </w:r>
      <w:r>
        <w:t xml:space="preserve"> </w:t>
      </w:r>
      <w:r>
        <w:t xml:space="preserve">insect-resistance inventory).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in the renewal</w:t>
      </w:r>
      <w:r>
        <w:t xml:space="preserve"> </w:t>
      </w:r>
      <w:r>
        <w:t xml:space="preserve">that the 12-month sell-off and the Combination Product formula are</w:t>
      </w:r>
      <w:r>
        <w:t xml:space="preserve"> </w:t>
      </w:r>
      <w:r>
        <w:t xml:space="preserve">retained unchanged.</w:t>
      </w:r>
    </w:p>
    <w:bookmarkEnd w:id="40"/>
    <w:bookmarkStart w:id="41" w:name="Xb11181934f4d97a0cbfeba14c63d64c6f53ffd6"/>
    <w:p>
      <w:pPr>
        <w:pStyle w:val="Heading3"/>
      </w:pPr>
      <w:r>
        <w:t xml:space="preserve">5.18 Existing encumbrances (Schedule 5.2) — verify at renewal</w:t>
      </w:r>
    </w:p>
    <w:p>
      <w:pPr>
        <w:pStyle w:val="FirstParagraph"/>
      </w:pPr>
      <w:r>
        <w:t xml:space="preserve">Schedule 5.2 discloses (i) a security interest in the Licensed Patents</w:t>
      </w:r>
      <w:r>
        <w:t xml:space="preserve"> </w:t>
      </w:r>
      <w:r>
        <w:t xml:space="preserve">granted to Cambridge Innovation Capital Fund II, L.P. (venture credit</w:t>
      </w:r>
      <w:r>
        <w:t xml:space="preserve"> </w:t>
      </w:r>
      <w:r>
        <w:t xml:space="preserve">facility, March 15, 2013), and (ii) a prior non-exclusive,</w:t>
      </w:r>
      <w:r>
        <w:t xml:space="preserve"> </w:t>
      </w:r>
      <w:r>
        <w:t xml:space="preserve">non-sublicensable, non-commercial academic license to Meridian</w:t>
      </w:r>
      <w:r>
        <w:t xml:space="preserve"> </w:t>
      </w:r>
      <w:r>
        <w:t xml:space="preserve">Agricultural Research Institute under ’117 and ’118.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NovaTrait’s Section 5.2 representations were made as of the 2015</w:t>
      </w:r>
      <w:r>
        <w:t xml:space="preserve"> </w:t>
      </w:r>
      <w:r>
        <w:t xml:space="preserve">Effective Date.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Obtain refreshed representations at</w:t>
      </w:r>
      <w:r>
        <w:t xml:space="preserve"> </w:t>
      </w:r>
      <w:r>
        <w:t xml:space="preserve">renewal that these remain the only encumbrances and that the Cambridge</w:t>
      </w:r>
      <w:r>
        <w:t xml:space="preserve"> </w:t>
      </w:r>
      <w:r>
        <w:t xml:space="preserve">Innovation Capital security interest has been (or will be)</w:t>
      </w:r>
      <w:r>
        <w:t xml:space="preserve"> </w:t>
      </w:r>
      <w:r>
        <w:t xml:space="preserve">released/modified as needed, and confirm the Meridian license does not</w:t>
      </w:r>
      <w:r>
        <w:t xml:space="preserve"> </w:t>
      </w:r>
      <w:r>
        <w:t xml:space="preserve">expand.</w:t>
      </w:r>
    </w:p>
    <w:bookmarkEnd w:id="41"/>
    <w:bookmarkStart w:id="42" w:name="Xf3141e021032459d41b80f8661f6eaa2312f315"/>
    <w:p>
      <w:pPr>
        <w:pStyle w:val="Heading3"/>
      </w:pPr>
      <w:r>
        <w:t xml:space="preserve">5.19 Security-interest acknowledgment (Section 17.12) — retain</w:t>
      </w:r>
    </w:p>
    <w:p>
      <w:pPr>
        <w:pStyle w:val="FirstParagraph"/>
      </w:pPr>
      <w:r>
        <w:t xml:space="preserve">Section 17.12 acknowledges Greenfield’s right to grant security</w:t>
      </w:r>
      <w:r>
        <w:t xml:space="preserve"> </w:t>
      </w:r>
      <w:r>
        <w:t xml:space="preserve">interests in its rights under License A to lenders (including Fieldstone</w:t>
      </w:r>
      <w:r>
        <w:t xml:space="preserve"> </w:t>
      </w:r>
      <w:r>
        <w:t xml:space="preserve">National Bank) and NovaTrait’s obligation not to unreasonably withhold</w:t>
      </w:r>
      <w:r>
        <w:t xml:space="preserve"> </w:t>
      </w:r>
      <w:r>
        <w:t xml:space="preserve">consent.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provision supports Greenfield’s financing</w:t>
      </w:r>
      <w:r>
        <w:t xml:space="preserve"> </w:t>
      </w:r>
      <w:r>
        <w:t xml:space="preserve">arrangements.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it is carried forward</w:t>
      </w:r>
      <w:r>
        <w:t xml:space="preserve"> </w:t>
      </w:r>
      <w:r>
        <w:t xml:space="preserve">unchanged in the renewal.</w:t>
      </w:r>
    </w:p>
    <w:bookmarkEnd w:id="42"/>
    <w:bookmarkStart w:id="43" w:name="X3214eab524dce8e4fd955b9f3193cd3c8132c77"/>
    <w:p>
      <w:pPr>
        <w:pStyle w:val="Heading3"/>
      </w:pPr>
      <w:r>
        <w:t xml:space="preserve">5.20 Know-how and biological-materials transfer for the wheat expansion</w:t>
      </w:r>
    </w:p>
    <w:p>
      <w:pPr>
        <w:pStyle w:val="FirstParagraph"/>
      </w:pPr>
      <w:r>
        <w:t xml:space="preserve">Current Section 2.5 obligated NovaTrait, within 60 days of the 2015</w:t>
      </w:r>
      <w:r>
        <w:t xml:space="preserve"> </w:t>
      </w:r>
      <w:r>
        <w:t xml:space="preserve">Effective Date, to deliver a complete Know-How transfer package</w:t>
      </w:r>
      <w:r>
        <w:t xml:space="preserve"> </w:t>
      </w:r>
      <w:r>
        <w:t xml:space="preserve">(protocols, SOPs, training documentation, and biological materials</w:t>
      </w:r>
      <w:r>
        <w:t xml:space="preserve"> </w:t>
      </w:r>
      <w:r>
        <w:t xml:space="preserve">reasonably necessary to practice the Licensed Technology) plus up to 120</w:t>
      </w:r>
      <w:r>
        <w:t xml:space="preserve"> </w:t>
      </w:r>
      <w:r>
        <w:t xml:space="preserve">hours of technical support in the first 12 months. The Proposal adds</w:t>
      </w:r>
      <w:r>
        <w:t xml:space="preserve"> </w:t>
      </w:r>
      <w:r>
        <w:t xml:space="preserve">wheat (</w:t>
      </w:r>
      <w:r>
        <w:rPr>
          <w:i/>
          <w:iCs/>
        </w:rPr>
        <w:t xml:space="preserve">Triticum</w:t>
      </w:r>
      <w:r>
        <w:t xml:space="preserve"> </w:t>
      </w:r>
      <w:r>
        <w:t xml:space="preserve">spp.) to the Field of Use (Section 5.6) and imposes</w:t>
      </w:r>
      <w:r>
        <w:t xml:space="preserve"> </w:t>
      </w:r>
      <w:r>
        <w:t xml:space="preserve">wheat-specific diligence milestones (Section 5.12), but is</w:t>
      </w:r>
      <w:r>
        <w:t xml:space="preserve"> </w:t>
      </w:r>
      <w:r>
        <w:rPr>
          <w:b/>
          <w:bCs/>
        </w:rPr>
        <w:t xml:space="preserve">silent on</w:t>
      </w:r>
      <w:r>
        <w:rPr>
          <w:b/>
          <w:bCs/>
        </w:rPr>
        <w:t xml:space="preserve"> </w:t>
      </w:r>
      <w:r>
        <w:rPr>
          <w:b/>
          <w:bCs/>
        </w:rPr>
        <w:t xml:space="preserve">any corresponding know-how or biological-materials transfer for wheat</w:t>
      </w:r>
      <w:r>
        <w:t xml:space="preserve">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Greenfield cannot meet the proposed wheat field-trial</w:t>
      </w:r>
      <w:r>
        <w:t xml:space="preserve"> </w:t>
      </w:r>
      <w:r>
        <w:t xml:space="preserve">(within 36 months) and regulatory-submission (within 60 months)</w:t>
      </w:r>
      <w:r>
        <w:t xml:space="preserve"> </w:t>
      </w:r>
      <w:r>
        <w:t xml:space="preserve">milestones — and cannot meaningfully exploit the expanded field —</w:t>
      </w:r>
      <w:r>
        <w:t xml:space="preserve"> </w:t>
      </w:r>
      <w:r>
        <w:t xml:space="preserve">without NovaTrait’s wheat-specific protocols, transformation/regeneration</w:t>
      </w:r>
      <w:r>
        <w:t xml:space="preserve"> </w:t>
      </w:r>
      <w:r>
        <w:t xml:space="preserve">methods, and reference germplasm. A field-of-use expansion without a</w:t>
      </w:r>
      <w:r>
        <w:t xml:space="preserve"> </w:t>
      </w:r>
      <w:r>
        <w:t xml:space="preserve">matching transfer obligation is value-deficient and creates a diligence</w:t>
      </w:r>
      <w:r>
        <w:t xml:space="preserve"> </w:t>
      </w:r>
      <w:r>
        <w:t xml:space="preserve">trap (failure triggers the 180-day cure and conversion-to-non-exclusive</w:t>
      </w:r>
      <w:r>
        <w:t xml:space="preserve"> </w:t>
      </w:r>
      <w:r>
        <w:t xml:space="preserve">remedy under Section 4.3).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Condition any acceptance</w:t>
      </w:r>
      <w:r>
        <w:t xml:space="preserve"> </w:t>
      </w:r>
      <w:r>
        <w:t xml:space="preserve">of the wheat expansion on NovaTrait’s express obligation to deliver, at</w:t>
      </w:r>
      <w:r>
        <w:t xml:space="preserve"> </w:t>
      </w:r>
      <w:r>
        <w:t xml:space="preserve">no additional charge, a wheat know-how/biological-materials transfer</w:t>
      </w:r>
      <w:r>
        <w:t xml:space="preserve"> </w:t>
      </w:r>
      <w:r>
        <w:t xml:space="preserve">package and reasonable technical-support hours on terms no less</w:t>
      </w:r>
      <w:r>
        <w:t xml:space="preserve"> </w:t>
      </w:r>
      <w:r>
        <w:t xml:space="preserve">favorable than Section 2.5, with the wheat diligence milestones tolled</w:t>
      </w:r>
      <w:r>
        <w:t xml:space="preserve"> </w:t>
      </w:r>
      <w:r>
        <w:t xml:space="preserve">until that transfer is complete.</w:t>
      </w:r>
    </w:p>
    <w:bookmarkEnd w:id="43"/>
    <w:bookmarkEnd w:id="44"/>
    <w:bookmarkStart w:id="60" w:name="license-b-traitforge-issue-analysis"/>
    <w:p>
      <w:pPr>
        <w:pStyle w:val="Heading2"/>
      </w:pPr>
      <w:r>
        <w:t xml:space="preserve">6. License B (TraitForge) — Issue Analysis</w:t>
      </w:r>
    </w:p>
    <w:bookmarkStart w:id="45" w:name="X409e696317fc2bbef837437fabaa68ee02343c6"/>
    <w:p>
      <w:pPr>
        <w:pStyle w:val="Heading3"/>
      </w:pPr>
      <w:r>
        <w:t xml:space="preserve">6.1 CRITICAL — Standstill expiration (June 29, 2025)</w:t>
      </w:r>
    </w:p>
    <w:p>
      <w:pPr>
        <w:pStyle w:val="FirstParagraph"/>
      </w:pPr>
      <w:r>
        <w:t xml:space="preserve">License B’s initial term expired December 31, 2024. The Section 12.6</w:t>
      </w:r>
      <w:r>
        <w:t xml:space="preserve"> </w:t>
      </w:r>
      <w:r>
        <w:t xml:space="preserve">standstill keeps the agreement in force for up to 180 days during</w:t>
      </w:r>
      <w:r>
        <w:t xml:space="preserve"> </w:t>
      </w:r>
      <w:r>
        <w:t xml:space="preserve">good-faith renewal negotiations — i.e., through approximately</w:t>
      </w:r>
      <w:r>
        <w:t xml:space="preserve"> </w:t>
      </w:r>
      <w:r>
        <w:rPr>
          <w:b/>
          <w:bCs/>
        </w:rPr>
        <w:t xml:space="preserve">June</w:t>
      </w:r>
      <w:r>
        <w:rPr>
          <w:b/>
          <w:bCs/>
        </w:rPr>
        <w:t xml:space="preserve"> </w:t>
      </w:r>
      <w:r>
        <w:rPr>
          <w:b/>
          <w:bCs/>
        </w:rPr>
        <w:t xml:space="preserve">29, 2025</w:t>
      </w:r>
      <w:r>
        <w:t xml:space="preserve">. The Proposal (Part II, item 2; Appendix B) offers a</w:t>
      </w:r>
      <w:r>
        <w:t xml:space="preserve"> </w:t>
      </w:r>
      <w:r>
        <w:t xml:space="preserve">standstill confirmation through June 30, 2025, but expressly reserves</w:t>
      </w:r>
      <w:r>
        <w:t xml:space="preserve"> </w:t>
      </w:r>
      <w:r>
        <w:t xml:space="preserve">NovaTrait’s rights and disclaims any waiver.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If a renewal (or</w:t>
      </w:r>
      <w:r>
        <w:t xml:space="preserve"> </w:t>
      </w:r>
      <w:r>
        <w:t xml:space="preserve">a further standstill extension) is not executed by that date, License B</w:t>
      </w:r>
      <w:r>
        <w:t xml:space="preserve"> </w:t>
      </w:r>
      <w:r>
        <w:t xml:space="preserve">terminates entirely, triggering the biological-materials return</w:t>
      </w:r>
      <w:r>
        <w:t xml:space="preserve"> </w:t>
      </w:r>
      <w:r>
        <w:t xml:space="preserve">obligation (Section 7.4) and the Prairielands Sublicense</w:t>
      </w:r>
      <w:r>
        <w:t xml:space="preserve"> </w:t>
      </w:r>
      <w:r>
        <w:t xml:space="preserve">auto-termination (Section 7.4 of the sublicense). This is the single</w:t>
      </w:r>
      <w:r>
        <w:t xml:space="preserve"> </w:t>
      </w:r>
      <w:r>
        <w:t xml:space="preserve">most time-critical item in the engagement.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(i)</w:t>
      </w:r>
      <w:r>
        <w:t xml:space="preserve"> </w:t>
      </w:r>
      <w:r>
        <w:t xml:space="preserve">Confirm in writing that the September 30, 2024 renewal notice was timely</w:t>
      </w:r>
      <w:r>
        <w:t xml:space="preserve"> </w:t>
      </w:r>
      <w:r>
        <w:t xml:space="preserve">delivered; (ii) execute the standstill confirmation promptly, but</w:t>
      </w:r>
      <w:r>
        <w:t xml:space="preserve"> </w:t>
      </w:r>
      <w:r>
        <w:t xml:space="preserve">negotiate an extension to</w:t>
      </w:r>
      <w:r>
        <w:t xml:space="preserve"> </w:t>
      </w:r>
      <w:r>
        <w:rPr>
          <w:b/>
          <w:bCs/>
        </w:rPr>
        <w:t xml:space="preserve">December 31, 2025</w:t>
      </w:r>
      <w:r>
        <w:t xml:space="preserve"> </w:t>
      </w:r>
      <w:r>
        <w:t xml:space="preserve">as a condition of</w:t>
      </w:r>
      <w:r>
        <w:t xml:space="preserve"> </w:t>
      </w:r>
      <w:r>
        <w:t xml:space="preserve">continued good-faith negotiations; (iii) prioritize completing the</w:t>
      </w:r>
      <w:r>
        <w:t xml:space="preserve"> </w:t>
      </w:r>
      <w:r>
        <w:t xml:space="preserve">License B renewal ahead of Licenses A and C.</w:t>
      </w:r>
    </w:p>
    <w:bookmarkEnd w:id="45"/>
    <w:bookmarkStart w:id="46" w:name="royalty-rate-increase-3.75-5.0"/>
    <w:p>
      <w:pPr>
        <w:pStyle w:val="Heading3"/>
      </w:pPr>
      <w:r>
        <w:t xml:space="preserve">6.2 Royalty rate increase (3.75% → 5.0%)</w:t>
      </w:r>
    </w:p>
    <w:p>
      <w:pPr>
        <w:pStyle w:val="FirstParagraph"/>
      </w:pPr>
      <w:r>
        <w:t xml:space="preserve">The Proposal raises the TraitForge royalty from 3.75% to 5.0% of Net</w:t>
      </w:r>
      <w:r>
        <w:t xml:space="preserve"> </w:t>
      </w:r>
      <w:r>
        <w:t xml:space="preserve">Sales.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5.0% exceeds the upper end of the trait-expression</w:t>
      </w:r>
      <w:r>
        <w:t xml:space="preserve"> </w:t>
      </w:r>
      <w:r>
        <w:t xml:space="preserve">market range (3.0%–4.5%; median 3.25%; mean 3.58% per Oakvale;</w:t>
      </w:r>
      <w:r>
        <w:t xml:space="preserve"> </w:t>
      </w:r>
      <w:r>
        <w:t xml:space="preserve">3.0%–4.5% per Clarendon). Although NovaTrait has very high leverage on</w:t>
      </w:r>
      <w:r>
        <w:t xml:space="preserve"> </w:t>
      </w:r>
      <w:r>
        <w:t xml:space="preserve">License B (no commercial alternative — Section 6.9), the proposed rate</w:t>
      </w:r>
      <w:r>
        <w:t xml:space="preserve"> </w:t>
      </w:r>
      <w:r>
        <w:t xml:space="preserve">is still above market and should be challenged.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Counter at 4.25%–4.5% (within market range), citing the comparables;</w:t>
      </w:r>
      <w:r>
        <w:t xml:space="preserve"> </w:t>
      </w:r>
      <w:r>
        <w:t xml:space="preserve">acknowledge irreplaceability but resist above-market pricing.</w:t>
      </w:r>
    </w:p>
    <w:bookmarkEnd w:id="46"/>
    <w:bookmarkStart w:id="47" w:name="X83fca3c9aa4f6f5e77549fdabfeb9ad5d6a8b84"/>
    <w:p>
      <w:pPr>
        <w:pStyle w:val="Heading3"/>
      </w:pPr>
      <w:r>
        <w:t xml:space="preserve">6.3 Net Sales redefinition (+6.8% base enlargement)</w:t>
      </w:r>
    </w:p>
    <w:p>
      <w:pPr>
        <w:pStyle w:val="FirstParagraph"/>
      </w:pPr>
      <w:r>
        <w:t xml:space="preserve">The Proposal applies the same narrowed Net Sales definition to License B</w:t>
      </w:r>
      <w:r>
        <w:t xml:space="preserve"> </w:t>
      </w:r>
      <w:r>
        <w:t xml:space="preserve">(removing freight/insurance/returns/bad debt).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Oakvale</w:t>
      </w:r>
      <w:r>
        <w:t xml:space="preserve"> </w:t>
      </w:r>
      <w:r>
        <w:t xml:space="preserve">estimates a +6.8% enlargement of the License B base, producing an</w:t>
      </w:r>
      <w:r>
        <w:t xml:space="preserve"> </w:t>
      </w:r>
      <w:r>
        <w:rPr>
          <w:b/>
          <w:bCs/>
        </w:rPr>
        <w:t xml:space="preserve">effective rate of 5.34% on the original base (142.4% of current)</w:t>
      </w:r>
      <w:r>
        <w:t xml:space="preserve">.</w:t>
      </w:r>
      <w:r>
        <w:t xml:space="preserve"> </w:t>
      </w:r>
      <w:r>
        <w:t xml:space="preserve">License B has no rate-cap provision (unlike License A’s Section 14.3),</w:t>
      </w:r>
      <w:r>
        <w:t xml:space="preserve"> </w:t>
      </w:r>
      <w:r>
        <w:t xml:space="preserve">so there is no contractual ceiling — making resistance to the</w:t>
      </w:r>
      <w:r>
        <w:t xml:space="preserve"> </w:t>
      </w:r>
      <w:r>
        <w:t xml:space="preserve">redefinition more important.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 the</w:t>
      </w:r>
      <w:r>
        <w:t xml:space="preserve"> </w:t>
      </w:r>
      <w:r>
        <w:t xml:space="preserve">redefinition; insist on the original Net Sales definition.</w:t>
      </w:r>
    </w:p>
    <w:bookmarkEnd w:id="47"/>
    <w:bookmarkStart w:id="48" w:name="minimum-annual-royalty-doubled-2.5m-5m"/>
    <w:p>
      <w:pPr>
        <w:pStyle w:val="Heading3"/>
      </w:pPr>
      <w:r>
        <w:t xml:space="preserve">6.4 Minimum annual royalty doubled ($2.5M → $5M)</w:t>
      </w:r>
    </w:p>
    <w:p>
      <w:pPr>
        <w:pStyle w:val="FirstParagraph"/>
      </w:pPr>
      <w:r>
        <w:t xml:space="preserve">The Proposal doubles the MAR to $5,000,000, payable quarterly at</w:t>
      </w:r>
      <w:r>
        <w:t xml:space="preserve"> </w:t>
      </w:r>
      <w:r>
        <w:t xml:space="preserve">$1,250,000.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Same downside-risk concern as License A (Section</w:t>
      </w:r>
      <w:r>
        <w:t xml:space="preserve"> </w:t>
      </w:r>
      <w:r>
        <w:t xml:space="preserve">5.4), with no rate cap and no commensurate rights expansion.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Resist; if unavoidable, seek a lower MAR or a</w:t>
      </w:r>
      <w:r>
        <w:t xml:space="preserve"> </w:t>
      </w:r>
      <w:r>
        <w:t xml:space="preserve">growth-ramped structure.</w:t>
      </w:r>
    </w:p>
    <w:bookmarkEnd w:id="48"/>
    <w:bookmarkStart w:id="49" w:name="X3c5d695bbdb18f9211786641b8abc5376c5d9b0"/>
    <w:p>
      <w:pPr>
        <w:pStyle w:val="Heading3"/>
      </w:pPr>
      <w:r>
        <w:t xml:space="preserve">6.5 Audit rights expansion (1×/yr, 30 days → 2×/yr, 15 business days; 5-year look-back)</w:t>
      </w:r>
    </w:p>
    <w:p>
      <w:pPr>
        <w:pStyle w:val="FirstParagraph"/>
      </w:pPr>
      <w:r>
        <w:t xml:space="preserve">The Proposal amends Section 5.2 to permit audits</w:t>
      </w:r>
      <w:r>
        <w:t xml:space="preserve"> </w:t>
      </w:r>
      <w:r>
        <w:rPr>
          <w:b/>
          <w:bCs/>
        </w:rPr>
        <w:t xml:space="preserve">twice per calendar</w:t>
      </w:r>
      <w:r>
        <w:rPr>
          <w:b/>
          <w:bCs/>
        </w:rP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15 business days’ notice</w:t>
      </w:r>
      <w:r>
        <w:t xml:space="preserve">, with a scope covering the</w:t>
      </w:r>
      <w:r>
        <w:t xml:space="preserve"> </w:t>
      </w:r>
      <w:r>
        <w:rPr>
          <w:b/>
          <w:bCs/>
        </w:rPr>
        <w:t xml:space="preserve">five</w:t>
      </w:r>
      <w:r>
        <w:rPr>
          <w:b/>
          <w:bCs/>
        </w:rPr>
        <w:t xml:space="preserve"> </w:t>
      </w:r>
      <w:r>
        <w:rPr>
          <w:b/>
          <w:bCs/>
        </w:rPr>
        <w:t xml:space="preserve">preceding calendar years</w:t>
      </w:r>
      <w:r>
        <w:t xml:space="preserve"> </w:t>
      </w:r>
      <w:r>
        <w:t xml:space="preserve">(versus current once/year, 30 calendar days’</w:t>
      </w:r>
      <w:r>
        <w:t xml:space="preserve"> </w:t>
      </w:r>
      <w:r>
        <w:t xml:space="preserve">notice, 3-year look-back).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materially increases</w:t>
      </w:r>
      <w:r>
        <w:t xml:space="preserve"> </w:t>
      </w:r>
      <w:r>
        <w:t xml:space="preserve">compliance burden and audit risk, and the 5-year look-back combined with</w:t>
      </w:r>
      <w:r>
        <w:t xml:space="preserve"> </w:t>
      </w:r>
      <w:r>
        <w:t xml:space="preserve">2×/year frequency is aggressive.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Counter at once per</w:t>
      </w:r>
      <w:r>
        <w:t xml:space="preserve"> </w:t>
      </w:r>
      <w:r>
        <w:t xml:space="preserve">year (retain current frequency) with 20 business days’ notice and a</w:t>
      </w:r>
      <w:r>
        <w:t xml:space="preserve"> </w:t>
      </w:r>
      <w:r>
        <w:t xml:space="preserve">3-year look-back.</w:t>
      </w:r>
    </w:p>
    <w:bookmarkEnd w:id="49"/>
    <w:bookmarkStart w:id="50" w:name="X08c8315c6d0a59b6a035fa7436562ffe799ba7e"/>
    <w:p>
      <w:pPr>
        <w:pStyle w:val="Heading3"/>
      </w:pPr>
      <w:r>
        <w:t xml:space="preserve">6.6 Biological-materials return — wind-down eliminated (90 days → 30 days, no wind-down)</w:t>
      </w:r>
    </w:p>
    <w:p>
      <w:pPr>
        <w:pStyle w:val="FirstParagraph"/>
      </w:pPr>
      <w:r>
        <w:t xml:space="preserve">Current Section 7.4 provides a 90-day Wind-Down Period during which</w:t>
      </w:r>
      <w:r>
        <w:t xml:space="preserve"> </w:t>
      </w:r>
      <w:r>
        <w:t xml:space="preserve">Greenfield may continue using Biological Materials to fulfill existing</w:t>
      </w:r>
      <w:r>
        <w:t xml:space="preserve"> </w:t>
      </w:r>
      <w:r>
        <w:t xml:space="preserve">obligations and complete in-process manufacture, subject to ongoing</w:t>
      </w:r>
      <w:r>
        <w:t xml:space="preserve"> </w:t>
      </w:r>
      <w:r>
        <w:t xml:space="preserve">royalties, before return/destruction. The Proposal would replace this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30-day return-or-destroy obligation with no wind-down</w:t>
      </w:r>
      <w:r>
        <w:t xml:space="preserve"> </w:t>
      </w:r>
      <w:r>
        <w:t xml:space="preserve">(except</w:t>
      </w:r>
      <w:r>
        <w:t xml:space="preserve"> </w:t>
      </w:r>
      <w:r>
        <w:t xml:space="preserve">where Greenfield terminates for NovaTrait’s material breach).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is a severe operational risk — Greenfield could not wind down</w:t>
      </w:r>
      <w:r>
        <w:t xml:space="preserve"> </w:t>
      </w:r>
      <w:r>
        <w:t xml:space="preserve">in-process breeding programs, field trials, or Prairielands-related</w:t>
      </w:r>
      <w:r>
        <w:t xml:space="preserve"> </w:t>
      </w:r>
      <w:r>
        <w:t xml:space="preserve">production in 30 days. It also conflicts with the Prairielands</w:t>
      </w:r>
      <w:r>
        <w:t xml:space="preserve"> </w:t>
      </w:r>
      <w:r>
        <w:t xml:space="preserve">Sublicense’s own 90-day wind-down (Section 8.3 below).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Counter with a</w:t>
      </w:r>
      <w:r>
        <w:t xml:space="preserve"> </w:t>
      </w:r>
      <w:r>
        <w:rPr>
          <w:b/>
          <w:bCs/>
        </w:rPr>
        <w:t xml:space="preserve">180-day wind-down</w:t>
      </w:r>
      <w:r>
        <w:t xml:space="preserve"> </w:t>
      </w:r>
      <w:r>
        <w:t xml:space="preserve">with the right</w:t>
      </w:r>
      <w:r>
        <w:t xml:space="preserve"> </w:t>
      </w:r>
      <w:r>
        <w:t xml:space="preserve">to continue using remaining materials in ongoing trials and to fulfill</w:t>
      </w:r>
      <w:r>
        <w:t xml:space="preserve"> </w:t>
      </w:r>
      <w:r>
        <w:t xml:space="preserve">existing obligations, subject to ongoing royalties.</w:t>
      </w:r>
    </w:p>
    <w:bookmarkEnd w:id="50"/>
    <w:bookmarkStart w:id="51" w:name="Xf2babfebdb28c7194edde3db4157f3e741d7826"/>
    <w:p>
      <w:pPr>
        <w:pStyle w:val="Heading3"/>
      </w:pPr>
      <w:r>
        <w:t xml:space="preserve">6.7 Improvements — conforming to License A’s joint-ownership/royalty-free grant-back</w:t>
      </w:r>
    </w:p>
    <w:p>
      <w:pPr>
        <w:pStyle w:val="FirstParagraph"/>
      </w:pPr>
      <w:r>
        <w:t xml:space="preserve">The Proposal (Part II, item 10) would conform License B’s improvement</w:t>
      </w:r>
      <w:r>
        <w:t xml:space="preserve"> </w:t>
      </w:r>
      <w:r>
        <w:t xml:space="preserve">provisions to the License A structure proposed in Part I, item 9</w:t>
      </w:r>
      <w:r>
        <w:t xml:space="preserve"> </w:t>
      </w:r>
      <w:r>
        <w:t xml:space="preserve">(Section 5.8 above): joint ownership of all Improvements with a</w:t>
      </w:r>
      <w:r>
        <w:t xml:space="preserve"> </w:t>
      </w:r>
      <w:r>
        <w:t xml:space="preserve">royalty-free, perpetual, sublicensable license to NovaTrait, and only a</w:t>
      </w:r>
      <w:r>
        <w:t xml:space="preserve"> </w:t>
      </w:r>
      <w:r>
        <w:t xml:space="preserve">term-limited, non-sublicensable, royalty-bearing license back to</w:t>
      </w:r>
      <w:r>
        <w:t xml:space="preserve"> </w:t>
      </w:r>
      <w:r>
        <w:t xml:space="preserve">Greenfield.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Current License B already gives Greenfield</w:t>
      </w:r>
      <w:r>
        <w:t xml:space="preserve"> </w:t>
      </w:r>
      <w:r>
        <w:rPr>
          <w:b/>
          <w:bCs/>
        </w:rPr>
        <w:t xml:space="preserve">sole</w:t>
      </w:r>
      <w:r>
        <w:rPr>
          <w:b/>
          <w:bCs/>
        </w:rPr>
        <w:t xml:space="preserve"> </w:t>
      </w:r>
      <w:r>
        <w:rPr>
          <w:b/>
          <w:bCs/>
        </w:rPr>
        <w:t xml:space="preserve">ownership of Greenfield Improvements</w:t>
      </w:r>
      <w:r>
        <w:t xml:space="preserve"> </w:t>
      </w:r>
      <w:r>
        <w:t xml:space="preserve">(Section 6.3) with a</w:t>
      </w:r>
      <w:r>
        <w:t xml:space="preserve"> </w:t>
      </w:r>
      <w:r>
        <w:t xml:space="preserve">non-exclusive, perpetual license back to NovaTrait at a commercially</w:t>
      </w:r>
      <w:r>
        <w:t xml:space="preserve"> </w:t>
      </w:r>
      <w:r>
        <w:t xml:space="preserve">reasonable royalty, and Joint Improvements are jointly owned (Section</w:t>
      </w:r>
      <w:r>
        <w:t xml:space="preserve"> </w:t>
      </w:r>
      <w:r>
        <w:t xml:space="preserve">6.4). The Proposal would strip Greenfield of sole ownership of its own</w:t>
      </w:r>
      <w:r>
        <w:t xml:space="preserve"> </w:t>
      </w:r>
      <w:r>
        <w:t xml:space="preserve">TraitForge improvements — a material adverse change.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Reject; retain sole Greenfield ownership of</w:t>
      </w:r>
      <w:r>
        <w:t xml:space="preserve"> </w:t>
      </w:r>
      <w:r>
        <w:t xml:space="preserve">Greenfield Improvements with the existing license-back structure.</w:t>
      </w:r>
    </w:p>
    <w:bookmarkEnd w:id="51"/>
    <w:bookmarkStart w:id="52" w:name="Xa5e953aceb662dee769fc8039b9ea729f139853"/>
    <w:p>
      <w:pPr>
        <w:pStyle w:val="Heading3"/>
      </w:pPr>
      <w:r>
        <w:t xml:space="preserve">6.8 Sublicense pass-through — ambiguity (Proposal silent; Oakvale models 40%)</w:t>
      </w:r>
    </w:p>
    <w:p>
      <w:pPr>
        <w:pStyle w:val="FirstParagraph"/>
      </w:pPr>
      <w:r>
        <w:t xml:space="preserve">Current License B contains</w:t>
      </w:r>
      <w:r>
        <w:t xml:space="preserve"> </w:t>
      </w:r>
      <w:r>
        <w:rPr>
          <w:b/>
          <w:bCs/>
        </w:rPr>
        <w:t xml:space="preserve">no sublicense pass-through</w:t>
      </w:r>
      <w:r>
        <w:t xml:space="preserve"> </w:t>
      </w:r>
      <w:r>
        <w:t xml:space="preserve">— confirmed</w:t>
      </w:r>
      <w:r>
        <w:t xml:space="preserve"> </w:t>
      </w:r>
      <w:r>
        <w:t xml:space="preserve">by both the Prairielands Sublicense (Section 3.6:</w:t>
      </w:r>
      <w:r>
        <w:t xml:space="preserve"> </w:t>
      </w:r>
      <w:r>
        <w:t xml:space="preserve">“</w:t>
      </w:r>
      <w:r>
        <w:t xml:space="preserve">no royalty</w:t>
      </w:r>
      <w:r>
        <w:t xml:space="preserve"> </w:t>
      </w:r>
      <w:r>
        <w:t xml:space="preserve">pass-through to NovaTrait is required</w:t>
      </w:r>
      <w:r>
        <w:t xml:space="preserve">”</w:t>
      </w:r>
      <w:r>
        <w:t xml:space="preserve">) and NovaTrait’s own April 15,</w:t>
      </w:r>
      <w:r>
        <w:t xml:space="preserve"> </w:t>
      </w:r>
      <w:r>
        <w:t xml:space="preserve">2021 consent letter (</w:t>
      </w:r>
      <w:r>
        <w:t xml:space="preserve">“</w:t>
      </w:r>
      <w:r>
        <w:t xml:space="preserve">the Master License does not currently require the</w:t>
      </w:r>
      <w:r>
        <w:t xml:space="preserve"> </w:t>
      </w:r>
      <w:r>
        <w:t xml:space="preserve">remittance by Greenfield to NovaTrait of any portion of royalties</w:t>
      </w:r>
      <w:r>
        <w:t xml:space="preserve"> </w:t>
      </w:r>
      <w:r>
        <w:t xml:space="preserve">received by Greenfield from sublicensees</w:t>
      </w:r>
      <w:r>
        <w:t xml:space="preserve">”</w:t>
      </w:r>
      <w:r>
        <w:t xml:space="preserve">). The written Proposal (Part</w:t>
      </w:r>
      <w:r>
        <w:t xml:space="preserve"> </w:t>
      </w:r>
      <w:r>
        <w:t xml:space="preserve">II) is</w:t>
      </w:r>
      <w:r>
        <w:t xml:space="preserve"> </w:t>
      </w:r>
      <w:r>
        <w:rPr>
          <w:b/>
          <w:bCs/>
        </w:rPr>
        <w:t xml:space="preserve">silent</w:t>
      </w:r>
      <w:r>
        <w:t xml:space="preserve"> </w:t>
      </w:r>
      <w:r>
        <w:t xml:space="preserve">on adding a License B pass-through. However, the</w:t>
      </w:r>
      <w:r>
        <w:t xml:space="preserve"> </w:t>
      </w:r>
      <w:r>
        <w:t xml:space="preserve">Oakvale analysis models a</w:t>
      </w:r>
      <w:r>
        <w:t xml:space="preserve"> </w:t>
      </w:r>
      <w:r>
        <w:rPr>
          <w:b/>
          <w:bCs/>
        </w:rPr>
        <w:t xml:space="preserve">40% pass-through</w:t>
      </w:r>
      <w:r>
        <w:t xml:space="preserve"> </w:t>
      </w:r>
      <w:r>
        <w:t xml:space="preserve">on Prairielands</w:t>
      </w:r>
      <w:r>
        <w:t xml:space="preserve"> </w:t>
      </w:r>
      <w:r>
        <w:t xml:space="preserve">sublicense revenue (cumulative ~$27.0M over 5 years) and the</w:t>
      </w:r>
      <w:r>
        <w:t xml:space="preserve"> </w:t>
      </w:r>
      <w:r>
        <w:t xml:space="preserve">Negotiation Priorities worksheet (item 10) references NovaTrait seeking</w:t>
      </w:r>
      <w:r>
        <w:t xml:space="preserve"> </w:t>
      </w:r>
      <w:r>
        <w:t xml:space="preserve">“</w:t>
      </w:r>
      <w:r>
        <w:t xml:space="preserve">40% pass-through within 6 months</w:t>
      </w:r>
      <w:r>
        <w:t xml:space="preserve">”</w:t>
      </w:r>
      <w:r>
        <w:t xml:space="preserve"> </w:t>
      </w:r>
      <w:r>
        <w:t xml:space="preserve">for Prairielands.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There is</w:t>
      </w:r>
      <w:r>
        <w:t xml:space="preserve"> </w:t>
      </w:r>
      <w:r>
        <w:t xml:space="preserve">an inconsistency between the written Proposal (silent) and the</w:t>
      </w:r>
      <w:r>
        <w:t xml:space="preserve"> </w:t>
      </w:r>
      <w:r>
        <w:t xml:space="preserve">negotiating position reflected in the financial analysis (40%). A 40%</w:t>
      </w:r>
      <w:r>
        <w:t xml:space="preserve"> </w:t>
      </w:r>
      <w:r>
        <w:t xml:space="preserve">pass-through on Prairielands royalties (currently 2.0% of Prairielands</w:t>
      </w:r>
      <w:r>
        <w:t xml:space="preserve"> </w:t>
      </w:r>
      <w:r>
        <w:t xml:space="preserve">Net Sales to Greenfield) would dramatically reduce Greenfield’s</w:t>
      </w:r>
      <w:r>
        <w:t xml:space="preserve"> </w:t>
      </w:r>
      <w:r>
        <w:t xml:space="preserve">sublicense economics and is a material new economic burden not</w:t>
      </w:r>
      <w:r>
        <w:t xml:space="preserve"> </w:t>
      </w:r>
      <w:r>
        <w:t xml:space="preserve">contemplated by the 2021 consent.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that</w:t>
      </w:r>
      <w:r>
        <w:t xml:space="preserve"> </w:t>
      </w:r>
      <w:r>
        <w:t xml:space="preserve">NovaTrait state its pass-through position expressly in the term sheet;</w:t>
      </w:r>
      <w:r>
        <w:t xml:space="preserve"> </w:t>
      </w:r>
      <w:r>
        <w:t xml:space="preserve">resist any License B pass-through; if unavoidable, counter at 20%–25%</w:t>
      </w:r>
      <w:r>
        <w:t xml:space="preserve"> </w:t>
      </w:r>
      <w:r>
        <w:t xml:space="preserve">with a 12-month phase-in. Do not agree to a pass-through that the</w:t>
      </w:r>
      <w:r>
        <w:t xml:space="preserve"> </w:t>
      </w:r>
      <w:r>
        <w:t xml:space="preserve">written Proposal does not even disclose.</w:t>
      </w:r>
    </w:p>
    <w:bookmarkEnd w:id="52"/>
    <w:bookmarkStart w:id="53" w:name="X3d05998f7cb19ebbbe5a5a9ce9cab7129e27b81"/>
    <w:p>
      <w:pPr>
        <w:pStyle w:val="Heading3"/>
      </w:pPr>
      <w:r>
        <w:t xml:space="preserve">6.9 No commercial alternative — leverage assessment</w:t>
      </w:r>
    </w:p>
    <w:p>
      <w:pPr>
        <w:pStyle w:val="FirstParagraph"/>
      </w:pPr>
      <w:r>
        <w:t xml:space="preserve">Clarendon rates the TraitForge portfolio</w:t>
      </w:r>
      <w:r>
        <w:t xml:space="preserve"> </w:t>
      </w:r>
      <w:r>
        <w:rPr>
          <w:b/>
          <w:bCs/>
        </w:rPr>
        <w:t xml:space="preserve">VERY STRONG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commercial alternatives</w:t>
      </w:r>
      <w:r>
        <w:t xml:space="preserve"> </w:t>
      </w:r>
      <w:r>
        <w:t xml:space="preserve">identified; internal development of a</w:t>
      </w:r>
      <w:r>
        <w:t xml:space="preserve"> </w:t>
      </w:r>
      <w:r>
        <w:t xml:space="preserve">comparable platform is estimated at</w:t>
      </w:r>
      <w:r>
        <w:t xml:space="preserve"> </w:t>
      </w:r>
      <w:r>
        <w:rPr>
          <w:b/>
          <w:bCs/>
        </w:rPr>
        <w:t xml:space="preserve">3–4 years and $24.3M–$33.7M</w:t>
      </w:r>
      <w:r>
        <w:t xml:space="preserve"> </w:t>
      </w:r>
      <w:r>
        <w:t xml:space="preserve">(Oakvale midpoint ~$29M), with $15M–$25M of revenue at risk during</w:t>
      </w:r>
      <w:r>
        <w:t xml:space="preserve"> </w:t>
      </w:r>
      <w:r>
        <w:t xml:space="preserve">the gap and $5M–$8M of Prairielands disruption. The patents run to</w:t>
      </w:r>
      <w:r>
        <w:t xml:space="preserve"> </w:t>
      </w:r>
      <w:r>
        <w:t xml:space="preserve">2036–2038.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Greenfield has minimal switching leverage on</w:t>
      </w:r>
      <w:r>
        <w:t xml:space="preserve"> </w:t>
      </w:r>
      <w:r>
        <w:t xml:space="preserve">License B; the strategy must be to secure a long term at a market rate</w:t>
      </w:r>
      <w:r>
        <w:t xml:space="preserve"> </w:t>
      </w:r>
      <w:r>
        <w:t xml:space="preserve">rather than to threaten substitution.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Seek the</w:t>
      </w:r>
      <w:r>
        <w:t xml:space="preserve"> </w:t>
      </w:r>
      <w:r>
        <w:rPr>
          <w:b/>
          <w:bCs/>
        </w:rPr>
        <w:t xml:space="preserve">longest available renewal term</w:t>
      </w:r>
      <w:r>
        <w:t xml:space="preserve"> </w:t>
      </w:r>
      <w:r>
        <w:t xml:space="preserve">(the Proposal offers 5 years + a</w:t>
      </w:r>
      <w:r>
        <w:t xml:space="preserve"> </w:t>
      </w:r>
      <w:r>
        <w:t xml:space="preserve">3-year option; push for the option to be exercisable on pre-negotiated</w:t>
      </w:r>
      <w:r>
        <w:t xml:space="preserve"> </w:t>
      </w:r>
      <w:r>
        <w:t xml:space="preserve">terms) to lock in rates before NovaTrait can seek further increases,</w:t>
      </w:r>
      <w:r>
        <w:t xml:space="preserve"> </w:t>
      </w:r>
      <w:r>
        <w:t xml:space="preserve">while pressing the rate into the 4.25%–4.5% range.</w:t>
      </w:r>
    </w:p>
    <w:bookmarkEnd w:id="53"/>
    <w:bookmarkStart w:id="54" w:name="non-exclusivity-since-january-1-2021"/>
    <w:p>
      <w:pPr>
        <w:pStyle w:val="Heading3"/>
      </w:pPr>
      <w:r>
        <w:t xml:space="preserve">6.10 Non-exclusivity since January 1, 2021</w:t>
      </w:r>
    </w:p>
    <w:p>
      <w:pPr>
        <w:pStyle w:val="FirstParagraph"/>
      </w:pPr>
      <w:r>
        <w:t xml:space="preserve">License B’s exclusivity was limited to the first 3 years (Section 3.2);</w:t>
      </w:r>
      <w:r>
        <w:t xml:space="preserve"> </w:t>
      </w:r>
      <w:r>
        <w:t xml:space="preserve">since January 1, 2021 the license has been</w:t>
      </w:r>
      <w:r>
        <w:t xml:space="preserve"> </w:t>
      </w:r>
      <w:r>
        <w:rPr>
          <w:b/>
          <w:bCs/>
        </w:rPr>
        <w:t xml:space="preserve">non-exclusive</w:t>
      </w:r>
      <w:r>
        <w:t xml:space="preserve">. The</w:t>
      </w:r>
      <w:r>
        <w:t xml:space="preserve"> </w:t>
      </w:r>
      <w:r>
        <w:t xml:space="preserve">Proposal does not address restoring exclusivity.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Greenfield</w:t>
      </w:r>
      <w:r>
        <w:t xml:space="preserve"> </w:t>
      </w:r>
      <w:r>
        <w:t xml:space="preserve">operates TraitForge on a non-exclusive basis, meaning NovaTrait may</w:t>
      </w:r>
      <w:r>
        <w:t xml:space="preserve"> </w:t>
      </w:r>
      <w:r>
        <w:t xml:space="preserve">license the same platform to others in the Western Hemisphere.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Consider whether to seek exclusivity (likely</w:t>
      </w:r>
      <w:r>
        <w:t xml:space="preserve"> </w:t>
      </w:r>
      <w:r>
        <w:t xml:space="preserve">expensive given NovaTrait’s leverage); at minimum, understand who else</w:t>
      </w:r>
      <w:r>
        <w:t xml:space="preserve"> </w:t>
      </w:r>
      <w:r>
        <w:t xml:space="preserve">is licensed and whether any such licensee competes in Greenfield’s</w:t>
      </w:r>
      <w:r>
        <w:t xml:space="preserve"> </w:t>
      </w:r>
      <w:r>
        <w:t xml:space="preserve">crops/territory.</w:t>
      </w:r>
    </w:p>
    <w:bookmarkEnd w:id="54"/>
    <w:bookmarkStart w:id="55" w:name="X133f1c9548da90984f654af29b8bb42f9a0cad0"/>
    <w:p>
      <w:pPr>
        <w:pStyle w:val="Heading3"/>
      </w:pPr>
      <w:r>
        <w:t xml:space="preserve">6.11 Existing encumbrances (Exhibit C) — verify at renewal</w:t>
      </w:r>
    </w:p>
    <w:p>
      <w:pPr>
        <w:pStyle w:val="FirstParagraph"/>
      </w:pPr>
      <w:r>
        <w:t xml:space="preserve">Exhibit C discloses (i) a Research Collaboration Agreement with the</w:t>
      </w:r>
      <w:r>
        <w:t xml:space="preserve"> </w:t>
      </w:r>
      <w:r>
        <w:t xml:space="preserve">Massachusetts Institute of Agricultural Sciences (Sept. 14, 2015)</w:t>
      </w:r>
      <w:r>
        <w:t xml:space="preserve"> </w:t>
      </w:r>
      <w:r>
        <w:t xml:space="preserve">granting a non-exclusive, royalty-free, non-commercial academic license,</w:t>
      </w:r>
      <w:r>
        <w:t xml:space="preserve"> </w:t>
      </w:r>
      <w:r>
        <w:t xml:space="preserve">and (ii) a Sponsored Research Agreement with Embrapa (Feb. 1, 2017)</w:t>
      </w:r>
      <w:r>
        <w:t xml:space="preserve"> </w:t>
      </w:r>
      <w:r>
        <w:t xml:space="preserve">granting Embrapa certain data/publication rights only (no patent or</w:t>
      </w:r>
      <w:r>
        <w:t xml:space="preserve"> </w:t>
      </w:r>
      <w:r>
        <w:t xml:space="preserve">material rights).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Obtain refreshed representations</w:t>
      </w:r>
      <w:r>
        <w:t xml:space="preserve"> </w:t>
      </w:r>
      <w:r>
        <w:t xml:space="preserve">that these remain the only encumbrances and that neither has expanded</w:t>
      </w:r>
      <w:r>
        <w:t xml:space="preserve"> </w:t>
      </w:r>
      <w:r>
        <w:t xml:space="preserve">into commercial rights.</w:t>
      </w:r>
    </w:p>
    <w:bookmarkEnd w:id="55"/>
    <w:bookmarkStart w:id="56" w:name="X3c0317b96fef905053a99ee3e1b68a07c2ea897"/>
    <w:p>
      <w:pPr>
        <w:pStyle w:val="Heading3"/>
      </w:pPr>
      <w:r>
        <w:t xml:space="preserve">6.12 Standstill confirmation form (Appendix B) — review before signing</w:t>
      </w:r>
    </w:p>
    <w:p>
      <w:pPr>
        <w:pStyle w:val="FirstParagraph"/>
      </w:pPr>
      <w:r>
        <w:t xml:space="preserve">The Proposal’s Appendix B is a draft standstill confirmation providing</w:t>
      </w:r>
      <w:r>
        <w:t xml:space="preserve"> </w:t>
      </w:r>
      <w:r>
        <w:t xml:space="preserve">that License B remains in effect until the earlier of (i) execution of a</w:t>
      </w:r>
      <w:r>
        <w:t xml:space="preserve"> </w:t>
      </w:r>
      <w:r>
        <w:t xml:space="preserve">renewal, (ii) June 30, 2025, or (iii) 30 days’ written termination by</w:t>
      </w:r>
      <w:r>
        <w:t xml:space="preserve"> </w:t>
      </w:r>
      <w:r>
        <w:t xml:space="preserve">either Party, with royalties accruing on existing terms and no waiver of</w:t>
      </w:r>
      <w:r>
        <w:t xml:space="preserve"> </w:t>
      </w:r>
      <w:r>
        <w:t xml:space="preserve">rights.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Use the standstill confirmation to buy time,</w:t>
      </w:r>
      <w:r>
        <w:t xml:space="preserve"> </w:t>
      </w:r>
      <w:r>
        <w:t xml:space="preserve">but negotiate the extension to December 31, 2025 (Section 6.1) and</w:t>
      </w:r>
      <w:r>
        <w:t xml:space="preserve"> </w:t>
      </w:r>
      <w:r>
        <w:t xml:space="preserve">ensure it does not prejudice Greenfield’s renewal-negotiation positions</w:t>
      </w:r>
      <w:r>
        <w:t xml:space="preserve"> </w:t>
      </w:r>
      <w:r>
        <w:t xml:space="preserve">or constitute an admission that the September 30, 2024 notice was</w:t>
      </w:r>
      <w:r>
        <w:t xml:space="preserve"> </w:t>
      </w:r>
      <w:r>
        <w:t xml:space="preserve">ineffective.</w:t>
      </w:r>
    </w:p>
    <w:bookmarkEnd w:id="56"/>
    <w:bookmarkStart w:id="57" w:name="Xb16e70087e7075fbc037c2d5b4e0857c7e03553"/>
    <w:p>
      <w:pPr>
        <w:pStyle w:val="Heading3"/>
      </w:pPr>
      <w:r>
        <w:t xml:space="preserve">6.13 Patent schedule discrepancy (Appendix A vs. Exhibit A) — License B</w:t>
      </w:r>
    </w:p>
    <w:p>
      <w:pPr>
        <w:pStyle w:val="FirstParagraph"/>
      </w:pPr>
      <w:r>
        <w:t xml:space="preserve">A second patent-schedule discrepancy exists for License B. The original</w:t>
      </w:r>
      <w:r>
        <w:t xml:space="preserve"> </w:t>
      </w:r>
      <w:r>
        <w:t xml:space="preserve">License B Exhibit A lists U.S. Patent Nos. 10,443,076 and 10,443,077 as</w:t>
      </w:r>
      <w:r>
        <w:t xml:space="preserve"> </w:t>
      </w:r>
      <w:r>
        <w:rPr>
          <w:b/>
          <w:bCs/>
        </w:rPr>
        <w:t xml:space="preserve">issued June 18, 2019</w:t>
      </w:r>
      <w:r>
        <w:t xml:space="preserve">. The Proposal’s Appendix A lists those same two</w:t>
      </w:r>
      <w:r>
        <w:t xml:space="preserve"> </w:t>
      </w:r>
      <w:r>
        <w:t xml:space="preserve">patents as</w:t>
      </w:r>
      <w:r>
        <w:t xml:space="preserve"> </w:t>
      </w:r>
      <w:r>
        <w:rPr>
          <w:b/>
          <w:bCs/>
        </w:rPr>
        <w:t xml:space="preserve">filed May 2, 2016 and issued October 15, 2019</w:t>
      </w:r>
      <w:r>
        <w:t xml:space="preserve">, expiring</w:t>
      </w:r>
      <w:r>
        <w:t xml:space="preserve"> </w:t>
      </w:r>
      <w:r>
        <w:t xml:space="preserve">May 2, 2036, and lists 10,889,201 as filed January 15, 2018, issued</w:t>
      </w:r>
      <w:r>
        <w:t xml:space="preserve"> </w:t>
      </w:r>
      <w:r>
        <w:t xml:space="preserve">January 12, 2021, expiring January 15, 2038. The Clarendon report</w:t>
      </w:r>
      <w:r>
        <w:t xml:space="preserve"> </w:t>
      </w:r>
      <w:r>
        <w:t xml:space="preserve">(Sept. 2020) gives only</w:t>
      </w:r>
      <w:r>
        <w:t xml:space="preserve"> </w:t>
      </w:r>
      <w:r>
        <w:t xml:space="preserve">“</w:t>
      </w:r>
      <w:r>
        <w:t xml:space="preserve">2019 (est.)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2036 (est.)</w:t>
      </w:r>
      <w:r>
        <w:t xml:space="preserve">”</w:t>
      </w:r>
      <w:r>
        <w:t xml:space="preserve"> </w:t>
      </w:r>
      <w:r>
        <w:t xml:space="preserve">for 076/077 and</w:t>
      </w:r>
      <w:r>
        <w:t xml:space="preserve"> </w:t>
      </w:r>
      <w:r>
        <w:t xml:space="preserve">“</w:t>
      </w:r>
      <w:r>
        <w:t xml:space="preserve">2021 (est.)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2038 (est.)</w:t>
      </w:r>
      <w:r>
        <w:t xml:space="preserve">”</w:t>
      </w:r>
      <w:r>
        <w:t xml:space="preserve"> </w:t>
      </w:r>
      <w:r>
        <w:t xml:space="preserve">for 201.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076/077 issue date</w:t>
      </w:r>
      <w:r>
        <w:t xml:space="preserve"> </w:t>
      </w:r>
      <w:r>
        <w:t xml:space="preserve">differs by four months between Exhibit A (June 18, 2019) and the</w:t>
      </w:r>
      <w:r>
        <w:t xml:space="preserve"> </w:t>
      </w:r>
      <w:r>
        <w:t xml:space="preserve">Proposal (October 15, 2019); the filing dates (May 2, 2016) do not</w:t>
      </w:r>
      <w:r>
        <w:t xml:space="preserve"> </w:t>
      </w:r>
      <w:r>
        <w:t xml:space="preserve">appear in the original Exhibit A at all. Because the TraitForge patents</w:t>
      </w:r>
      <w:r>
        <w:t xml:space="preserve"> </w:t>
      </w:r>
      <w:r>
        <w:t xml:space="preserve">run to 2036–2038 (the basis for NovaTrait’s</w:t>
      </w:r>
      <w:r>
        <w:t xml:space="preserve"> </w:t>
      </w:r>
      <w:r>
        <w:t xml:space="preserve">“</w:t>
      </w:r>
      <w:r>
        <w:t xml:space="preserve">very high</w:t>
      </w:r>
      <w:r>
        <w:t xml:space="preserve">”</w:t>
      </w:r>
      <w:r>
        <w:t xml:space="preserve"> </w:t>
      </w:r>
      <w:r>
        <w:t xml:space="preserve">leverage and for</w:t>
      </w:r>
      <w:r>
        <w:t xml:space="preserve"> </w:t>
      </w:r>
      <w:r>
        <w:t xml:space="preserve">locking in a long renewal term), the exact issue/filing dates and any</w:t>
      </w:r>
      <w:r>
        <w:t xml:space="preserve"> </w:t>
      </w:r>
      <w:r>
        <w:t xml:space="preserve">terminal-disclaimer or priority relationships materially affect the</w:t>
      </w:r>
      <w:r>
        <w:t xml:space="preserve"> </w:t>
      </w:r>
      <w:r>
        <w:t xml:space="preserve">remaining enforceable term.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verified</w:t>
      </w:r>
      <w:r>
        <w:t xml:space="preserve"> </w:t>
      </w:r>
      <w:r>
        <w:t xml:space="preserve">patent-term calculations (priority claims, terminal disclaimers,</w:t>
      </w:r>
      <w:r>
        <w:t xml:space="preserve"> </w:t>
      </w:r>
      <w:r>
        <w:t xml:space="preserve">PTE/SPC) for all three TraitForge patents before signing; reconcile</w:t>
      </w:r>
      <w:r>
        <w:t xml:space="preserve"> </w:t>
      </w:r>
      <w:r>
        <w:t xml:space="preserve">Exhibit A, the Proposal Appendix A, and the Clarendon estimates.</w:t>
      </w:r>
    </w:p>
    <w:bookmarkEnd w:id="57"/>
    <w:bookmarkStart w:id="58" w:name="X4db21729c09943d6dd29beaa44cb3c2596719de"/>
    <w:p>
      <w:pPr>
        <w:pStyle w:val="Heading3"/>
      </w:pPr>
      <w:r>
        <w:t xml:space="preserve">6.14 Retroactive renewal effective date (January 1, 2025)</w:t>
      </w:r>
    </w:p>
    <w:p>
      <w:pPr>
        <w:pStyle w:val="FirstParagraph"/>
      </w:pPr>
      <w:r>
        <w:t xml:space="preserve">The Proposal (Part II, item 3) states the License B renewal term is</w:t>
      </w:r>
      <w:r>
        <w:t xml:space="preserve"> </w:t>
      </w:r>
      <w:r>
        <w:t xml:space="preserve">“</w:t>
      </w:r>
      <w:r>
        <w:t xml:space="preserve">commencing January 1, 2025 (retroactive to the expiration of the</w:t>
      </w:r>
      <w:r>
        <w:t xml:space="preserve"> </w:t>
      </w:r>
      <w:r>
        <w:t xml:space="preserve">Initial Term) and expiring December 31, 2029.</w:t>
      </w:r>
      <w:r>
        <w:t xml:space="preserve">”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A retroactive</w:t>
      </w:r>
      <w:r>
        <w:t xml:space="preserve"> </w:t>
      </w:r>
      <w:r>
        <w:t xml:space="preserve">effective date means the new (higher) royalty rate, doubled MAR, and</w:t>
      </w:r>
      <w:r>
        <w:t xml:space="preserve"> </w:t>
      </w:r>
      <w:r>
        <w:t xml:space="preserve">redefined Net Sales would apply from January 1, 2025 — i.e., Greenfield</w:t>
      </w:r>
      <w:r>
        <w:t xml:space="preserve"> </w:t>
      </w:r>
      <w:r>
        <w:t xml:space="preserve">could owe</w:t>
      </w:r>
      <w:r>
        <w:t xml:space="preserve"> </w:t>
      </w:r>
      <w:r>
        <w:rPr>
          <w:b/>
          <w:bCs/>
        </w:rPr>
        <w:t xml:space="preserve">back-payments at the new rates for the period from January</w:t>
      </w:r>
      <w:r>
        <w:rPr>
          <w:b/>
          <w:bCs/>
        </w:rPr>
        <w:t xml:space="preserve"> </w:t>
      </w:r>
      <w:r>
        <w:rPr>
          <w:b/>
          <w:bCs/>
        </w:rPr>
        <w:t xml:space="preserve">1, 2025 through execution</w:t>
      </w:r>
      <w:r>
        <w:t xml:space="preserve">, including the standstill period during</w:t>
      </w:r>
      <w:r>
        <w:t xml:space="preserve"> </w:t>
      </w:r>
      <w:r>
        <w:t xml:space="preserve">which royalties have been accruing at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3.75% rate. This is a</w:t>
      </w:r>
      <w:r>
        <w:t xml:space="preserve"> </w:t>
      </w:r>
      <w:r>
        <w:t xml:space="preserve">material, non-obvious economic trap: Greenfield may have already paid</w:t>
      </w:r>
      <w:r>
        <w:t xml:space="preserve"> </w:t>
      </w:r>
      <w:r>
        <w:t xml:space="preserve">Q1–Q2 2025 royalties at 3.75% and could be billed for the difference at</w:t>
      </w:r>
      <w:r>
        <w:t xml:space="preserve"> </w:t>
      </w:r>
      <w:r>
        <w:t xml:space="preserve">5.0% on the redefined base.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retroactivity;</w:t>
      </w:r>
      <w:r>
        <w:t xml:space="preserve"> </w:t>
      </w:r>
      <w:r>
        <w:t xml:space="preserve">insist that the new terms apply prospectively from the execution date</w:t>
      </w:r>
      <w:r>
        <w:t xml:space="preserve"> </w:t>
      </w:r>
      <w:r>
        <w:t xml:space="preserve">(or, at minimum, that no back-payment is owed for the standstill period</w:t>
      </w:r>
      <w:r>
        <w:t xml:space="preserve"> </w:t>
      </w:r>
      <w:r>
        <w:t xml:space="preserve">during which the old terms governed and were paid). If NovaTrait</w:t>
      </w:r>
      <w:r>
        <w:t xml:space="preserve"> </w:t>
      </w:r>
      <w:r>
        <w:t xml:space="preserve">insists on a January 1, 2025 effective date, cap any true-up and</w:t>
      </w:r>
      <w:r>
        <w:t xml:space="preserve"> </w:t>
      </w:r>
      <w:r>
        <w:t xml:space="preserve">expressly credit amounts already paid at the 3.75% rate.</w:t>
      </w:r>
    </w:p>
    <w:bookmarkEnd w:id="58"/>
    <w:bookmarkStart w:id="59" w:name="X8d4d7a9be540f9af5b931027169889391c3dbba"/>
    <w:p>
      <w:pPr>
        <w:pStyle w:val="Heading3"/>
      </w:pPr>
      <w:r>
        <w:t xml:space="preserve">6.15 Biological-materials return — specific materials at risk</w:t>
      </w:r>
    </w:p>
    <w:p>
      <w:pPr>
        <w:pStyle w:val="FirstParagraph"/>
      </w:pPr>
      <w:r>
        <w:t xml:space="preserve">The 30-day return/destroy obligation (Section 6.6) applies to the</w:t>
      </w:r>
      <w:r>
        <w:t xml:space="preserve"> </w:t>
      </w:r>
      <w:r>
        <w:t xml:space="preserve">specific Biological Materials listed in License B Exhibit B: expression</w:t>
      </w:r>
      <w:r>
        <w:t xml:space="preserve"> </w:t>
      </w:r>
      <w:r>
        <w:t xml:space="preserve">vectors TF-BM-001 (pTraitForge-DT1), TF-BM-002 (pTraitForge-DT2),</w:t>
      </w:r>
      <w:r>
        <w:t xml:space="preserve"> </w:t>
      </w:r>
      <w:r>
        <w:t xml:space="preserve">TF-BM-003 (pTraitForge-NUE1),</w:t>
      </w:r>
      <w:r>
        <w:t xml:space="preserve"> </w:t>
      </w:r>
      <w:r>
        <w:rPr>
          <w:i/>
          <w:iCs/>
        </w:rPr>
        <w:t xml:space="preserve">Agrobacterium</w:t>
      </w:r>
      <w:r>
        <w:t xml:space="preserve"> </w:t>
      </w:r>
      <w:r>
        <w:t xml:space="preserve">strain TF-BM-004, and</w:t>
      </w:r>
      <w:r>
        <w:t xml:space="preserve"> </w:t>
      </w:r>
      <w:r>
        <w:t xml:space="preserve">reference seed stocks TF-BM-005 (corn), TF-BM-006 (soybean), TF-BM-007</w:t>
      </w:r>
      <w:r>
        <w:t xml:space="preserve"> </w:t>
      </w:r>
      <w:r>
        <w:t xml:space="preserve">(cotton), plus selectable-marker cassette TF-BM-008 — together with all</w:t>
      </w:r>
      <w:r>
        <w:t xml:space="preserve"> </w:t>
      </w:r>
      <w:r>
        <w:t xml:space="preserve">copies, progeny, and derivatives.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“</w:t>
      </w:r>
      <w:r>
        <w:t xml:space="preserve">Progeny and derivatives</w:t>
      </w:r>
      <w:r>
        <w:t xml:space="preserve">”</w:t>
      </w:r>
      <w:r>
        <w:t xml:space="preserve"> </w:t>
      </w:r>
      <w:r>
        <w:t xml:space="preserve">sweeps in Greenfield’s entire downstream breeding program built from</w:t>
      </w:r>
      <w:r>
        <w:t xml:space="preserve"> </w:t>
      </w:r>
      <w:r>
        <w:t xml:space="preserve">these materials; a 30-day return/destroy of progeny seed stocks is</w:t>
      </w:r>
      <w:r>
        <w:t xml:space="preserve"> </w:t>
      </w:r>
      <w:r>
        <w:t xml:space="preserve">operationally impossible and would destroy years of breeding investment,</w:t>
      </w:r>
      <w:r>
        <w:t xml:space="preserve"> </w:t>
      </w:r>
      <w:r>
        <w:t xml:space="preserve">including materials underlying the Prairielands sublicense.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180-day wind-down counter (Section 6.6) must expressly cover progeny</w:t>
      </w:r>
      <w:r>
        <w:t xml:space="preserve"> </w:t>
      </w:r>
      <w:r>
        <w:t xml:space="preserve">and derivatives and permit retention of progeny already incorporated</w:t>
      </w:r>
      <w:r>
        <w:t xml:space="preserve"> </w:t>
      </w:r>
      <w:r>
        <w:t xml:space="preserve">into commercial varieties subject to ongoing royalties, rather than</w:t>
      </w:r>
      <w:r>
        <w:t xml:space="preserve"> </w:t>
      </w:r>
      <w:r>
        <w:t xml:space="preserve">outright destruction.</w:t>
      </w:r>
    </w:p>
    <w:bookmarkEnd w:id="59"/>
    <w:bookmarkEnd w:id="60"/>
    <w:bookmarkStart w:id="77" w:name="license-c-genomap-pro-issue-analysis"/>
    <w:p>
      <w:pPr>
        <w:pStyle w:val="Heading2"/>
      </w:pPr>
      <w:r>
        <w:t xml:space="preserve">7. License C (GenoMap Pro) — Issue Analysis</w:t>
      </w:r>
    </w:p>
    <w:bookmarkStart w:id="61" w:name="fee-increase-3.14m-5.28m-68"/>
    <w:p>
      <w:pPr>
        <w:pStyle w:val="Heading3"/>
      </w:pPr>
      <w:r>
        <w:t xml:space="preserve">7.1 Fee increase ($3.14M → ~$5.28M; +68%)</w:t>
      </w:r>
    </w:p>
    <w:p>
      <w:pPr>
        <w:pStyle w:val="FirstParagraph"/>
      </w:pPr>
      <w:r>
        <w:t xml:space="preserve">The Proposal raises the annual fee from $3,140,000 to a base of</w:t>
      </w:r>
      <w:r>
        <w:t xml:space="preserve"> </w:t>
      </w:r>
      <w:r>
        <w:rPr>
          <w:b/>
          <w:bCs/>
        </w:rPr>
        <w:t xml:space="preserve">$4,800,000</w:t>
      </w:r>
      <w:r>
        <w:t xml:space="preserve"> </w:t>
      </w:r>
      <w:r>
        <w:t xml:space="preserve">(the Proposal) /</w:t>
      </w:r>
      <w:r>
        <w:t xml:space="preserve"> </w:t>
      </w:r>
      <w:r>
        <w:rPr>
          <w:b/>
          <w:bCs/>
        </w:rPr>
        <w:t xml:space="preserve">$4,850,000</w:t>
      </w:r>
      <w:r>
        <w:t xml:space="preserve"> </w:t>
      </w:r>
      <w:r>
        <w:t xml:space="preserve">(per Oakvale) plus a</w:t>
      </w:r>
      <w:r>
        <w:t xml:space="preserve"> </w:t>
      </w:r>
      <w:r>
        <w:rPr>
          <w:b/>
          <w:bCs/>
        </w:rPr>
        <w:t xml:space="preserve">$305,000</w:t>
      </w:r>
      <w:r>
        <w:t xml:space="preserve"> </w:t>
      </w:r>
      <w:r>
        <w:t xml:space="preserve">annual support-and-maintenance fee, plus a</w:t>
      </w:r>
      <w:r>
        <w:t xml:space="preserve"> </w:t>
      </w:r>
      <w:r>
        <w:rPr>
          <w:b/>
          <w:bCs/>
        </w:rPr>
        <w:t xml:space="preserve">$175,000</w:t>
      </w:r>
      <w:r>
        <w:t xml:space="preserve"> </w:t>
      </w:r>
      <w:r>
        <w:t xml:space="preserve">one-time Version 5.x migration fee, for a total estimated annual cost of</w:t>
      </w:r>
      <w:r>
        <w:t xml:space="preserve"> </w:t>
      </w:r>
      <w:r>
        <w:t xml:space="preserve">~$5,280,000.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There is a discrepancy between the Proposal’s</w:t>
      </w:r>
      <w:r>
        <w:t xml:space="preserve"> </w:t>
      </w:r>
      <w:r>
        <w:t xml:space="preserve">stated base ($4.8M) and Oakvale’s ($4.85M). More importantly, the</w:t>
      </w:r>
      <w:r>
        <w:t xml:space="preserve"> </w:t>
      </w:r>
      <w:r>
        <w:rPr>
          <w:b/>
          <w:bCs/>
        </w:rPr>
        <w:t xml:space="preserve">per-user cap and overage structure is not disclosed in the written</w:t>
      </w:r>
      <w:r>
        <w:rPr>
          <w:b/>
          <w:bCs/>
        </w:rP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(Section 7.2). Even the base fee alone ($4.85M) exceeds the</w:t>
      </w:r>
      <w:r>
        <w:t xml:space="preserve"> </w:t>
      </w:r>
      <w:r>
        <w:t xml:space="preserve">bioinformatics market high of $4.0M by 21.3%, and the effective total</w:t>
      </w:r>
      <w:r>
        <w:t xml:space="preserve"> </w:t>
      </w:r>
      <w:r>
        <w:t xml:space="preserve">(~$5.28M) is ~65% above the comp mean ($3.05M) and ~32% above the</w:t>
      </w:r>
      <w:r>
        <w:t xml:space="preserve"> </w:t>
      </w:r>
      <w:r>
        <w:t xml:space="preserve">market high.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Drive the fee to the $3.5M–$4.0M</w:t>
      </w:r>
      <w:r>
        <w:t xml:space="preserve"> </w:t>
      </w:r>
      <w:r>
        <w:t xml:space="preserve">range; require NovaTrait to reconcile the $4.8M/$4.85M discrepancy and</w:t>
      </w:r>
      <w:r>
        <w:t xml:space="preserve"> </w:t>
      </w:r>
      <w:r>
        <w:t xml:space="preserve">to disclose all fee components (including the user cap) in the term</w:t>
      </w:r>
      <w:r>
        <w:t xml:space="preserve"> </w:t>
      </w:r>
      <w:r>
        <w:t xml:space="preserve">sheet.</w:t>
      </w:r>
    </w:p>
    <w:bookmarkEnd w:id="61"/>
    <w:bookmarkStart w:id="62" w:name="X6b6c5ade243f76308065d303997e46c411ed7fa"/>
    <w:p>
      <w:pPr>
        <w:pStyle w:val="Heading3"/>
      </w:pPr>
      <w:r>
        <w:t xml:space="preserve">7.2 Per-user cap and overage — not disclosed in the Proposal</w:t>
      </w:r>
    </w:p>
    <w:p>
      <w:pPr>
        <w:pStyle w:val="FirstParagraph"/>
      </w:pPr>
      <w:r>
        <w:t xml:space="preserve">Oakvale identifies a proposed</w:t>
      </w:r>
      <w:r>
        <w:t xml:space="preserve"> </w:t>
      </w:r>
      <w:r>
        <w:rPr>
          <w:b/>
          <w:bCs/>
        </w:rPr>
        <w:t xml:space="preserve">50 named-user cap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$18,500/user/year overage</w:t>
      </w:r>
      <w:r>
        <w:t xml:space="preserve">; Greenfield currently has</w:t>
      </w:r>
      <w:r>
        <w:t xml:space="preserve"> </w:t>
      </w:r>
      <w:r>
        <w:rPr>
          <w:b/>
          <w:bCs/>
        </w:rPr>
        <w:t xml:space="preserve">73 named</w:t>
      </w:r>
      <w:r>
        <w:rPr>
          <w:b/>
          <w:bCs/>
        </w:rPr>
        <w:t xml:space="preserve"> </w:t>
      </w:r>
      <w:r>
        <w:rPr>
          <w:b/>
          <w:bCs/>
        </w:rPr>
        <w:t xml:space="preserve">users</w:t>
      </w:r>
      <w:r>
        <w:t xml:space="preserve">, yielding</w:t>
      </w:r>
      <w:r>
        <w:t xml:space="preserve"> </w:t>
      </w:r>
      <w:r>
        <w:rPr>
          <w:b/>
          <w:bCs/>
        </w:rPr>
        <w:t xml:space="preserve">23 excess users × $18,500 = $425,500/year</w:t>
      </w:r>
      <w:r>
        <w:t xml:space="preserve"> </w:t>
      </w:r>
      <w:r>
        <w:t xml:space="preserve">in</w:t>
      </w:r>
      <w:r>
        <w:t xml:space="preserve"> </w:t>
      </w:r>
      <w:r>
        <w:t xml:space="preserve">overage. This component does not appear in the written Proposal term</w:t>
      </w:r>
      <w:r>
        <w:t xml:space="preserve"> </w:t>
      </w:r>
      <w:r>
        <w:t xml:space="preserve">sheet (Part III).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user cap/overage is a material economic</w:t>
      </w:r>
      <w:r>
        <w:t xml:space="preserve"> </w:t>
      </w:r>
      <w:r>
        <w:t xml:space="preserve">term omitted from the Proposal, and it converts what NovaTrait frames as</w:t>
      </w:r>
      <w:r>
        <w:t xml:space="preserve"> </w:t>
      </w:r>
      <w:r>
        <w:t xml:space="preserve">a ~$5.28M total into a structure that penalizes Greenfield’s actual</w:t>
      </w:r>
      <w:r>
        <w:t xml:space="preserve"> </w:t>
      </w:r>
      <w:r>
        <w:t xml:space="preserve">headcount.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express disclosure; counter by</w:t>
      </w:r>
      <w:r>
        <w:t xml:space="preserve"> </w:t>
      </w:r>
      <w:r>
        <w:t xml:space="preserve">eliminating the cap or raising it to 100 users, with overage at</w:t>
      </w:r>
      <w:r>
        <w:t xml:space="preserve"> </w:t>
      </w:r>
      <w:r>
        <w:t xml:space="preserve">$12,000/user.</w:t>
      </w:r>
    </w:p>
    <w:bookmarkEnd w:id="62"/>
    <w:bookmarkStart w:id="63" w:name="Xe0e196097c37ed3a047b1f9e7aa5a117bab5c23"/>
    <w:p>
      <w:pPr>
        <w:pStyle w:val="Heading3"/>
      </w:pPr>
      <w:r>
        <w:t xml:space="preserve">7.3 CRITICAL — Derivative Data ownership transferred to NovaTrait (new Section 9.3)</w:t>
      </w:r>
    </w:p>
    <w:p>
      <w:pPr>
        <w:pStyle w:val="FirstParagraph"/>
      </w:pPr>
      <w:r>
        <w:t xml:space="preserve">Current Section 9.2 provides that Greenfield’s</w:t>
      </w:r>
      <w:r>
        <w:t xml:space="preserve"> </w:t>
      </w:r>
      <w:r>
        <w:rPr>
          <w:b/>
          <w:bCs/>
        </w:rPr>
        <w:t xml:space="preserve">Input Data</w:t>
      </w:r>
      <w:r>
        <w:t xml:space="preserve"> </w:t>
      </w:r>
      <w:r>
        <w:t xml:space="preserve">remains</w:t>
      </w:r>
      <w:r>
        <w:t xml:space="preserve"> </w:t>
      </w:r>
      <w:r>
        <w:t xml:space="preserve">Greenfield’s sole property, and the agreement is</w:t>
      </w:r>
      <w:r>
        <w:t xml:space="preserve"> </w:t>
      </w:r>
      <w:r>
        <w:rPr>
          <w:b/>
          <w:bCs/>
        </w:rPr>
        <w:t xml:space="preserve">silent</w:t>
      </w:r>
      <w:r>
        <w:t xml:space="preserve"> </w:t>
      </w:r>
      <w:r>
        <w:t xml:space="preserve">on</w:t>
      </w:r>
      <w:r>
        <w:t xml:space="preserve"> </w:t>
      </w:r>
      <w:r>
        <w:t xml:space="preserve">Derivative Data (outputs/analyses/visualizations generated by the</w:t>
      </w:r>
      <w:r>
        <w:t xml:space="preserve"> </w:t>
      </w:r>
      <w:r>
        <w:t xml:space="preserve">Software). The Proposal adds a new Section 9.3 making</w:t>
      </w:r>
      <w:r>
        <w:t xml:space="preserve"> </w:t>
      </w:r>
      <w:r>
        <w:rPr>
          <w:b/>
          <w:bCs/>
        </w:rPr>
        <w:t xml:space="preserve">all Derivative</w:t>
      </w:r>
      <w:r>
        <w:rPr>
          <w:b/>
          <w:bCs/>
        </w:rPr>
        <w:t xml:space="preserve"> </w:t>
      </w:r>
      <w:r>
        <w:rPr>
          <w:b/>
          <w:bCs/>
        </w:rPr>
        <w:t xml:space="preserve">Data the sole and exclusive property of NovaTrait</w:t>
      </w:r>
      <w:r>
        <w:t xml:space="preserve">, with Greenfield</w:t>
      </w:r>
      <w:r>
        <w:t xml:space="preserve"> </w:t>
      </w:r>
      <w:r>
        <w:t xml:space="preserve">receiving only a non-exclusive, non-transferable, royalty-free license</w:t>
      </w:r>
      <w:r>
        <w:t xml:space="preserve"> </w:t>
      </w:r>
      <w:r>
        <w:t xml:space="preserve">that (i) prohibits sublicensing (other than to bound</w:t>
      </w:r>
      <w:r>
        <w:t xml:space="preserve"> </w:t>
      </w:r>
      <w:r>
        <w:t xml:space="preserve">employees/contractors), (ii) prohibits publication identifiable to</w:t>
      </w:r>
      <w:r>
        <w:t xml:space="preserve"> </w:t>
      </w:r>
      <w:r>
        <w:t xml:space="preserve">NovaTrait/the Software, and (iii)</w:t>
      </w:r>
      <w:r>
        <w:t xml:space="preserve"> </w:t>
      </w:r>
      <w:r>
        <w:rPr>
          <w:b/>
          <w:bCs/>
        </w:rPr>
        <w:t xml:space="preserve">terminates upon expiration or</w:t>
      </w:r>
      <w:r>
        <w:rPr>
          <w:b/>
          <w:bCs/>
        </w:rPr>
        <w:t xml:space="preserve"> </w:t>
      </w:r>
      <w:r>
        <w:rPr>
          <w:b/>
          <w:bCs/>
        </w:rPr>
        <w:t xml:space="preserve">termination of the Renewal Term</w:t>
      </w:r>
      <w:r>
        <w:t xml:space="preserve">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is a material adverse</w:t>
      </w:r>
      <w:r>
        <w:t xml:space="preserve"> </w:t>
      </w:r>
      <w:r>
        <w:t xml:space="preserve">change and conflicts with the principle of Section 9.2. It would (a)</w:t>
      </w:r>
      <w:r>
        <w:t xml:space="preserve"> </w:t>
      </w:r>
      <w:r>
        <w:t xml:space="preserve">transfer ownership of Greenfield’s proprietary trait-mapping datasets</w:t>
      </w:r>
      <w:r>
        <w:t xml:space="preserve"> </w:t>
      </w:r>
      <w:r>
        <w:t xml:space="preserve">and analysis outputs to NovaTrait, (b) give NovaTrait the right to use</w:t>
      </w:r>
      <w:r>
        <w:t xml:space="preserve"> </w:t>
      </w:r>
      <w:r>
        <w:t xml:space="preserve">Greenfield’s analytical outputs for its own purposes and other</w:t>
      </w:r>
      <w:r>
        <w:t xml:space="preserve"> </w:t>
      </w:r>
      <w:r>
        <w:t xml:space="preserve">licensees, and (c) cause Greenfield to</w:t>
      </w:r>
      <w:r>
        <w:t xml:space="preserve"> </w:t>
      </w:r>
      <w:r>
        <w:rPr>
          <w:b/>
          <w:bCs/>
        </w:rPr>
        <w:t xml:space="preserve">lose access to its own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outputs</w:t>
      </w:r>
      <w:r>
        <w:t xml:space="preserve"> </w:t>
      </w:r>
      <w:r>
        <w:t xml:space="preserve">at end of term.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this provision</w:t>
      </w:r>
      <w:r>
        <w:rPr>
          <w:b/>
          <w:bCs/>
        </w:rPr>
        <w:t xml:space="preserve"> </w:t>
      </w:r>
      <w:r>
        <w:rPr>
          <w:b/>
          <w:bCs/>
        </w:rPr>
        <w:t xml:space="preserve">(non-negotiable).</w:t>
      </w:r>
      <w:r>
        <w:t xml:space="preserve"> </w:t>
      </w:r>
      <w:r>
        <w:t xml:space="preserve">Counter that all output and derived data are solely</w:t>
      </w:r>
      <w:r>
        <w:t xml:space="preserve"> </w:t>
      </w:r>
      <w:r>
        <w:t xml:space="preserve">owned by Greenfield, consistent with Section 9.2; at most, grant</w:t>
      </w:r>
      <w:r>
        <w:t xml:space="preserve"> </w:t>
      </w:r>
      <w:r>
        <w:t xml:space="preserve">NovaTrait a limited, non-exclusive license to use aggregated/anonymized</w:t>
      </w:r>
      <w:r>
        <w:t xml:space="preserve"> </w:t>
      </w:r>
      <w:r>
        <w:t xml:space="preserve">data for product improvement, with Greenfield retaining ownership.</w:t>
      </w:r>
    </w:p>
    <w:bookmarkEnd w:id="63"/>
    <w:bookmarkStart w:id="64" w:name="Xac96c61982d7d873dc6b62548c7bd3d29853f85"/>
    <w:p>
      <w:pPr>
        <w:pStyle w:val="Heading3"/>
      </w:pPr>
      <w:r>
        <w:t xml:space="preserve">7.4 CRITICAL — Source-code access eliminated (object code only)</w:t>
      </w:r>
    </w:p>
    <w:p>
      <w:pPr>
        <w:pStyle w:val="FirstParagraph"/>
      </w:pPr>
      <w:r>
        <w:t xml:space="preserve">Current Section 5.2 grants Greenfield the right to access, review, and</w:t>
      </w:r>
      <w:r>
        <w:t xml:space="preserve"> </w:t>
      </w:r>
      <w:r>
        <w:rPr>
          <w:b/>
          <w:bCs/>
        </w:rPr>
        <w:t xml:space="preserve">internally modify the Source Code</w:t>
      </w:r>
      <w:r>
        <w:t xml:space="preserve"> </w:t>
      </w:r>
      <w:r>
        <w:t xml:space="preserve">to adapt/configure/enhance the</w:t>
      </w:r>
      <w:r>
        <w:t xml:space="preserve"> </w:t>
      </w:r>
      <w:r>
        <w:t xml:space="preserve">Software for internal use; Licensee Modifications are owned by</w:t>
      </w:r>
      <w:r>
        <w:t xml:space="preserve"> </w:t>
      </w:r>
      <w:r>
        <w:t xml:space="preserve">Greenfield (with a royalty-free license back to NovaTrait for internal</w:t>
      </w:r>
      <w:r>
        <w:t xml:space="preserve"> </w:t>
      </w:r>
      <w:r>
        <w:t xml:space="preserve">use and incorporation into future versions). The Proposal would</w:t>
      </w:r>
      <w:r>
        <w:t xml:space="preserve"> </w:t>
      </w:r>
      <w:r>
        <w:rPr>
          <w:b/>
          <w:bCs/>
        </w:rPr>
        <w:t xml:space="preserve">delete</w:t>
      </w:r>
      <w:r>
        <w:rPr>
          <w:b/>
          <w:bCs/>
        </w:rPr>
        <w:t xml:space="preserve"> </w:t>
      </w:r>
      <w:r>
        <w:rPr>
          <w:b/>
          <w:bCs/>
        </w:rPr>
        <w:t xml:space="preserve">Section 5.2 in its entirety</w:t>
      </w:r>
      <w:r>
        <w:t xml:space="preserve">, delivering</w:t>
      </w:r>
      <w:r>
        <w:t xml:space="preserve"> </w:t>
      </w:r>
      <w:r>
        <w:rPr>
          <w:b/>
          <w:bCs/>
        </w:rPr>
        <w:t xml:space="preserve">object code only</w:t>
      </w:r>
      <w:r>
        <w:t xml:space="preserve">,</w:t>
      </w:r>
      <w:r>
        <w:t xml:space="preserve"> </w:t>
      </w:r>
      <w:r>
        <w:t xml:space="preserve">consistent with NovaTrait’s</w:t>
      </w:r>
      <w:r>
        <w:t xml:space="preserve"> </w:t>
      </w:r>
      <w:r>
        <w:t xml:space="preserve">“</w:t>
      </w:r>
      <w:r>
        <w:t xml:space="preserve">standard licensing model</w:t>
      </w:r>
      <w:r>
        <w:t xml:space="preserve">”</w:t>
      </w:r>
      <w:r>
        <w:t xml:space="preserve"> </w:t>
      </w:r>
      <w:r>
        <w:t xml:space="preserve">for Version 5.x.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Loss of source-code access eliminates Greenfield’s ability to</w:t>
      </w:r>
      <w:r>
        <w:t xml:space="preserve"> </w:t>
      </w:r>
      <w:r>
        <w:t xml:space="preserve">customize its analytics pipelines — a significant R&amp;D impact,</w:t>
      </w:r>
      <w:r>
        <w:t xml:space="preserve"> </w:t>
      </w:r>
      <w:r>
        <w:t xml:space="preserve">especially given Greenfield’s existing custom pipelines built on the 4.x</w:t>
      </w:r>
      <w:r>
        <w:t xml:space="preserve"> </w:t>
      </w:r>
      <w:r>
        <w:t xml:space="preserve">source.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Retain source-code access</w:t>
      </w:r>
      <w:r>
        <w:rPr>
          <w:b/>
          <w:bCs/>
        </w:rPr>
        <w:t xml:space="preserve"> </w:t>
      </w:r>
      <w:r>
        <w:rPr>
          <w:b/>
          <w:bCs/>
        </w:rPr>
        <w:t xml:space="preserve">(non-negotiable).</w:t>
      </w:r>
      <w:r>
        <w:t xml:space="preserve"> </w:t>
      </w:r>
      <w:r>
        <w:t xml:space="preserve">Accept reasonable enhanced security/escrow</w:t>
      </w:r>
      <w:r>
        <w:t xml:space="preserve"> </w:t>
      </w:r>
      <w:r>
        <w:t xml:space="preserve">provisions (the current Section 10.3 already imposes stringent</w:t>
      </w:r>
      <w:r>
        <w:t xml:space="preserve"> </w:t>
      </w:r>
      <w:r>
        <w:t xml:space="preserve">source-code protections), but do not accept object-code-only delivery.</w:t>
      </w:r>
    </w:p>
    <w:bookmarkEnd w:id="64"/>
    <w:bookmarkStart w:id="65" w:name="Xc5e100067d3ceffc7d4e1990cf583678568393f"/>
    <w:p>
      <w:pPr>
        <w:pStyle w:val="Heading3"/>
      </w:pPr>
      <w:r>
        <w:t xml:space="preserve">7.5 Existing 4.x modifications — joint ownership or forced sale</w:t>
      </w:r>
    </w:p>
    <w:p>
      <w:pPr>
        <w:pStyle w:val="FirstParagraph"/>
      </w:pPr>
      <w:r>
        <w:t xml:space="preserve">The Proposal provides that Greenfield’s existing Version 4.x</w:t>
      </w:r>
      <w:r>
        <w:t xml:space="preserve"> </w:t>
      </w:r>
      <w:r>
        <w:t xml:space="preserve">modifications (developed under current Section 5.2) would be deemed</w:t>
      </w:r>
      <w:r>
        <w:t xml:space="preserve"> </w:t>
      </w:r>
      <w:r>
        <w:t xml:space="preserve">Derivative Works that are (a)</w:t>
      </w:r>
      <w:r>
        <w:t xml:space="preserve"> </w:t>
      </w:r>
      <w:r>
        <w:rPr>
          <w:b/>
          <w:bCs/>
        </w:rPr>
        <w:t xml:space="preserve">jointly owned</w:t>
      </w:r>
      <w:r>
        <w:t xml:space="preserve"> </w:t>
      </w:r>
      <w:r>
        <w:t xml:space="preserve">by the Parties or (b) at</w:t>
      </w:r>
      <w:r>
        <w:t xml:space="preserve"> </w:t>
      </w:r>
      <w:r>
        <w:t xml:space="preserve">Greenfield’s election,</w:t>
      </w:r>
      <w:r>
        <w:t xml:space="preserve"> </w:t>
      </w:r>
      <w:r>
        <w:rPr>
          <w:b/>
          <w:bCs/>
        </w:rPr>
        <w:t xml:space="preserve">purchased by NovaTrait</w:t>
      </w:r>
      <w:r>
        <w:t xml:space="preserve"> </w:t>
      </w:r>
      <w:r>
        <w:t xml:space="preserve">for fair market value</w:t>
      </w:r>
      <w:r>
        <w:t xml:space="preserve"> </w:t>
      </w:r>
      <w:r>
        <w:t xml:space="preserve">(by agreement or independent valuation).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would divest</w:t>
      </w:r>
      <w:r>
        <w:t xml:space="preserve"> </w:t>
      </w:r>
      <w:r>
        <w:t xml:space="preserve">Greenfield of sole ownership of modifications it already built, or force</w:t>
      </w:r>
      <w:r>
        <w:t xml:space="preserve"> </w:t>
      </w:r>
      <w:r>
        <w:t xml:space="preserve">a sale.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Reject; retain Greenfield’s sole ownership</w:t>
      </w:r>
      <w:r>
        <w:t xml:space="preserve"> </w:t>
      </w:r>
      <w:r>
        <w:t xml:space="preserve">of its existing 4.x modifications, with the existing royalty-free</w:t>
      </w:r>
      <w:r>
        <w:t xml:space="preserve"> </w:t>
      </w:r>
      <w:r>
        <w:t xml:space="preserve">license-back to NovaTrait unchanged.</w:t>
      </w:r>
    </w:p>
    <w:bookmarkEnd w:id="65"/>
    <w:bookmarkStart w:id="66" w:name="Xdae433fe140b8813a162e91bfa1b98ff3ca7ab2"/>
    <w:p>
      <w:pPr>
        <w:pStyle w:val="Heading3"/>
      </w:pPr>
      <w:r>
        <w:t xml:space="preserve">7.6 Version 5.x migration — incompatibility and conversion cost</w:t>
      </w:r>
    </w:p>
    <w:p>
      <w:pPr>
        <w:pStyle w:val="FirstParagraph"/>
      </w:pPr>
      <w:r>
        <w:t xml:space="preserve">Version 5.x is</w:t>
      </w:r>
      <w:r>
        <w:t xml:space="preserve"> </w:t>
      </w:r>
      <w:r>
        <w:rPr>
          <w:b/>
          <w:bCs/>
        </w:rPr>
        <w:t xml:space="preserve">incompatible with 4.x archives</w:t>
      </w:r>
      <w:r>
        <w:t xml:space="preserve"> </w:t>
      </w:r>
      <w:r>
        <w:t xml:space="preserve">without a conversion</w:t>
      </w:r>
      <w:r>
        <w:t xml:space="preserve"> </w:t>
      </w:r>
      <w:r>
        <w:t xml:space="preserve">tool (the $175,000 one-time fee). NovaTrait offers migration assistance</w:t>
      </w:r>
      <w:r>
        <w:t xml:space="preserve"> </w:t>
      </w:r>
      <w:r>
        <w:t xml:space="preserve">(schema-conversion scripts + up to 80 hours of support) during the 3</w:t>
      </w:r>
      <w:r>
        <w:t xml:space="preserve"> </w:t>
      </w:r>
      <w:r>
        <w:t xml:space="preserve">months following the renewal effective date.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conversion</w:t>
      </w:r>
      <w:r>
        <w:t xml:space="preserve"> </w:t>
      </w:r>
      <w:r>
        <w:t xml:space="preserve">tool cost and an estimated $95,000 in internal integration/training</w:t>
      </w:r>
      <w:r>
        <w:t xml:space="preserve"> </w:t>
      </w:r>
      <w:r>
        <w:t xml:space="preserve">(Oakvale) are additional one-time burdens (~$270,000 total).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Counter that the conversion tool be</w:t>
      </w:r>
      <w:r>
        <w:t xml:space="preserve"> </w:t>
      </w:r>
      <w:r>
        <w:rPr>
          <w:b/>
          <w:bCs/>
        </w:rPr>
        <w:t xml:space="preserve">included at no</w:t>
      </w:r>
      <w:r>
        <w:rPr>
          <w:b/>
          <w:bCs/>
        </w:rP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as a condition of renewal, and require an adequate</w:t>
      </w:r>
      <w:r>
        <w:t xml:space="preserve"> </w:t>
      </w:r>
      <w:r>
        <w:t xml:space="preserve">migration-support window (extend beyond 3 months if needed).</w:t>
      </w:r>
    </w:p>
    <w:bookmarkEnd w:id="66"/>
    <w:bookmarkStart w:id="67" w:name="version-4.x-support-continuity"/>
    <w:p>
      <w:pPr>
        <w:pStyle w:val="Heading3"/>
      </w:pPr>
      <w:r>
        <w:t xml:space="preserve">7.7 Version 4.x support continuity</w:t>
      </w:r>
    </w:p>
    <w:p>
      <w:pPr>
        <w:pStyle w:val="FirstParagraph"/>
      </w:pPr>
      <w:r>
        <w:t xml:space="preserve">Current Section 6.3 requires NovaTrait to continue supporting Version</w:t>
      </w:r>
      <w:r>
        <w:t xml:space="preserve"> </w:t>
      </w:r>
      <w:r>
        <w:t xml:space="preserve">4.x during the Term and not to discontinue without Greenfield’s consent;</w:t>
      </w:r>
      <w:r>
        <w:t xml:space="preserve"> </w:t>
      </w:r>
      <w:r>
        <w:t xml:space="preserve">Section 6.2 makes Major Version Upgrades (e.g., 5.x) a separate</w:t>
      </w:r>
      <w:r>
        <w:t xml:space="preserve"> </w:t>
      </w:r>
      <w:r>
        <w:t xml:space="preserve">agreement.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If Greenfield transitions to 5.x, it should</w:t>
      </w:r>
      <w:r>
        <w:t xml:space="preserve"> </w:t>
      </w:r>
      <w:r>
        <w:t xml:space="preserve">preserve 4.x support during migration and retain rights to its 4.x</w:t>
      </w:r>
      <w:r>
        <w:t xml:space="preserve"> </w:t>
      </w:r>
      <w:r>
        <w:t xml:space="preserve">modifications.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Require continued 4.x support through</w:t>
      </w:r>
      <w:r>
        <w:t xml:space="preserve"> </w:t>
      </w:r>
      <w:r>
        <w:t xml:space="preserve">the migration period and preservation of Greenfield’s 4.x source-code</w:t>
      </w:r>
      <w:r>
        <w:t xml:space="preserve"> </w:t>
      </w:r>
      <w:r>
        <w:t xml:space="preserve">access for its existing modifications.</w:t>
      </w:r>
    </w:p>
    <w:bookmarkEnd w:id="67"/>
    <w:bookmarkStart w:id="68" w:name="source-code-escrow-retain-and-expand"/>
    <w:p>
      <w:pPr>
        <w:pStyle w:val="Heading3"/>
      </w:pPr>
      <w:r>
        <w:t xml:space="preserve">7.8 Source-code escrow — retain and expand</w:t>
      </w:r>
    </w:p>
    <w:p>
      <w:pPr>
        <w:pStyle w:val="FirstParagraph"/>
      </w:pPr>
      <w:r>
        <w:t xml:space="preserve">Current Section 5.3 provides a source-code escrow with release on</w:t>
      </w:r>
      <w:r>
        <w:t xml:space="preserve"> </w:t>
      </w:r>
      <w:r>
        <w:t xml:space="preserve">NovaTrait insolvency, general assignment, cessation of business,</w:t>
      </w:r>
      <w:r>
        <w:t xml:space="preserve"> </w:t>
      </w:r>
      <w:r>
        <w:t xml:space="preserve">material breach of support (60-day cure), or acquisition by a Greenfield</w:t>
      </w:r>
      <w:r>
        <w:t xml:space="preserve"> </w:t>
      </w:r>
      <w:r>
        <w:t xml:space="preserve">competitor (with 30-day assurance). The Proposal retains the escrow.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Retain the escrow and expand the release conditions</w:t>
      </w:r>
      <w:r>
        <w:t xml:space="preserve"> </w:t>
      </w:r>
      <w:r>
        <w:t xml:space="preserve">to include cessation of support for Version 5.x specifically and failure</w:t>
      </w:r>
      <w:r>
        <w:t xml:space="preserve"> </w:t>
      </w:r>
      <w:r>
        <w:t xml:space="preserve">to deliver Minor Updates.</w:t>
      </w:r>
    </w:p>
    <w:bookmarkEnd w:id="68"/>
    <w:bookmarkStart w:id="69" w:name="operational-dependency-on-licenses-a-b"/>
    <w:p>
      <w:pPr>
        <w:pStyle w:val="Heading3"/>
      </w:pPr>
      <w:r>
        <w:t xml:space="preserve">7.9 Operational dependency on Licenses A &amp; B</w:t>
      </w:r>
    </w:p>
    <w:p>
      <w:pPr>
        <w:pStyle w:val="FirstParagraph"/>
      </w:pPr>
      <w:r>
        <w:t xml:space="preserve">GenoMap Pro is integral to the CRISPR-Ag Suite and TraitForge workflows.</w:t>
      </w:r>
      <w:r>
        <w:t xml:space="preserve"> </w:t>
      </w:r>
      <w:r>
        <w:t xml:space="preserve">Oakvale estimates</w:t>
      </w:r>
      <w:r>
        <w:t xml:space="preserve"> </w:t>
      </w:r>
      <w:r>
        <w:rPr>
          <w:b/>
          <w:bCs/>
        </w:rPr>
        <w:t xml:space="preserve">12–18 months</w:t>
      </w:r>
      <w:r>
        <w:t xml:space="preserve"> </w:t>
      </w:r>
      <w:r>
        <w:t xml:space="preserve">to source and migrate to an</w:t>
      </w:r>
      <w:r>
        <w:t xml:space="preserve"> </w:t>
      </w:r>
      <w:r>
        <w:t xml:space="preserve">alternative, during which disruption would affect all three license</w:t>
      </w:r>
      <w:r>
        <w:t xml:space="preserve"> </w:t>
      </w:r>
      <w:r>
        <w:t xml:space="preserve">workflows.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Even though License C is substitutable, the</w:t>
      </w:r>
      <w:r>
        <w:t xml:space="preserve"> </w:t>
      </w:r>
      <w:r>
        <w:t xml:space="preserve">transition period creates a dependency risk; Greenfield cannot simply</w:t>
      </w:r>
      <w:r>
        <w:t xml:space="preserve"> </w:t>
      </w:r>
      <w:r>
        <w:t xml:space="preserve">walk away on February 28, 2025.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Secure an</w:t>
      </w:r>
      <w:r>
        <w:t xml:space="preserve"> </w:t>
      </w:r>
      <w:r>
        <w:t xml:space="preserve">interim/holdover access arrangement past February 28, 2025 if the</w:t>
      </w:r>
      <w:r>
        <w:t xml:space="preserve"> </w:t>
      </w:r>
      <w:r>
        <w:t xml:space="preserve">renewal is not executed by then, and begin alternative-platform</w:t>
      </w:r>
      <w:r>
        <w:t xml:space="preserve"> </w:t>
      </w:r>
      <w:r>
        <w:t xml:space="preserve">evaluation no later than mid-2027 (ahead of the proposed 2028</w:t>
      </w:r>
      <w:r>
        <w:t xml:space="preserve"> </w:t>
      </w:r>
      <w:r>
        <w:t xml:space="preserve">renewal-term end).</w:t>
      </w:r>
    </w:p>
    <w:bookmarkEnd w:id="69"/>
    <w:bookmarkStart w:id="70" w:name="warranty-and-support-for-version-5.x"/>
    <w:p>
      <w:pPr>
        <w:pStyle w:val="Heading3"/>
      </w:pPr>
      <w:r>
        <w:t xml:space="preserve">7.10 Warranty and support for Version 5.x</w:t>
      </w:r>
    </w:p>
    <w:p>
      <w:pPr>
        <w:pStyle w:val="FirstParagraph"/>
      </w:pPr>
      <w:r>
        <w:t xml:space="preserve">Current Section 7.3 provides a 90-day Warranty Period and Section 8.2</w:t>
      </w:r>
      <w:r>
        <w:t xml:space="preserve"> </w:t>
      </w:r>
      <w:r>
        <w:t xml:space="preserve">sets response-time SLAs (Level 1: 4 business hours; Level 2: 8 business</w:t>
      </w:r>
      <w:r>
        <w:t xml:space="preserve"> </w:t>
      </w:r>
      <w:r>
        <w:t xml:space="preserve">hours; Level 3: 2 business days; Level 4: 5 business days).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Proposal does not confirm that the warranty and SLAs apply to the</w:t>
      </w:r>
      <w:r>
        <w:t xml:space="preserve"> </w:t>
      </w:r>
      <w:r>
        <w:t xml:space="preserve">5.x delivery.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90-day warranty and the</w:t>
      </w:r>
      <w:r>
        <w:t xml:space="preserve"> </w:t>
      </w:r>
      <w:r>
        <w:t xml:space="preserve">SLA table apply to Version 5.x from first delivery.</w:t>
      </w:r>
    </w:p>
    <w:bookmarkEnd w:id="70"/>
    <w:bookmarkStart w:id="71" w:name="liability-cap-and-indemnity"/>
    <w:p>
      <w:pPr>
        <w:pStyle w:val="Heading3"/>
      </w:pPr>
      <w:r>
        <w:t xml:space="preserve">7.11 Liability cap and indemnity</w:t>
      </w:r>
    </w:p>
    <w:p>
      <w:pPr>
        <w:pStyle w:val="FirstParagraph"/>
      </w:pPr>
      <w:r>
        <w:t xml:space="preserve">Current Section 12.2 caps each party’s liability at 12 months of fees</w:t>
      </w:r>
      <w:r>
        <w:t xml:space="preserve"> </w:t>
      </w:r>
      <w:r>
        <w:t xml:space="preserve">($3.14M); Section 12.3 requires NovaTrait to defend/infringement claims</w:t>
      </w:r>
      <w:r>
        <w:t xml:space="preserve"> </w:t>
      </w:r>
      <w:r>
        <w:t xml:space="preserve">and offers cure/replace/terminate-and-refund remedies.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If the</w:t>
      </w:r>
      <w:r>
        <w:t xml:space="preserve"> </w:t>
      </w:r>
      <w:r>
        <w:t xml:space="preserve">fee increases to ~$5.28M, the 12-month-fee cap rises proportionally</w:t>
      </w:r>
      <w:r>
        <w:t xml:space="preserve"> </w:t>
      </w:r>
      <w:r>
        <w:t xml:space="preserve">— confirm the cap formula is retained (favorable to Greenfield) and</w:t>
      </w:r>
      <w:r>
        <w:t xml:space="preserve"> </w:t>
      </w:r>
      <w:r>
        <w:t xml:space="preserve">that the infringement indemnity (Section 12.3) carries forward to 5.x.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Retain the 12-month-fee cap and the full Section</w:t>
      </w:r>
      <w:r>
        <w:t xml:space="preserve"> </w:t>
      </w:r>
      <w:r>
        <w:t xml:space="preserve">12.3 indemnity structure.</w:t>
      </w:r>
    </w:p>
    <w:bookmarkEnd w:id="71"/>
    <w:bookmarkStart w:id="72" w:name="renewal-term-length-3-years-and-option"/>
    <w:p>
      <w:pPr>
        <w:pStyle w:val="Heading3"/>
      </w:pPr>
      <w:r>
        <w:t xml:space="preserve">7.12 Renewal term length (3 years) and option</w:t>
      </w:r>
    </w:p>
    <w:p>
      <w:pPr>
        <w:pStyle w:val="FirstParagraph"/>
      </w:pPr>
      <w:r>
        <w:t xml:space="preserve">The Proposal offers a 3-year renewal (March 1, 2025 – February 28,</w:t>
      </w:r>
      <w:r>
        <w:t xml:space="preserve"> </w:t>
      </w:r>
      <w:r>
        <w:t xml:space="preserve">2028) with a single 3-year option on renegotiated terms, citing the</w:t>
      </w:r>
      <w:r>
        <w:t xml:space="preserve"> </w:t>
      </w:r>
      <w:r>
        <w:t xml:space="preserve">anticipated Version 6.x release in late 2027.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A shorter term</w:t>
      </w:r>
      <w:r>
        <w:t xml:space="preserve"> </w:t>
      </w:r>
      <w:r>
        <w:t xml:space="preserve">is generally favorable to Greenfield given the substitutable nature of</w:t>
      </w:r>
      <w:r>
        <w:t xml:space="preserve"> </w:t>
      </w:r>
      <w:r>
        <w:t xml:space="preserve">License C and the rapid product evolution, but it also means more</w:t>
      </w:r>
      <w:r>
        <w:t xml:space="preserve"> </w:t>
      </w:r>
      <w:r>
        <w:t xml:space="preserve">frequent renegotiation.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Accept a 3-year term but</w:t>
      </w:r>
      <w:r>
        <w:t xml:space="preserve"> </w:t>
      </w:r>
      <w:r>
        <w:t xml:space="preserve">seek a pre-negotiated option (fee formula or cap) rather than a fully</w:t>
      </w:r>
      <w:r>
        <w:t xml:space="preserve"> </w:t>
      </w:r>
      <w:r>
        <w:t xml:space="preserve">open renegotiation.</w:t>
      </w:r>
    </w:p>
    <w:bookmarkEnd w:id="72"/>
    <w:bookmarkStart w:id="73" w:name="X5046ee91a8bccf14c3bf5dc65d9109165acc310"/>
    <w:p>
      <w:pPr>
        <w:pStyle w:val="Heading3"/>
      </w:pPr>
      <w:r>
        <w:t xml:space="preserve">7.13 Trademark —</w:t>
      </w:r>
      <w:r>
        <w:t xml:space="preserve"> </w:t>
      </w:r>
      <w:r>
        <w:t xml:space="preserve">“</w:t>
      </w:r>
      <w:r>
        <w:t xml:space="preserve">GenoMap Pro</w:t>
      </w:r>
      <w:r>
        <w:t xml:space="preserve">”</w:t>
      </w:r>
      <w:r>
        <w:t xml:space="preserve"> </w:t>
      </w:r>
      <w:r>
        <w:t xml:space="preserve">registration added; no trademark license</w:t>
      </w:r>
    </w:p>
    <w:p>
      <w:pPr>
        <w:pStyle w:val="FirstParagraph"/>
      </w:pPr>
      <w:r>
        <w:t xml:space="preserve">The Proposal’s Appendix A newly lists</w:t>
      </w:r>
      <w:r>
        <w:t xml:space="preserve"> </w:t>
      </w:r>
      <w:r>
        <w:rPr>
          <w:b/>
          <w:bCs/>
        </w:rPr>
        <w:t xml:space="preserve">U.S. Trademark Reg. No.</w:t>
      </w:r>
      <w:r>
        <w:rPr>
          <w:b/>
          <w:bCs/>
        </w:rPr>
        <w:t xml:space="preserve"> </w:t>
      </w:r>
      <w:r>
        <w:rPr>
          <w:b/>
          <w:bCs/>
        </w:rPr>
        <w:t xml:space="preserve">5,721,334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GenoMap Pro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(International Class 9)</w:t>
      </w:r>
      <w:r>
        <w:t xml:space="preserve"> </w:t>
      </w:r>
      <w:r>
        <w:t xml:space="preserve">alongside the</w:t>
      </w:r>
      <w:r>
        <w:t xml:space="preserve"> </w:t>
      </w:r>
      <w:r>
        <w:t xml:space="preserve">Version 5.x copyright registration (TX-9-201-998).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t xml:space="preserve">current License C grants no trademark rights — Section 2.5 reserves all</w:t>
      </w:r>
      <w:r>
        <w:t xml:space="preserve"> </w:t>
      </w:r>
      <w:r>
        <w:t xml:space="preserve">rights to NovaTrait and Section 9.1 confirms NovaTrait’s sole ownership</w:t>
      </w:r>
      <w:r>
        <w:t xml:space="preserve"> </w:t>
      </w:r>
      <w:r>
        <w:t xml:space="preserve">of the Software and all IP rights therein. Greenfield nevertheless uses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GenoMap Pro</w:t>
      </w:r>
      <w:r>
        <w:t xml:space="preserve">”</w:t>
      </w:r>
      <w:r>
        <w:t xml:space="preserve"> </w:t>
      </w:r>
      <w:r>
        <w:t xml:space="preserve">name internally and in connection with its workflows.</w:t>
      </w:r>
      <w:r>
        <w:t xml:space="preserve"> </w:t>
      </w:r>
      <w:r>
        <w:t xml:space="preserve">The renewal is silent on trademark usage.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Clarify</w:t>
      </w:r>
      <w:r>
        <w:t xml:space="preserve"> </w:t>
      </w:r>
      <w:r>
        <w:t xml:space="preserve">whether Greenfield has any right to use the</w:t>
      </w:r>
      <w:r>
        <w:t xml:space="preserve"> </w:t>
      </w:r>
      <w:r>
        <w:t xml:space="preserve">“</w:t>
      </w:r>
      <w:r>
        <w:t xml:space="preserve">GenoMap Pro</w:t>
      </w:r>
      <w:r>
        <w:t xml:space="preserve">”</w:t>
      </w:r>
      <w:r>
        <w:t xml:space="preserve"> </w:t>
      </w:r>
      <w:r>
        <w:t xml:space="preserve">mark (e.g., in</w:t>
      </w:r>
      <w:r>
        <w:t xml:space="preserve"> </w:t>
      </w:r>
      <w:r>
        <w:t xml:space="preserve">internal documentation or regulatory submissions referencing the</w:t>
      </w:r>
      <w:r>
        <w:t xml:space="preserve"> </w:t>
      </w:r>
      <w:r>
        <w:t xml:space="preserve">tooling); if Greenfield’s continued use is contemplated, obtain an</w:t>
      </w:r>
      <w:r>
        <w:t xml:space="preserve"> </w:t>
      </w:r>
      <w:r>
        <w:t xml:space="preserve">express, royalty-free trademark license for internal use, and confirm</w:t>
      </w:r>
      <w:r>
        <w:t xml:space="preserve"> </w:t>
      </w:r>
      <w:r>
        <w:t xml:space="preserve">the trademark registration does not expand NovaTrait’s enforcement</w:t>
      </w:r>
      <w:r>
        <w:t xml:space="preserve"> </w:t>
      </w:r>
      <w:r>
        <w:t xml:space="preserve">rights against Greenfield’s existing use.</w:t>
      </w:r>
    </w:p>
    <w:bookmarkEnd w:id="73"/>
    <w:bookmarkStart w:id="74" w:name="Xf93aba9df1099f8967591cb250f7ecc8880b1a3"/>
    <w:p>
      <w:pPr>
        <w:pStyle w:val="Heading3"/>
      </w:pPr>
      <w:r>
        <w:t xml:space="preserve">7.14 Cloud deployment vs. source-code security restriction</w:t>
      </w:r>
    </w:p>
    <w:p>
      <w:pPr>
        <w:pStyle w:val="FirstParagraph"/>
      </w:pPr>
      <w:r>
        <w:t xml:space="preserve">The Proposal (Part III, item 4) offers Version 5.x with</w:t>
      </w:r>
      <w:r>
        <w:t xml:space="preserve"> </w:t>
      </w:r>
      <w:r>
        <w:t xml:space="preserve">“</w:t>
      </w:r>
      <w:r>
        <w:t xml:space="preserve">native cloud</w:t>
      </w:r>
      <w:r>
        <w:t xml:space="preserve"> </w:t>
      </w:r>
      <w:r>
        <w:t xml:space="preserve">deployment options (AWS, Azure, GCP) with enhanced security controls.</w:t>
      </w:r>
      <w:r>
        <w:t xml:space="preserve">”</w:t>
      </w:r>
      <w:r>
        <w:t xml:space="preserve"> </w:t>
      </w:r>
      <w:r>
        <w:t xml:space="preserve">Current Section 10.3(c), however, provides that the Source Code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not be stored on any portable media … or on any cloud computing</w:t>
      </w:r>
      <w:r>
        <w:t xml:space="preserve"> </w:t>
      </w:r>
      <w:r>
        <w:t xml:space="preserve">platform without NovaTrait’s prior written consent.</w:t>
      </w:r>
      <w:r>
        <w:t xml:space="preserve">”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There is</w:t>
      </w:r>
      <w:r>
        <w:t xml:space="preserve"> </w:t>
      </w:r>
      <w:r>
        <w:t xml:space="preserve">a tension between NovaTrait’s marketing of native cloud deployment and</w:t>
      </w:r>
      <w:r>
        <w:t xml:space="preserve"> </w:t>
      </w:r>
      <w:r>
        <w:t xml:space="preserve">the existing contractual prohibition on cloud storage of the Source</w:t>
      </w:r>
      <w:r>
        <w:t xml:space="preserve"> </w:t>
      </w:r>
      <w:r>
        <w:t xml:space="preserve">Code. If Greenfield retains source-code access (Section 7.4), the</w:t>
      </w:r>
      <w:r>
        <w:t xml:space="preserve"> </w:t>
      </w:r>
      <w:r>
        <w:t xml:space="preserve">renewal must reconcile the cloud-deployment feature with the</w:t>
      </w:r>
      <w:r>
        <w:t xml:space="preserve"> </w:t>
      </w:r>
      <w:r>
        <w:t xml:space="preserve">source-code security regime — otherwise Greenfield cannot lawfully</w:t>
      </w:r>
      <w:r>
        <w:t xml:space="preserve"> </w:t>
      </w:r>
      <w:r>
        <w:t xml:space="preserve">deploy 5.x in the cloud while also exercising its source-code rights.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a conforming amendment to Section 10.3(c)</w:t>
      </w:r>
      <w:r>
        <w:t xml:space="preserve"> </w:t>
      </w:r>
      <w:r>
        <w:t xml:space="preserve">that permits cloud storage/deployment of the Source Code on</w:t>
      </w:r>
      <w:r>
        <w:t xml:space="preserve"> </w:t>
      </w:r>
      <w:r>
        <w:t xml:space="preserve">Greenfield-controlled, MFA-protected cloud infrastructure (AWS/Azure/GCP)</w:t>
      </w:r>
      <w:r>
        <w:t xml:space="preserve"> </w:t>
      </w:r>
      <w:r>
        <w:t xml:space="preserve">as part of the 5.x deployment, without requiring case-by-case consent.</w:t>
      </w:r>
    </w:p>
    <w:bookmarkEnd w:id="74"/>
    <w:bookmarkStart w:id="75" w:name="Xb0b3ceac38147ac3cd7ea3b30595536c0966369"/>
    <w:p>
      <w:pPr>
        <w:pStyle w:val="Heading3"/>
      </w:pPr>
      <w:r>
        <w:t xml:space="preserve">7.15 Functionality-reduction termination right (Section 11.3) — carry-forward to 5.x</w:t>
      </w:r>
    </w:p>
    <w:p>
      <w:pPr>
        <w:pStyle w:val="FirstParagraph"/>
      </w:pPr>
      <w:r>
        <w:t xml:space="preserve">Current Section 11.3 permits Greenfield to terminate on 60 days’ notice</w:t>
      </w:r>
      <w:r>
        <w:t xml:space="preserve"> </w:t>
      </w:r>
      <w:r>
        <w:t xml:space="preserve">if NovaTrait materially reduces Software functionality through a Minor</w:t>
      </w:r>
      <w:r>
        <w:t xml:space="preserve"> </w:t>
      </w:r>
      <w:r>
        <w:t xml:space="preserve">Update in a manner that materially impairs Greenfield’s use and fails to</w:t>
      </w:r>
      <w:r>
        <w:t xml:space="preserve"> </w:t>
      </w:r>
      <w:r>
        <w:t xml:space="preserve">restore within 30 days.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Proposal is silent on whether</w:t>
      </w:r>
      <w:r>
        <w:t xml:space="preserve"> </w:t>
      </w:r>
      <w:r>
        <w:t xml:space="preserve">this protective right carries forward to Version 5.x, even though</w:t>
      </w:r>
      <w:r>
        <w:t xml:space="preserve"> </w:t>
      </w:r>
      <w:r>
        <w:t xml:space="preserve">Section 6.1 obligates NovaTrait to deliver Minor Updates that become</w:t>
      </w:r>
      <w:r>
        <w:t xml:space="preserve"> </w:t>
      </w:r>
      <w:r>
        <w:t xml:space="preserve">part of the Software. Given the loss of source-code access (Section</w:t>
      </w:r>
      <w:r>
        <w:t xml:space="preserve"> </w:t>
      </w:r>
      <w:r>
        <w:t xml:space="preserve">7.4), Greenfield will be less able to self-remediate a functionality</w:t>
      </w:r>
      <w:r>
        <w:t xml:space="preserve"> </w:t>
      </w:r>
      <w:r>
        <w:t xml:space="preserve">reduction, making this termination right more important under 5.x.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Section 11.3 carries forward to 5.x</w:t>
      </w:r>
      <w:r>
        <w:t xml:space="preserve"> </w:t>
      </w:r>
      <w:r>
        <w:t xml:space="preserve">unchanged, and clarify that a material reduction in 5.x functionality</w:t>
      </w:r>
      <w:r>
        <w:t xml:space="preserve"> </w:t>
      </w:r>
      <w:r>
        <w:t xml:space="preserve">(including via a Minor Update) is a termination trigger.</w:t>
      </w:r>
    </w:p>
    <w:bookmarkEnd w:id="75"/>
    <w:bookmarkStart w:id="76" w:name="X8336c182bf8f26c511cff28bbe8d18c2c9f5d45"/>
    <w:p>
      <w:pPr>
        <w:pStyle w:val="Heading3"/>
      </w:pPr>
      <w:r>
        <w:t xml:space="preserve">7.16 Accepted Use Policy (Exhibit A) — carry-forward to 5.x</w:t>
      </w:r>
    </w:p>
    <w:p>
      <w:pPr>
        <w:pStyle w:val="FirstParagraph"/>
      </w:pPr>
      <w:r>
        <w:t xml:space="preserve">The current Accepted Use Policy (Exhibit A) governs authorized purposes,</w:t>
      </w:r>
      <w:r>
        <w:t xml:space="preserve"> </w:t>
      </w:r>
      <w:r>
        <w:t xml:space="preserve">prohibited uses (including the service-bureau/third-party-services</w:t>
      </w:r>
      <w:r>
        <w:t xml:space="preserve"> </w:t>
      </w:r>
      <w:r>
        <w:t xml:space="preserve">prohibition), user responsibilities, and system requirements. The</w:t>
      </w:r>
      <w:r>
        <w:t xml:space="preserve"> </w:t>
      </w:r>
      <w:r>
        <w:t xml:space="preserve">Proposal is silent on whether the AUP carries forward to Version 5.x.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AUP’s restrictions (e.g., no service-bureau use, no</w:t>
      </w:r>
      <w:r>
        <w:t xml:space="preserve"> </w:t>
      </w:r>
      <w:r>
        <w:t xml:space="preserve">sharing credentials, no installation on non-Greenfield systems) define</w:t>
      </w:r>
      <w:r>
        <w:t xml:space="preserve"> </w:t>
      </w:r>
      <w:r>
        <w:t xml:space="preserve">the scope of Greenfield’s license and the boundary of the Section 2.3</w:t>
      </w:r>
      <w:r>
        <w:t xml:space="preserve"> </w:t>
      </w:r>
      <w:r>
        <w:t xml:space="preserve">restrictions whose breach permits immediate NovaTrait termination</w:t>
      </w:r>
      <w:r>
        <w:t xml:space="preserve"> </w:t>
      </w:r>
      <w:r>
        <w:t xml:space="preserve">(Section 11.2).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AUP carries forward to</w:t>
      </w:r>
      <w:r>
        <w:t xml:space="preserve"> </w:t>
      </w:r>
      <w:r>
        <w:t xml:space="preserve">5.x (with conforming updates for cloud deployment), and that any</w:t>
      </w:r>
      <w:r>
        <w:t xml:space="preserve"> </w:t>
      </w:r>
      <w:r>
        <w:t xml:space="preserve">NovaTrait-proposed amendments (Section 7 of the AUP) remain subject to</w:t>
      </w:r>
      <w:r>
        <w:t xml:space="preserve"> </w:t>
      </w:r>
      <w:r>
        <w:t xml:space="preserve">Greenfield’s consent not to be unreasonably withheld.</w:t>
      </w:r>
    </w:p>
    <w:bookmarkEnd w:id="76"/>
    <w:bookmarkEnd w:id="77"/>
    <w:bookmarkStart w:id="95" w:name="cross-cutting-issues-all-three-licenses"/>
    <w:p>
      <w:pPr>
        <w:pStyle w:val="Heading2"/>
      </w:pPr>
      <w:r>
        <w:t xml:space="preserve">8. Cross-Cutting Issues (All Three Licenses)</w:t>
      </w:r>
    </w:p>
    <w:bookmarkStart w:id="78" w:name="Xec54d02ce484dc78c48aab9523da93c53fe256d"/>
    <w:p>
      <w:pPr>
        <w:pStyle w:val="Heading3"/>
      </w:pPr>
      <w:r>
        <w:t xml:space="preserve">8.1 Net Sales redefinition — uncommon and adverse (Licenses A &amp; B)</w:t>
      </w:r>
    </w:p>
    <w:p>
      <w:pPr>
        <w:pStyle w:val="FirstParagraph"/>
      </w:pPr>
      <w:r>
        <w:t xml:space="preserve">As detailed in Sections 5.2 and 6.3, the narrowed Net Sales definition</w:t>
      </w:r>
      <w:r>
        <w:t xml:space="preserve"> </w:t>
      </w:r>
      <w:r>
        <w:t xml:space="preserve">(removing freight, insurance, returns, and bad-debt deductions) enlarges</w:t>
      </w:r>
      <w:r>
        <w:t xml:space="preserve"> </w:t>
      </w:r>
      <w:r>
        <w:t xml:space="preserve">the royalty base by +7.2% (A) and +6.8% (B). Of six rate-based market</w:t>
      </w:r>
      <w:r>
        <w:t xml:space="preserve"> </w:t>
      </w:r>
      <w:r>
        <w:t xml:space="preserve">comparables, only one uses a modified definition, and that comp removes</w:t>
      </w:r>
      <w:r>
        <w:t xml:space="preserve"> </w:t>
      </w:r>
      <w:r>
        <w:t xml:space="preserve">returns only — none removes freight, insurance, and bad debt.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 across both licenses; this is a disguised</w:t>
      </w:r>
      <w:r>
        <w:t xml:space="preserve"> </w:t>
      </w:r>
      <w:r>
        <w:t xml:space="preserve">rate increase.</w:t>
      </w:r>
    </w:p>
    <w:bookmarkEnd w:id="78"/>
    <w:bookmarkStart w:id="79" w:name="X4d79c88557f76e3dcc0fe04b5e8eee669404a40"/>
    <w:p>
      <w:pPr>
        <w:pStyle w:val="Heading3"/>
      </w:pPr>
      <w:r>
        <w:t xml:space="preserve">8.2 Improvements ownership reversal (Licenses A &amp; B)</w:t>
      </w:r>
    </w:p>
    <w:p>
      <w:pPr>
        <w:pStyle w:val="FirstParagraph"/>
      </w:pPr>
      <w:r>
        <w:t xml:space="preserve">Both Proposals would convert Greenfield from sole owner of its own</w:t>
      </w:r>
      <w:r>
        <w:t xml:space="preserve"> </w:t>
      </w:r>
      <w:r>
        <w:t xml:space="preserve">improvements to joint ownership with a royalty-free, perpetual,</w:t>
      </w:r>
      <w:r>
        <w:t xml:space="preserve"> </w:t>
      </w:r>
      <w:r>
        <w:t xml:space="preserve">sublicensable license to NovaTrait and only a term-limited,</w:t>
      </w:r>
      <w:r>
        <w:t xml:space="preserve"> </w:t>
      </w:r>
      <w:r>
        <w:t xml:space="preserve">royalty-bearing license back (Sections 5.8, 6.7).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in both; retain sole Greenfield ownership with the existing</w:t>
      </w:r>
      <w:r>
        <w:t xml:space="preserve"> </w:t>
      </w:r>
      <w:r>
        <w:t xml:space="preserve">license-back structures.</w:t>
      </w:r>
    </w:p>
    <w:bookmarkEnd w:id="79"/>
    <w:bookmarkStart w:id="80" w:name="Xd29287e4e8e8669b2ede6558cbb94f4f90b0469"/>
    <w:p>
      <w:pPr>
        <w:pStyle w:val="Heading3"/>
      </w:pPr>
      <w:r>
        <w:t xml:space="preserve">8.3 All proposed rates/fees exceed market highs</w:t>
      </w:r>
    </w:p>
    <w:p>
      <w:pPr>
        <w:pStyle w:val="Compact"/>
        <w:numPr>
          <w:ilvl w:val="0"/>
          <w:numId w:val="1004"/>
        </w:numPr>
      </w:pPr>
      <w:r>
        <w:t xml:space="preserve">License A: 6.25% vs. market 3.5%–5.5% (above high).</w:t>
      </w:r>
    </w:p>
    <w:p>
      <w:pPr>
        <w:pStyle w:val="Compact"/>
        <w:numPr>
          <w:ilvl w:val="0"/>
          <w:numId w:val="1004"/>
        </w:numPr>
      </w:pPr>
      <w:r>
        <w:t xml:space="preserve">License B: 5.0% vs. market 3.0%–4.5% (above high).</w:t>
      </w:r>
    </w:p>
    <w:p>
      <w:pPr>
        <w:pStyle w:val="Compact"/>
        <w:numPr>
          <w:ilvl w:val="0"/>
          <w:numId w:val="1004"/>
        </w:numPr>
      </w:pPr>
      <w:r>
        <w:t xml:space="preserve">License C: ~$5.28M vs. market $2.5M–$4.0M (above high; ~65%</w:t>
      </w:r>
      <w:r>
        <w:t xml:space="preserve"> </w:t>
      </w:r>
      <w:r>
        <w:t xml:space="preserve">above comp mean).</w:t>
      </w:r>
    </w:p>
    <w:p>
      <w:pPr>
        <w:pStyle w:val="FirstParagraph"/>
      </w:pPr>
      <w:r>
        <w:t xml:space="preserve">NovaTrait’s cited</w:t>
      </w:r>
      <w:r>
        <w:t xml:space="preserve"> </w:t>
      </w:r>
      <w:r>
        <w:t xml:space="preserve">“</w:t>
      </w:r>
      <w:r>
        <w:t xml:space="preserve">Evergreen</w:t>
      </w:r>
      <w:r>
        <w:t xml:space="preserve">”</w:t>
      </w:r>
      <w:r>
        <w:t xml:space="preserve"> </w:t>
      </w:r>
      <w:r>
        <w:t xml:space="preserve">benchmark (5.5%–7.0% for gene-editing)</w:t>
      </w:r>
      <w:r>
        <w:t xml:space="preserve"> </w:t>
      </w:r>
      <w:r>
        <w:t xml:space="preserve">conflicts with Greenfield’s Clarendon/Oakvale data.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Challenge NovaTrait’s benchmark; rely on the Clarendon/Oakvale</w:t>
      </w:r>
      <w:r>
        <w:t xml:space="preserve"> </w:t>
      </w:r>
      <w:r>
        <w:t xml:space="preserve">comparables; require NovaTrait to produce and substantiate the Evergreen</w:t>
      </w:r>
      <w:r>
        <w:t xml:space="preserve"> </w:t>
      </w:r>
      <w:r>
        <w:t xml:space="preserve">report.</w:t>
      </w:r>
    </w:p>
    <w:bookmarkEnd w:id="80"/>
    <w:bookmarkStart w:id="81" w:name="term-misalignment-and-harmonization"/>
    <w:p>
      <w:pPr>
        <w:pStyle w:val="Heading3"/>
      </w:pPr>
      <w:r>
        <w:t xml:space="preserve">8.4 Term misalignment and harmonization</w:t>
      </w:r>
    </w:p>
    <w:p>
      <w:pPr>
        <w:pStyle w:val="FirstParagraph"/>
      </w:pPr>
      <w:r>
        <w:t xml:space="preserve">The proposed renewal terms differ: License A to June 30, 2030 (5 yrs);</w:t>
      </w:r>
      <w:r>
        <w:t xml:space="preserve"> </w:t>
      </w:r>
      <w:r>
        <w:t xml:space="preserve">License B to December 31, 2029 (5 yrs); License C to February 28, 2028</w:t>
      </w:r>
      <w:r>
        <w:t xml:space="preserve"> </w:t>
      </w:r>
      <w:r>
        <w:t xml:space="preserve">(3 yrs). NovaTrait offers optional harmonization (e.g., a coordinated</w:t>
      </w:r>
      <w:r>
        <w:t xml:space="preserve"> </w:t>
      </w:r>
      <w:r>
        <w:t xml:space="preserve">5-year License C at an incremental fee).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Misalignment creates</w:t>
      </w:r>
      <w:r>
        <w:t xml:space="preserve"> </w:t>
      </w:r>
      <w:r>
        <w:t xml:space="preserve">administrative complexity (NovaTrait proposes a consolidated quarterly</w:t>
      </w:r>
      <w:r>
        <w:t xml:space="preserve"> </w:t>
      </w:r>
      <w:r>
        <w:t xml:space="preserve">payment statement). For Greenfield, a shorter License A term aligned to</w:t>
      </w:r>
      <w:r>
        <w:t xml:space="preserve"> </w:t>
      </w:r>
      <w:r>
        <w:t xml:space="preserve">the ’117 expiry (March 2028) would be preferable to a 5-year term</w:t>
      </w:r>
      <w:r>
        <w:t xml:space="preserve"> </w:t>
      </w:r>
      <w:r>
        <w:t xml:space="preserve">running to 2030.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Do not harmonize upward to 5 years</w:t>
      </w:r>
      <w:r>
        <w:t xml:space="preserve"> </w:t>
      </w:r>
      <w:r>
        <w:t xml:space="preserve">for License C unless the fee is contained; consider seeking a shorter</w:t>
      </w:r>
      <w:r>
        <w:t xml:space="preserve"> </w:t>
      </w:r>
      <w:r>
        <w:t xml:space="preserve">License A initial term or a step-down (Section 5.11) in lieu of</w:t>
      </w:r>
      <w:r>
        <w:t xml:space="preserve"> </w:t>
      </w:r>
      <w:r>
        <w:t xml:space="preserve">harmonization.</w:t>
      </w:r>
    </w:p>
    <w:bookmarkEnd w:id="81"/>
    <w:bookmarkStart w:id="82" w:name="X8ad151d13891c4eeb1aa554056df9942b1538f4"/>
    <w:p>
      <w:pPr>
        <w:pStyle w:val="Heading3"/>
      </w:pPr>
      <w:r>
        <w:t xml:space="preserve">8.5 Most-favored-licensee (MFL) — discrepancy and opportunity</w:t>
      </w:r>
    </w:p>
    <w:p>
      <w:pPr>
        <w:pStyle w:val="FirstParagraph"/>
      </w:pPr>
      <w:r>
        <w:t xml:space="preserve">The Proposal (Part I, item 13; Part IV, item 3) references</w:t>
      </w:r>
      <w:r>
        <w:t xml:space="preserve"> </w:t>
      </w:r>
      <w:r>
        <w:t xml:space="preserve">“</w:t>
      </w:r>
      <w:r>
        <w:t xml:space="preserve">existing</w:t>
      </w:r>
      <w:r>
        <w:t xml:space="preserve"> </w:t>
      </w:r>
      <w:r>
        <w:t xml:space="preserve">Section 14.5 (MFL)</w:t>
      </w:r>
      <w:r>
        <w:t xml:space="preserve">”</w:t>
      </w:r>
      <w:r>
        <w:t xml:space="preserve"> </w:t>
      </w:r>
      <w:r>
        <w:t xml:space="preserve">for License A and proposes MFLs be calculated</w:t>
      </w:r>
      <w:r>
        <w:t xml:space="preserve"> </w:t>
      </w:r>
      <w:r>
        <w:t xml:space="preserve">agreement-by-agreement. As noted in Section 5.14,</w:t>
      </w:r>
      <w:r>
        <w:t xml:space="preserve"> </w:t>
      </w:r>
      <w:r>
        <w:rPr>
          <w:b/>
          <w:bCs/>
        </w:rPr>
        <w:t xml:space="preserve">License A has no</w:t>
      </w:r>
      <w:r>
        <w:rPr>
          <w:b/>
          <w:bCs/>
        </w:rPr>
        <w:t xml:space="preserve"> </w:t>
      </w:r>
      <w:r>
        <w:rPr>
          <w:b/>
          <w:bCs/>
        </w:rPr>
        <w:t xml:space="preserve">Section 14.5 and no MFL clause</w:t>
      </w:r>
      <w:r>
        <w:t xml:space="preserve">. Licenses B and C likewise contain no</w:t>
      </w:r>
      <w:r>
        <w:t xml:space="preserve"> </w:t>
      </w:r>
      <w:r>
        <w:t xml:space="preserve">MFL provisions.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NovaTrait is</w:t>
      </w:r>
      <w:r>
        <w:t xml:space="preserve"> </w:t>
      </w:r>
      <w:r>
        <w:t xml:space="preserve">“</w:t>
      </w:r>
      <w:r>
        <w:t xml:space="preserve">maintaining</w:t>
      </w:r>
      <w:r>
        <w:t xml:space="preserve">”</w:t>
      </w:r>
      <w:r>
        <w:t xml:space="preserve"> </w:t>
      </w:r>
      <w:r>
        <w:t xml:space="preserve">MFL provisions</w:t>
      </w:r>
      <w:r>
        <w:t xml:space="preserve"> </w:t>
      </w:r>
      <w:r>
        <w:t xml:space="preserve">that do not exist.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Clarify in writing; if Greenfield</w:t>
      </w:r>
      <w:r>
        <w:t xml:space="preserve"> </w:t>
      </w:r>
      <w:r>
        <w:t xml:space="preserve">desires MFL protection (which would be favorable), use this opening to</w:t>
      </w:r>
      <w:r>
        <w:t xml:space="preserve"> </w:t>
      </w:r>
      <w:r>
        <w:t xml:space="preserve">negotiate a genuine MFL clause across all three renewals, with</w:t>
      </w:r>
      <w:r>
        <w:t xml:space="preserve"> </w:t>
      </w:r>
      <w:r>
        <w:t xml:space="preserve">appropriate carve-outs (academic/non-profit; litigation settlements).</w:t>
      </w:r>
    </w:p>
    <w:bookmarkEnd w:id="82"/>
    <w:bookmarkStart w:id="83" w:name="X4382692d261fff9b11d58660321e8b1eb99e589"/>
    <w:p>
      <w:pPr>
        <w:pStyle w:val="Heading3"/>
      </w:pPr>
      <w:r>
        <w:t xml:space="preserve">8.6 Counsel misidentification in the Proposal</w:t>
      </w:r>
    </w:p>
    <w:p>
      <w:pPr>
        <w:pStyle w:val="FirstParagraph"/>
      </w:pPr>
      <w:r>
        <w:t xml:space="preserve">The Proposal cover letter states that</w:t>
      </w:r>
      <w:r>
        <w:t xml:space="preserve"> </w:t>
      </w:r>
      <w:r>
        <w:t xml:space="preserve">“</w:t>
      </w:r>
      <w:r>
        <w:t xml:space="preserve">Counsel for the Parties</w:t>
      </w:r>
      <w:r>
        <w:t xml:space="preserve"> </w:t>
      </w:r>
      <w:r>
        <w:t xml:space="preserve">(Stonebridge Harmon LLP for NovaTrait and, we understand, Bergerac</w:t>
      </w:r>
      <w:r>
        <w:t xml:space="preserve"> </w:t>
      </w:r>
      <w:r>
        <w:t xml:space="preserve">Whitlock LLP for Greenfield) have been briefed.</w:t>
      </w:r>
      <w:r>
        <w:t xml:space="preserve">”</w:t>
      </w:r>
      <w:r>
        <w:t xml:space="preserve"> </w:t>
      </w:r>
      <w:r>
        <w:t xml:space="preserve">However, the existing</w:t>
      </w:r>
      <w:r>
        <w:t xml:space="preserve"> </w:t>
      </w:r>
      <w:r>
        <w:t xml:space="preserve">License A and License C notice provisions designate</w:t>
      </w:r>
      <w:r>
        <w:t xml:space="preserve"> </w:t>
      </w:r>
      <w:r>
        <w:rPr>
          <w:b/>
          <w:bCs/>
        </w:rPr>
        <w:t xml:space="preserve">Ashworth &amp; Calder</w:t>
      </w:r>
      <w:r>
        <w:rPr>
          <w:b/>
          <w:bCs/>
        </w:rPr>
        <w:t xml:space="preserve"> </w:t>
      </w:r>
      <w:r>
        <w:rPr>
          <w:b/>
          <w:bCs/>
        </w:rPr>
        <w:t xml:space="preserve">LLP</w:t>
      </w:r>
      <w:r>
        <w:t xml:space="preserve"> </w:t>
      </w:r>
      <w:r>
        <w:t xml:space="preserve">(Victoria Chen) as Greenfield’s counsel, and the Clarendon report</w:t>
      </w:r>
      <w:r>
        <w:t xml:space="preserve"> </w:t>
      </w:r>
      <w:r>
        <w:t xml:space="preserve">(2020) was coordinated with Victoria Chen at Ashworth &amp; Calder; the</w:t>
      </w:r>
      <w:r>
        <w:t xml:space="preserve"> </w:t>
      </w:r>
      <w:r>
        <w:t xml:space="preserve">Oakvale analysis likewise references Ashworth &amp; Calder LLP.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NovaTrait has misidentified Greenfield’s outside counsel (or Greenfield</w:t>
      </w:r>
      <w:r>
        <w:t xml:space="preserve"> </w:t>
      </w:r>
      <w:r>
        <w:t xml:space="preserve">has changed counsel without updating the notice provisions).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Clarify the correct counsel of record and ensure all</w:t>
      </w:r>
      <w:r>
        <w:t xml:space="preserve"> </w:t>
      </w:r>
      <w:r>
        <w:t xml:space="preserve">formal notices and negotiations are routed through the correct firm;</w:t>
      </w:r>
      <w:r>
        <w:t xml:space="preserve"> </w:t>
      </w:r>
      <w:r>
        <w:t xml:space="preserve">update notice provisions in the renewals if counsel has changed.</w:t>
      </w:r>
    </w:p>
    <w:bookmarkEnd w:id="83"/>
    <w:bookmarkStart w:id="84" w:name="proposal-date-vs.-transmittal-date"/>
    <w:p>
      <w:pPr>
        <w:pStyle w:val="Heading3"/>
      </w:pPr>
      <w:r>
        <w:t xml:space="preserve">8.7 Proposal date vs. transmittal date</w:t>
      </w:r>
    </w:p>
    <w:p>
      <w:pPr>
        <w:pStyle w:val="FirstParagraph"/>
      </w:pPr>
      <w:r>
        <w:t xml:space="preserve">The Proposal is dated October 14, 2024, but the Oakvale analysis</w:t>
      </w:r>
      <w:r>
        <w:t xml:space="preserve"> </w:t>
      </w:r>
      <w:r>
        <w:t xml:space="preserve">references the Proposal as</w:t>
      </w:r>
      <w:r>
        <w:t xml:space="preserve"> </w:t>
      </w:r>
      <w:r>
        <w:t xml:space="preserve">“</w:t>
      </w:r>
      <w:r>
        <w:t xml:space="preserve">transmitted January 15, 2025.</w:t>
      </w:r>
      <w:r>
        <w:t xml:space="preserve">”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There may have been a delay between preparation and formal transmittal,</w:t>
      </w:r>
      <w:r>
        <w:t xml:space="preserve"> </w:t>
      </w:r>
      <w:r>
        <w:t xml:space="preserve">or a revised version.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which version of the</w:t>
      </w:r>
      <w:r>
        <w:t xml:space="preserve"> </w:t>
      </w:r>
      <w:r>
        <w:t xml:space="preserve">Proposal is operative and whether any terms changed between October 2024</w:t>
      </w:r>
      <w:r>
        <w:t xml:space="preserve"> </w:t>
      </w:r>
      <w:r>
        <w:t xml:space="preserve">and January 2025.</w:t>
      </w:r>
    </w:p>
    <w:bookmarkEnd w:id="84"/>
    <w:bookmarkStart w:id="85" w:name="aggregate-financial-impact"/>
    <w:p>
      <w:pPr>
        <w:pStyle w:val="Heading3"/>
      </w:pPr>
      <w:r>
        <w:t xml:space="preserve">8.8 Aggregate financial impact</w:t>
      </w:r>
    </w:p>
    <w:p>
      <w:pPr>
        <w:pStyle w:val="FirstParagraph"/>
      </w:pPr>
      <w:r>
        <w:t xml:space="preserve">Oakvale’s base-case projection: aggregate annual IP cost rises from</w:t>
      </w:r>
      <w:r>
        <w:t xml:space="preserve"> </w:t>
      </w:r>
      <w:r>
        <w:t xml:space="preserve">~$18.64M (4.81% of revenue) to ~$27.95M (7.22%), a +$9.31M (+49.9%)</w:t>
      </w:r>
      <w:r>
        <w:t xml:space="preserve"> </w:t>
      </w:r>
      <w:r>
        <w:t xml:space="preserve">increase; cumulative 3-year incremental cost ~$30.0M (base case),</w:t>
      </w:r>
      <w:r>
        <w:t xml:space="preserve"> </w:t>
      </w:r>
      <w:r>
        <w:t xml:space="preserve">~$30.3M (7% growth) —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t xml:space="preserve">the License B pass-through and</w:t>
      </w:r>
      <w:r>
        <w:t xml:space="preserve"> </w:t>
      </w:r>
      <w:r>
        <w:t xml:space="preserve">License C one-time costs. Including the modeled 40% License B</w:t>
      </w:r>
      <w:r>
        <w:t xml:space="preserve"> </w:t>
      </w:r>
      <w:r>
        <w:t xml:space="preserve">pass-through, the License B 5-year cumulative incremental cost alone is</w:t>
      </w:r>
      <w:r>
        <w:t xml:space="preserve"> </w:t>
      </w:r>
      <w:r>
        <w:t xml:space="preserve">~$42.3M.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Use these figures to frame the</w:t>
      </w:r>
      <w:r>
        <w:t xml:space="preserve"> </w:t>
      </w:r>
      <w:r>
        <w:t xml:space="preserve">negotiation; the aggregate increase is disproportionate to the value</w:t>
      </w:r>
      <w:r>
        <w:t xml:space="preserve"> </w:t>
      </w:r>
      <w:r>
        <w:t xml:space="preserve">received, especially given the scope narrowing (insect resistance</w:t>
      </w:r>
      <w:r>
        <w:t xml:space="preserve"> </w:t>
      </w:r>
      <w:r>
        <w:t xml:space="preserve">removal) and ownership reversals.</w:t>
      </w:r>
    </w:p>
    <w:bookmarkEnd w:id="85"/>
    <w:bookmarkStart w:id="86" w:name="dispute-resolution-divergence"/>
    <w:p>
      <w:pPr>
        <w:pStyle w:val="Heading3"/>
      </w:pPr>
      <w:r>
        <w:t xml:space="preserve">8.9 Dispute-resolution divergence</w:t>
      </w:r>
    </w:p>
    <w:p>
      <w:pPr>
        <w:pStyle w:val="FirstParagraph"/>
      </w:pPr>
      <w:r>
        <w:t xml:space="preserve">Licenses A and B provide for court litigation (Boston/Suffolk County,</w:t>
      </w:r>
      <w:r>
        <w:t xml:space="preserve"> </w:t>
      </w:r>
      <w:r>
        <w:t xml:space="preserve">MA); License C provides for</w:t>
      </w:r>
      <w:r>
        <w:t xml:space="preserve"> </w:t>
      </w:r>
      <w:r>
        <w:rPr>
          <w:b/>
          <w:bCs/>
        </w:rPr>
        <w:t xml:space="preserve">binding AAA arbitration</w:t>
      </w:r>
      <w:r>
        <w:t xml:space="preserve"> </w:t>
      </w:r>
      <w:r>
        <w:t xml:space="preserve">(3 arbitrators,</w:t>
      </w:r>
      <w:r>
        <w:t xml:space="preserve"> </w:t>
      </w:r>
      <w:r>
        <w:t xml:space="preserve">Boston). The Prairielands Sublicense provides for</w:t>
      </w:r>
      <w:r>
        <w:t xml:space="preserve"> </w:t>
      </w:r>
      <w:r>
        <w:rPr>
          <w:b/>
          <w:bCs/>
        </w:rPr>
        <w:t xml:space="preserve">Delaware law and AAA</w:t>
      </w:r>
      <w:r>
        <w:rPr>
          <w:b/>
          <w:bCs/>
        </w:rPr>
        <w:t xml:space="preserve"> </w:t>
      </w:r>
      <w:r>
        <w:rPr>
          <w:b/>
          <w:bCs/>
        </w:rPr>
        <w:t xml:space="preserve">arbitration in Raleigh</w:t>
      </w:r>
      <w:r>
        <w:t xml:space="preserve">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A consolidated renewal could create</w:t>
      </w:r>
      <w:r>
        <w:t xml:space="preserve"> </w:t>
      </w:r>
      <w:r>
        <w:t xml:space="preserve">inconsistent dispute-resolution paths.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Consider</w:t>
      </w:r>
      <w:r>
        <w:t xml:space="preserve"> </w:t>
      </w:r>
      <w:r>
        <w:t xml:space="preserve">whether to harmonize (arbitration may be preferable for</w:t>
      </w:r>
      <w:r>
        <w:t xml:space="preserve"> </w:t>
      </w:r>
      <w:r>
        <w:t xml:space="preserve">confidentiality), but do not accept any change that disadvantages</w:t>
      </w:r>
      <w:r>
        <w:t xml:space="preserve"> </w:t>
      </w:r>
      <w:r>
        <w:t xml:space="preserve">Greenfield’s forum.</w:t>
      </w:r>
    </w:p>
    <w:bookmarkEnd w:id="86"/>
    <w:bookmarkStart w:id="87" w:name="X4227987ec041171bd40eccdda720299f9ae594c"/>
    <w:p>
      <w:pPr>
        <w:pStyle w:val="Heading3"/>
      </w:pPr>
      <w:r>
        <w:t xml:space="preserve">8.10 Insurance and indemnity — confirm carry-forward</w:t>
      </w:r>
    </w:p>
    <w:p>
      <w:pPr>
        <w:pStyle w:val="FirstParagraph"/>
      </w:pPr>
      <w:r>
        <w:t xml:space="preserve">License A requires $10M/$20M coverage; License B requires $5M/$10M</w:t>
      </w:r>
      <w:r>
        <w:t xml:space="preserve"> </w:t>
      </w:r>
      <w:r>
        <w:t xml:space="preserve">GL plus $10M/$20M product; License C contains mutual indemnities and a</w:t>
      </w:r>
      <w:r>
        <w:t xml:space="preserve"> </w:t>
      </w:r>
      <w:r>
        <w:t xml:space="preserve">12-month-fee liability cap. The Proposals do not change these.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all insurance limits, indemnities, and</w:t>
      </w:r>
      <w:r>
        <w:t xml:space="preserve"> </w:t>
      </w:r>
      <w:r>
        <w:t xml:space="preserve">liability caps carry forward unchanged; verify the License C cap formula</w:t>
      </w:r>
      <w:r>
        <w:t xml:space="preserve"> </w:t>
      </w:r>
      <w:r>
        <w:t xml:space="preserve">tracks the new fee (Section 7.11).</w:t>
      </w:r>
    </w:p>
    <w:bookmarkEnd w:id="87"/>
    <w:bookmarkStart w:id="88" w:name="X24f5a77d558a4bcba4d39d2c53efb39f03790f9"/>
    <w:p>
      <w:pPr>
        <w:pStyle w:val="Heading3"/>
      </w:pPr>
      <w:r>
        <w:t xml:space="preserve">8.11 Termination-for-convenience rights differ across licenses</w:t>
      </w:r>
    </w:p>
    <w:p>
      <w:pPr>
        <w:pStyle w:val="FirstParagraph"/>
      </w:pPr>
      <w:r>
        <w:t xml:space="preserve">The three licenses give Greenfield very different exit flexibility:</w:t>
      </w:r>
      <w:r>
        <w:t xml:space="preserve"> </w:t>
      </w:r>
      <w:r>
        <w:t xml:space="preserve">License A Section 15.3 permits termination for convenience on</w:t>
      </w:r>
      <w:r>
        <w:t xml:space="preserve"> </w:t>
      </w:r>
      <w:r>
        <w:rPr>
          <w:b/>
          <w:bCs/>
        </w:rPr>
        <w:t xml:space="preserve">365</w:t>
      </w:r>
      <w:r>
        <w:rPr>
          <w:b/>
          <w:bCs/>
        </w:rPr>
        <w:t xml:space="preserve"> </w:t>
      </w:r>
      <w:r>
        <w:rPr>
          <w:b/>
          <w:bCs/>
        </w:rPr>
        <w:t xml:space="preserve">days’</w:t>
      </w:r>
      <w:r>
        <w:t xml:space="preserve"> </w:t>
      </w:r>
      <w:r>
        <w:t xml:space="preserve">notice; License B Section 12.5 permits it on</w:t>
      </w:r>
      <w:r>
        <w:t xml:space="preserve"> </w:t>
      </w:r>
      <w:r>
        <w:rPr>
          <w:b/>
          <w:bCs/>
        </w:rPr>
        <w:t xml:space="preserve">180 days’</w:t>
      </w:r>
      <w:r>
        <w:t xml:space="preserve"> </w:t>
      </w:r>
      <w:r>
        <w:t xml:space="preserve">notice; License C has</w:t>
      </w:r>
      <w:r>
        <w:t xml:space="preserve"> </w:t>
      </w:r>
      <w:r>
        <w:rPr>
          <w:b/>
          <w:bCs/>
        </w:rPr>
        <w:t xml:space="preserve">no convenience-termination right</w:t>
      </w:r>
      <w:r>
        <w:t xml:space="preserve"> </w:t>
      </w:r>
      <w:r>
        <w:t xml:space="preserve">(only for</w:t>
      </w:r>
      <w:r>
        <w:t xml:space="preserve"> </w:t>
      </w:r>
      <w:r>
        <w:t xml:space="preserve">cause under Section 11.1, by NovaTrait under 11.2, or by Greenfield for</w:t>
      </w:r>
      <w:r>
        <w:t xml:space="preserve"> </w:t>
      </w:r>
      <w:r>
        <w:t xml:space="preserve">functionality reduction under 11.3).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Proposals do not</w:t>
      </w:r>
      <w:r>
        <w:t xml:space="preserve"> </w:t>
      </w:r>
      <w:r>
        <w:t xml:space="preserve">address these provisions. Greenfield’s ability to exit an unfavorable</w:t>
      </w:r>
      <w:r>
        <w:t xml:space="preserve"> </w:t>
      </w:r>
      <w:r>
        <w:t xml:space="preserve">renewal varies materially by license, and License C locks Greenfield in</w:t>
      </w:r>
      <w:r>
        <w:t xml:space="preserve"> </w:t>
      </w:r>
      <w:r>
        <w:t xml:space="preserve">absent a NovaTrait breach.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Preserve the convenience</w:t>
      </w:r>
      <w:r>
        <w:t xml:space="preserve"> </w:t>
      </w:r>
      <w:r>
        <w:t xml:space="preserve">rights in Licenses A and B; consider seeking a convenience-termination</w:t>
      </w:r>
      <w:r>
        <w:t xml:space="preserve"> </w:t>
      </w:r>
      <w:r>
        <w:t xml:space="preserve">right in License C (or at least a fee step-down/exit ramp) given its</w:t>
      </w:r>
      <w:r>
        <w:t xml:space="preserve"> </w:t>
      </w:r>
      <w:r>
        <w:t xml:space="preserve">substitutability.</w:t>
      </w:r>
    </w:p>
    <w:bookmarkEnd w:id="88"/>
    <w:bookmarkStart w:id="89" w:name="X14a747e0443015c761e2581b20693e445686f14"/>
    <w:p>
      <w:pPr>
        <w:pStyle w:val="Heading3"/>
      </w:pPr>
      <w:r>
        <w:t xml:space="preserve">8.12 Sell-off / wind-down rights differ across licenses</w:t>
      </w:r>
    </w:p>
    <w:p>
      <w:pPr>
        <w:pStyle w:val="FirstParagraph"/>
      </w:pPr>
      <w:r>
        <w:t xml:space="preserve">Post-expiration/termination sell-off rights also differ: License A</w:t>
      </w:r>
      <w:r>
        <w:t xml:space="preserve"> </w:t>
      </w:r>
      <w:r>
        <w:t xml:space="preserve">Section 15.5(b) grants a</w:t>
      </w:r>
      <w:r>
        <w:t xml:space="preserve"> </w:t>
      </w:r>
      <w:r>
        <w:rPr>
          <w:b/>
          <w:bCs/>
        </w:rPr>
        <w:t xml:space="preserve">12-month</w:t>
      </w:r>
      <w:r>
        <w:t xml:space="preserve"> </w:t>
      </w:r>
      <w:r>
        <w:t xml:space="preserve">sell-off period for existing</w:t>
      </w:r>
      <w:r>
        <w:t xml:space="preserve"> </w:t>
      </w:r>
      <w:r>
        <w:t xml:space="preserve">inventory; License B Section 12.8 grants a</w:t>
      </w:r>
      <w:r>
        <w:t xml:space="preserve"> </w:t>
      </w:r>
      <w:r>
        <w:rPr>
          <w:b/>
          <w:bCs/>
        </w:rPr>
        <w:t xml:space="preserve">180-day</w:t>
      </w:r>
      <w:r>
        <w:t xml:space="preserve"> </w:t>
      </w:r>
      <w:r>
        <w:t xml:space="preserve">sell-off (after</w:t>
      </w:r>
      <w:r>
        <w:t xml:space="preserve"> </w:t>
      </w:r>
      <w:r>
        <w:t xml:space="preserve">any standstill); License C Section 11.4(b) grants</w:t>
      </w:r>
      <w:r>
        <w:t xml:space="preserve"> </w:t>
      </w:r>
      <w:r>
        <w:rPr>
          <w:b/>
          <w:bCs/>
        </w:rPr>
        <w:t xml:space="preserve">no sell-off</w:t>
      </w:r>
      <w:r>
        <w:t xml:space="preserve"> </w:t>
      </w:r>
      <w:r>
        <w:t xml:space="preserve">—</w:t>
      </w:r>
      <w:r>
        <w:t xml:space="preserve"> </w:t>
      </w:r>
      <w:r>
        <w:t xml:space="preserve">Greenfield must cease use and return/destroy all copies within 30 days</w:t>
      </w:r>
      <w:r>
        <w:t xml:space="preserve"> </w:t>
      </w:r>
      <w:r>
        <w:t xml:space="preserve">(though Section 11.4(e) permits retaining Derivative Data/Input Data for</w:t>
      </w:r>
      <w:r>
        <w:t xml:space="preserve"> </w:t>
      </w:r>
      <w:r>
        <w:t xml:space="preserve">continued operations).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asymmetry matters at renewal</w:t>
      </w:r>
      <w:r>
        <w:t xml:space="preserve"> </w:t>
      </w:r>
      <w:r>
        <w:t xml:space="preserve">failure: if License A or B is not renewed, Greenfield can liquidate</w:t>
      </w:r>
      <w:r>
        <w:t xml:space="preserve"> </w:t>
      </w:r>
      <w:r>
        <w:t xml:space="preserve">inventory; if License C is not renewed, Greenfield must stop using the</w:t>
      </w:r>
      <w:r>
        <w:t xml:space="preserve"> </w:t>
      </w:r>
      <w:r>
        <w:t xml:space="preserve">software almost immediately, disrupting the CRISPR-Ag and TraitForge</w:t>
      </w:r>
      <w:r>
        <w:t xml:space="preserve"> </w:t>
      </w:r>
      <w:r>
        <w:t xml:space="preserve">workflows that depend on it (Section 7.9).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</w:t>
      </w:r>
      <w:r>
        <w:t xml:space="preserve"> </w:t>
      </w:r>
      <w:r>
        <w:t xml:space="preserve">the 12-month (A) and 180-day (B) sell-offs carry forward; for License C,</w:t>
      </w:r>
      <w:r>
        <w:t xml:space="preserve"> </w:t>
      </w:r>
      <w:r>
        <w:t xml:space="preserve">negotiate a holdover/transition period (e.g., 6–12 months) to permit</w:t>
      </w:r>
      <w:r>
        <w:t xml:space="preserve"> </w:t>
      </w:r>
      <w:r>
        <w:t xml:space="preserve">orderly migration to an alternative platform if renewal fails.</w:t>
      </w:r>
    </w:p>
    <w:bookmarkEnd w:id="89"/>
    <w:bookmarkStart w:id="90" w:name="Xc65a8429dc6dc3976ec779fe7037536e6befbbc"/>
    <w:p>
      <w:pPr>
        <w:pStyle w:val="Heading3"/>
      </w:pPr>
      <w:r>
        <w:t xml:space="preserve">8.13 Patent-enforcement rights differ across licenses (A vs. B)</w:t>
      </w:r>
    </w:p>
    <w:p>
      <w:pPr>
        <w:pStyle w:val="FirstParagraph"/>
      </w:pPr>
      <w:r>
        <w:t xml:space="preserve">License A Section 8.5 and License B Article XIII both give NovaTrait the</w:t>
      </w:r>
      <w:r>
        <w:t xml:space="preserve"> </w:t>
      </w:r>
      <w:r>
        <w:t xml:space="preserve">first enforcement right against third-party infringers, with Greenfield</w:t>
      </w:r>
      <w:r>
        <w:t xml:space="preserve"> </w:t>
      </w:r>
      <w:r>
        <w:t xml:space="preserve">step-in and equal sharing of net recoveries (after the enforcing party’s</w:t>
      </w:r>
      <w:r>
        <w:t xml:space="preserve"> </w:t>
      </w:r>
      <w:r>
        <w:t xml:space="preserve">costs) — but the NovaTrait action windows differ: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under</w:t>
      </w:r>
      <w:r>
        <w:t xml:space="preserve"> </w:t>
      </w:r>
      <w:r>
        <w:t xml:space="preserve">License A versus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(or written notice of no intent) under</w:t>
      </w:r>
      <w:r>
        <w:t xml:space="preserve"> </w:t>
      </w:r>
      <w:r>
        <w:t xml:space="preserve">License B. License C has no patent-enforcement provision (it is</w:t>
      </w:r>
      <w:r>
        <w:t xml:space="preserve"> </w:t>
      </w:r>
      <w:r>
        <w:t xml:space="preserve">copyright/trade-secret software; infringement is handled via the Section</w:t>
      </w:r>
      <w:r>
        <w:t xml:space="preserve"> </w:t>
      </w:r>
      <w:r>
        <w:t xml:space="preserve">12.3 indemnity).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Proposals do not address enforcement.</w:t>
      </w:r>
      <w:r>
        <w:t xml:space="preserve"> </w:t>
      </w:r>
      <w:r>
        <w:t xml:space="preserve">The shorter 90-day window in License A is more favorable to Greenfield;</w:t>
      </w:r>
      <w:r>
        <w:t xml:space="preserve"> </w:t>
      </w:r>
      <w:r>
        <w:t xml:space="preserve">License B’s 120-day window should not be lengthened.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enforcement provisions carry forward unchanged; resist any</w:t>
      </w:r>
      <w:r>
        <w:t xml:space="preserve"> </w:t>
      </w:r>
      <w:r>
        <w:t xml:space="preserve">expansion of NovaTrait’s action window or any reduction of Greenfield’s</w:t>
      </w:r>
      <w:r>
        <w:t xml:space="preserve"> </w:t>
      </w:r>
      <w:r>
        <w:t xml:space="preserve">step-in or recovery-share rights.</w:t>
      </w:r>
    </w:p>
    <w:bookmarkEnd w:id="90"/>
    <w:bookmarkStart w:id="91" w:name="currency-conversion-methodologies-differ"/>
    <w:p>
      <w:pPr>
        <w:pStyle w:val="Heading3"/>
      </w:pPr>
      <w:r>
        <w:t xml:space="preserve">8.14 Currency-conversion methodologies differ</w:t>
      </w:r>
    </w:p>
    <w:p>
      <w:pPr>
        <w:pStyle w:val="FirstParagraph"/>
      </w:pPr>
      <w:r>
        <w:t xml:space="preserve">The licenses use three different currency-conversion conventions for</w:t>
      </w:r>
      <w:r>
        <w:t xml:space="preserve"> </w:t>
      </w:r>
      <w:r>
        <w:t xml:space="preserve">non-USD sales: License A Section 7.4 uses the</w:t>
      </w:r>
      <w:r>
        <w:t xml:space="preserve"> </w:t>
      </w:r>
      <w:r>
        <w:rPr>
          <w:b/>
          <w:bCs/>
        </w:rPr>
        <w:t xml:space="preserve">average of the daily</w:t>
      </w:r>
      <w:r>
        <w:rPr>
          <w:b/>
          <w:bCs/>
        </w:rPr>
        <w:t xml:space="preserve"> </w:t>
      </w:r>
      <w:r>
        <w:rPr>
          <w:b/>
          <w:bCs/>
        </w:rPr>
        <w:t xml:space="preserve">closing exchange rates published by The Wall Street Journal</w:t>
      </w:r>
      <w:r>
        <w:t xml:space="preserve"> </w:t>
      </w:r>
      <w:r>
        <w:t xml:space="preserve">for the</w:t>
      </w:r>
      <w:r>
        <w:t xml:space="preserve"> </w:t>
      </w:r>
      <w:r>
        <w:t xml:space="preserve">quarter; License B Section 4.4 uses the</w:t>
      </w:r>
      <w:r>
        <w:t xml:space="preserve"> </w:t>
      </w:r>
      <w:r>
        <w:rPr>
          <w:b/>
          <w:bCs/>
        </w:rPr>
        <w:t xml:space="preserve">average exchange rate</w:t>
      </w:r>
      <w:r>
        <w:rPr>
          <w:b/>
          <w:bCs/>
        </w:rPr>
        <w:t xml:space="preserve"> </w:t>
      </w:r>
      <w:r>
        <w:rPr>
          <w:b/>
          <w:bCs/>
        </w:rPr>
        <w:t xml:space="preserve">published by the Federal Reserve Board</w:t>
      </w:r>
      <w:r>
        <w:t xml:space="preserve"> </w:t>
      </w:r>
      <w:r>
        <w:t xml:space="preserve">for the quarter; the</w:t>
      </w:r>
      <w:r>
        <w:t xml:space="preserve"> </w:t>
      </w:r>
      <w:r>
        <w:t xml:space="preserve">Prairielands Sublicense Section 3.3 uses the</w:t>
      </w:r>
      <w:r>
        <w:t xml:space="preserve"> </w:t>
      </w:r>
      <w:r>
        <w:rPr>
          <w:b/>
          <w:bCs/>
        </w:rPr>
        <w:t xml:space="preserve">WSJ closing mid-market</w:t>
      </w:r>
      <w:r>
        <w:rPr>
          <w:b/>
          <w:bCs/>
        </w:rPr>
        <w:t xml:space="preserve"> </w:t>
      </w:r>
      <w:r>
        <w:rPr>
          <w:b/>
          <w:bCs/>
        </w:rPr>
        <w:t xml:space="preserve">rate on the last business day of the quarter</w:t>
      </w:r>
      <w:r>
        <w:t xml:space="preserve">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t xml:space="preserve">redefined-Net-Sales proposals (Sections 5.2, 6.3) enlarge the base on</w:t>
      </w:r>
      <w:r>
        <w:t xml:space="preserve"> </w:t>
      </w:r>
      <w:r>
        <w:t xml:space="preserve">which these conversions operate, so the choice of conversion method has</w:t>
      </w:r>
      <w:r>
        <w:t xml:space="preserve"> </w:t>
      </w:r>
      <w:r>
        <w:t xml:space="preserve">a larger dollar effect. The differing methods also create</w:t>
      </w:r>
      <w:r>
        <w:t xml:space="preserve"> </w:t>
      </w:r>
      <w:r>
        <w:t xml:space="preserve">reconciliation complexity across the licenses and the sublicense.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existing conversion methods carry</w:t>
      </w:r>
      <w:r>
        <w:t xml:space="preserve"> </w:t>
      </w:r>
      <w:r>
        <w:t xml:space="preserve">forward (do not accept a less favorable single method); flag the</w:t>
      </w:r>
      <w:r>
        <w:t xml:space="preserve"> </w:t>
      </w:r>
      <w:r>
        <w:t xml:space="preserve">inconsistency for administrative reconciliation if NovaTrait proposes a</w:t>
      </w:r>
      <w:r>
        <w:t xml:space="preserve"> </w:t>
      </w:r>
      <w:r>
        <w:t xml:space="preserve">consolidated payment statement (Section 8.4).</w:t>
      </w:r>
    </w:p>
    <w:bookmarkEnd w:id="91"/>
    <w:bookmarkStart w:id="92" w:name="Xd9812b254bc7d6d3a4b0836f0d81e33fb4aca22"/>
    <w:p>
      <w:pPr>
        <w:pStyle w:val="Heading3"/>
      </w:pPr>
      <w:r>
        <w:t xml:space="preserve">8.15 Tax treatment differs — License C</w:t>
      </w:r>
      <w:r>
        <w:t xml:space="preserve"> </w:t>
      </w:r>
      <w:r>
        <w:t xml:space="preserve">“</w:t>
      </w:r>
      <w:r>
        <w:t xml:space="preserve">gross-up</w:t>
      </w:r>
      <w:r>
        <w:t xml:space="preserve">”</w:t>
      </w:r>
      <w:r>
        <w:t xml:space="preserve"> </w:t>
      </w:r>
      <w:r>
        <w:t xml:space="preserve">is more onerous</w:t>
      </w:r>
    </w:p>
    <w:p>
      <w:pPr>
        <w:pStyle w:val="FirstParagraph"/>
      </w:pPr>
      <w:r>
        <w:t xml:space="preserve">Licenses A (Section 7.5) and B (Section 4.6) require the parties to</w:t>
      </w:r>
      <w:r>
        <w:t xml:space="preserve"> </w:t>
      </w:r>
      <w:r>
        <w:rPr>
          <w:b/>
          <w:bCs/>
        </w:rPr>
        <w:t xml:space="preserve">cooperate in good faith to minimize</w:t>
      </w:r>
      <w:r>
        <w:t xml:space="preserve"> </w:t>
      </w:r>
      <w:r>
        <w:t xml:space="preserve">withholding taxes to the extent</w:t>
      </w:r>
      <w:r>
        <w:t xml:space="preserve"> </w:t>
      </w:r>
      <w:r>
        <w:t xml:space="preserve">permitted by treaty/law, with Greenfield deducting/withholding and</w:t>
      </w:r>
      <w:r>
        <w:t xml:space="preserve"> </w:t>
      </w:r>
      <w:r>
        <w:t xml:space="preserve">remitting as required. License C Section 4.4 is materially more onerous:</w:t>
      </w:r>
      <w:r>
        <w:t xml:space="preserve"> </w:t>
      </w:r>
      <w:r>
        <w:t xml:space="preserve">Greenfield must</w:t>
      </w:r>
      <w:r>
        <w:t xml:space="preserve"> </w:t>
      </w:r>
      <w:r>
        <w:rPr>
          <w:b/>
          <w:bCs/>
        </w:rPr>
        <w:t xml:space="preserve">gross up</w:t>
      </w:r>
      <w:r>
        <w:t xml:space="preserve"> </w:t>
      </w:r>
      <w:r>
        <w:t xml:space="preserve">payments so that NovaTrait receives the</w:t>
      </w:r>
      <w:r>
        <w:t xml:space="preserve"> </w:t>
      </w:r>
      <w:r>
        <w:t xml:space="preserve">full License Fee without reduction for any withholding taxes (Greenfield</w:t>
      </w:r>
      <w:r>
        <w:t xml:space="preserve"> </w:t>
      </w:r>
      <w:r>
        <w:t xml:space="preserve">bears the withholding cost entirely).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If License C fees rise</w:t>
      </w:r>
      <w:r>
        <w:t xml:space="preserve"> </w:t>
      </w:r>
      <w:r>
        <w:t xml:space="preserve">to ~$5.28M, the gross-up obligation scales proportionally and could</w:t>
      </w:r>
      <w:r>
        <w:t xml:space="preserve"> </w:t>
      </w:r>
      <w:r>
        <w:t xml:space="preserve">add a meaningful tax cost on top of the fee increase, particularly for</w:t>
      </w:r>
      <w:r>
        <w:t xml:space="preserve"> </w:t>
      </w:r>
      <w:r>
        <w:t xml:space="preserve">any non-US payment flows.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 retaining the</w:t>
      </w:r>
      <w:r>
        <w:t xml:space="preserve"> </w:t>
      </w:r>
      <w:r>
        <w:t xml:space="preserve">gross-up at the higher fee; seek to conform License C to the</w:t>
      </w:r>
      <w:r>
        <w:t xml:space="preserve"> </w:t>
      </w:r>
      <w:r>
        <w:t xml:space="preserve">cooperate-to-minimize standard used in Licenses A and B, or at minimum</w:t>
      </w:r>
      <w:r>
        <w:t xml:space="preserve"> </w:t>
      </w:r>
      <w:r>
        <w:t xml:space="preserve">cap the gross-up exposure.</w:t>
      </w:r>
    </w:p>
    <w:bookmarkEnd w:id="92"/>
    <w:bookmarkStart w:id="93" w:name="Xba8759ecfd9d0ddb64c1b7eb6466f58eb9fd51c"/>
    <w:p>
      <w:pPr>
        <w:pStyle w:val="Heading3"/>
      </w:pPr>
      <w:r>
        <w:t xml:space="preserve">8.16 No new upfront payment proposed — favorable</w:t>
      </w:r>
    </w:p>
    <w:p>
      <w:pPr>
        <w:pStyle w:val="FirstParagraph"/>
      </w:pPr>
      <w:r>
        <w:t xml:space="preserve">License A Section 7.7 required a $2,500,000 non-refundable,</w:t>
      </w:r>
      <w:r>
        <w:t xml:space="preserve"> </w:t>
      </w:r>
      <w:r>
        <w:t xml:space="preserve">non-creditable upfront license fee within 30 days of the 2015 Effective</w:t>
      </w:r>
      <w:r>
        <w:t xml:space="preserve"> </w:t>
      </w:r>
      <w:r>
        <w:t xml:space="preserve">Date (already paid). The Proposal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seek any new upfront fee</w:t>
      </w:r>
      <w:r>
        <w:t xml:space="preserve"> </w:t>
      </w:r>
      <w:r>
        <w:t xml:space="preserve">for any of the three renewals.</w:t>
      </w:r>
      <w:r>
        <w:t xml:space="preserve"> </w:t>
      </w:r>
      <w:r>
        <w:rPr>
          <w:b/>
          <w:bCs/>
        </w:rPr>
        <w:t xml:space="preserve">Issue/Assessment:</w:t>
      </w:r>
      <w:r>
        <w:t xml:space="preserve"> </w:t>
      </w:r>
      <w:r>
        <w:t xml:space="preserve">This is favorable</w:t>
      </w:r>
      <w:r>
        <w:t xml:space="preserve"> </w:t>
      </w:r>
      <w:r>
        <w:t xml:space="preserve">to Greenfield and should be preserved — do not concede a new upfront or</w:t>
      </w:r>
      <w:r>
        <w:t xml:space="preserve"> </w:t>
      </w:r>
      <w:r>
        <w:t xml:space="preserve">“</w:t>
      </w:r>
      <w:r>
        <w:t xml:space="preserve">renewal fee</w:t>
      </w:r>
      <w:r>
        <w:t xml:space="preserve">”</w:t>
      </w:r>
      <w:r>
        <w:t xml:space="preserve"> </w:t>
      </w:r>
      <w:r>
        <w:t xml:space="preserve">in exchange for other concessions unless the trade is</w:t>
      </w:r>
      <w:r>
        <w:t xml:space="preserve"> </w:t>
      </w:r>
      <w:r>
        <w:t xml:space="preserve">clearly net-positive.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in writing that no</w:t>
      </w:r>
      <w:r>
        <w:t xml:space="preserve"> </w:t>
      </w:r>
      <w:r>
        <w:t xml:space="preserve">upfront/renewal fee is due; treat any later NovaTrait request for an</w:t>
      </w:r>
      <w:r>
        <w:t xml:space="preserve"> </w:t>
      </w:r>
      <w:r>
        <w:t xml:space="preserve">upfront as a new demand to be evaluated against the overall package.</w:t>
      </w:r>
    </w:p>
    <w:bookmarkEnd w:id="93"/>
    <w:bookmarkStart w:id="94" w:name="relative-party-size-and-leverage-context"/>
    <w:p>
      <w:pPr>
        <w:pStyle w:val="Heading3"/>
      </w:pPr>
      <w:r>
        <w:t xml:space="preserve">8.17 Relative party size and leverage context</w:t>
      </w:r>
    </w:p>
    <w:p>
      <w:pPr>
        <w:pStyle w:val="FirstParagraph"/>
      </w:pPr>
      <w:r>
        <w:t xml:space="preserve">Per the Oakvale assumptions, NovaTrait’s FY 2024 revenue is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$1.24 billion</w:t>
      </w:r>
      <w:r>
        <w:t xml:space="preserve"> </w:t>
      </w:r>
      <w:r>
        <w:t xml:space="preserve">versus Greenfield’s</w:t>
      </w:r>
      <w:r>
        <w:t xml:space="preserve"> </w:t>
      </w:r>
      <w:r>
        <w:rPr>
          <w:b/>
          <w:bCs/>
        </w:rPr>
        <w:t xml:space="preserve">$387.2 million</w:t>
      </w:r>
      <w:r>
        <w:t xml:space="preserve"> </w:t>
      </w:r>
      <w:r>
        <w:t xml:space="preserve">— i.e., NovaTrait is roughly three times Greenfield’s size and has</w:t>
      </w:r>
      <w:r>
        <w:t xml:space="preserve"> </w:t>
      </w:r>
      <w:r>
        <w:t xml:space="preserve">correspondingly greater litigation, prosecution, and development</w:t>
      </w:r>
      <w:r>
        <w:t xml:space="preserve"> </w:t>
      </w:r>
      <w:r>
        <w:t xml:space="preserve">resources.</w:t>
      </w:r>
      <w:r>
        <w:t xml:space="preserve"> </w:t>
      </w:r>
      <w:r>
        <w:rPr>
          <w:b/>
          <w:bCs/>
        </w:rPr>
        <w:t xml:space="preserve">Issue/Assessment:</w:t>
      </w:r>
      <w:r>
        <w:t xml:space="preserve"> </w:t>
      </w:r>
      <w:r>
        <w:t xml:space="preserve">This size asymmetry bears on leverage:</w:t>
      </w:r>
      <w:r>
        <w:t xml:space="preserve"> </w:t>
      </w:r>
      <w:r>
        <w:t xml:space="preserve">NovaTrait can absorb a negotiation impasse more readily than Greenfield,</w:t>
      </w:r>
      <w:r>
        <w:t xml:space="preserve"> </w:t>
      </w:r>
      <w:r>
        <w:t xml:space="preserve">particularly on License B (irreplaceable) where a termination would</w:t>
      </w:r>
      <w:r>
        <w:t xml:space="preserve"> </w:t>
      </w:r>
      <w:r>
        <w:t xml:space="preserve">cripple Greenfield’s TraitForge-dependent product lines and the</w:t>
      </w:r>
      <w:r>
        <w:t xml:space="preserve"> </w:t>
      </w:r>
      <w:r>
        <w:t xml:space="preserve">Prairielands sublicense while NovaTrait simply loses one licensee.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Factor the asymmetry into timing strategy — secure</w:t>
      </w:r>
      <w:r>
        <w:t xml:space="preserve"> </w:t>
      </w:r>
      <w:r>
        <w:t xml:space="preserve">the License B standstill extension and renewal early (Section 6.1) and</w:t>
      </w:r>
      <w:r>
        <w:t xml:space="preserve"> </w:t>
      </w:r>
      <w:r>
        <w:t xml:space="preserve">avoid a game-of-chicken on the irreplaceable license; concentrate</w:t>
      </w:r>
      <w:r>
        <w:t xml:space="preserve"> </w:t>
      </w:r>
      <w:r>
        <w:t xml:space="preserve">hardball leverage on License C (substitutable) and on the License A</w:t>
      </w:r>
      <w:r>
        <w:t xml:space="preserve"> </w:t>
      </w:r>
      <w:r>
        <w:t xml:space="preserve">rate/step-down (where the ’117 expiry weakens NovaTrait’s hand over</w:t>
      </w:r>
      <w:r>
        <w:t xml:space="preserve"> </w:t>
      </w:r>
      <w:r>
        <w:t xml:space="preserve">time).</w:t>
      </w:r>
    </w:p>
    <w:bookmarkEnd w:id="94"/>
    <w:bookmarkEnd w:id="95"/>
    <w:bookmarkStart w:id="102" w:name="X920862ec6947ec51d9a777d3930d892df57ba01"/>
    <w:p>
      <w:pPr>
        <w:pStyle w:val="Heading2"/>
      </w:pPr>
      <w:r>
        <w:t xml:space="preserve">9. Prairielands Sublicense — Renewal Implications</w:t>
      </w:r>
    </w:p>
    <w:bookmarkStart w:id="96" w:name="Xf19003c8c5bfe25d76987eb7721c54a42743502"/>
    <w:p>
      <w:pPr>
        <w:pStyle w:val="Heading3"/>
      </w:pPr>
      <w:r>
        <w:t xml:space="preserve">9.1 Co-terminus structure and auto-termination risk</w:t>
      </w:r>
    </w:p>
    <w:p>
      <w:pPr>
        <w:pStyle w:val="FirstParagraph"/>
      </w:pPr>
      <w:r>
        <w:t xml:space="preserve">The Prairielands Sublicense (Section 7.1) is expressly</w:t>
      </w:r>
      <w:r>
        <w:t xml:space="preserve"> </w:t>
      </w:r>
      <w:r>
        <w:rPr>
          <w:b/>
          <w:bCs/>
        </w:rPr>
        <w:t xml:space="preserve">co-terminus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Master License (License B)</w:t>
      </w:r>
      <w:r>
        <w:t xml:space="preserve"> </w:t>
      </w:r>
      <w:r>
        <w:t xml:space="preserve">and expires December 31, 2024;</w:t>
      </w:r>
      <w:r>
        <w:t xml:space="preserve"> </w:t>
      </w:r>
      <w:r>
        <w:t xml:space="preserve">Section 7.4 provides that the sublicense</w:t>
      </w:r>
      <w:r>
        <w:t xml:space="preserve"> </w:t>
      </w:r>
      <w:r>
        <w:rPr>
          <w:b/>
          <w:bCs/>
        </w:rPr>
        <w:t xml:space="preserve">automatically terminates upon</w:t>
      </w:r>
      <w:r>
        <w:rPr>
          <w:b/>
          <w:bCs/>
        </w:rPr>
        <w:t xml:space="preserve"> </w:t>
      </w:r>
      <w:r>
        <w:rPr>
          <w:b/>
          <w:bCs/>
        </w:rPr>
        <w:t xml:space="preserve">the expiration or termination of the Master License</w:t>
      </w:r>
      <w:r>
        <w:t xml:space="preserve">. License B is</w:t>
      </w:r>
      <w:r>
        <w:t xml:space="preserve"> </w:t>
      </w:r>
      <w:r>
        <w:t xml:space="preserve">currently in standstill.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Prairielands Sublicense’s</w:t>
      </w:r>
      <w:r>
        <w:t xml:space="preserve"> </w:t>
      </w:r>
      <w:r>
        <w:t xml:space="preserve">continued effectiveness during the standstill is ambiguous — it</w:t>
      </w:r>
      <w:r>
        <w:t xml:space="preserve"> </w:t>
      </w:r>
      <w:r>
        <w:t xml:space="preserve">depends on whether the standstill is treated as keeping the Master</w:t>
      </w:r>
      <w:r>
        <w:t xml:space="preserve"> </w:t>
      </w:r>
      <w:r>
        <w:t xml:space="preserve">License</w:t>
      </w:r>
      <w:r>
        <w:t xml:space="preserve"> </w:t>
      </w:r>
      <w:r>
        <w:t xml:space="preserve">“</w:t>
      </w:r>
      <w:r>
        <w:t xml:space="preserve">in force.</w:t>
      </w:r>
      <w:r>
        <w:t xml:space="preserve">”</w:t>
      </w:r>
      <w:r>
        <w:t xml:space="preserve"> </w:t>
      </w:r>
      <w:r>
        <w:t xml:space="preserve">If License B terminates on June 29, 2025 without</w:t>
      </w:r>
      <w:r>
        <w:t xml:space="preserve"> </w:t>
      </w:r>
      <w:r>
        <w:t xml:space="preserve">renewal, the Prairielands Sublicense auto-terminates.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sublicense’s status during standstill in</w:t>
      </w:r>
      <w:r>
        <w:t xml:space="preserve"> </w:t>
      </w:r>
      <w:r>
        <w:t xml:space="preserve">writing; ensure the License B renewal (or standstill extension)</w:t>
      </w:r>
      <w:r>
        <w:t xml:space="preserve"> </w:t>
      </w:r>
      <w:r>
        <w:t xml:space="preserve">preserves the sublicense; obtain NovaTrait’s consent to any necessary</w:t>
      </w:r>
      <w:r>
        <w:t xml:space="preserve"> </w:t>
      </w:r>
      <w:r>
        <w:t xml:space="preserve">sublicense amendment/renewal in parallel (the Proposal, Part VII, item</w:t>
      </w:r>
      <w:r>
        <w:t xml:space="preserve"> </w:t>
      </w:r>
      <w:r>
        <w:t xml:space="preserve">3, offers consent subject to Section 12.4 of the Master License).</w:t>
      </w:r>
    </w:p>
    <w:bookmarkEnd w:id="96"/>
    <w:bookmarkStart w:id="97" w:name="X7e218d2eee7f7c7e7a359c6fbbdf8f361a6e866"/>
    <w:p>
      <w:pPr>
        <w:pStyle w:val="Heading3"/>
      </w:pPr>
      <w:r>
        <w:t xml:space="preserve">9.2 Wind-down conflict (90-day sublicense vs. 30-day proposed Master)</w:t>
      </w:r>
    </w:p>
    <w:p>
      <w:pPr>
        <w:pStyle w:val="FirstParagraph"/>
      </w:pPr>
      <w:r>
        <w:t xml:space="preserve">The Prairielands Sublicense grants Prairielands a</w:t>
      </w:r>
      <w:r>
        <w:t xml:space="preserve"> </w:t>
      </w:r>
      <w:r>
        <w:rPr>
          <w:b/>
          <w:bCs/>
        </w:rPr>
        <w:t xml:space="preserve">90-day Wind-Down</w:t>
      </w:r>
      <w:r>
        <w:rPr>
          <w:b/>
          <w:bCs/>
        </w:rP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(Section 7.5) plus a 30-day materials-return period after</w:t>
      </w:r>
      <w:r>
        <w:t xml:space="preserve"> </w:t>
      </w:r>
      <w:r>
        <w:t xml:space="preserve">wind-down (Section 7.6). The Proposal would impose a</w:t>
      </w:r>
      <w:r>
        <w:t xml:space="preserve"> </w:t>
      </w:r>
      <w:r>
        <w:rPr>
          <w:b/>
          <w:bCs/>
        </w:rPr>
        <w:t xml:space="preserve">30-day</w:t>
      </w:r>
      <w:r>
        <w:rPr>
          <w:b/>
          <w:bCs/>
        </w:rPr>
        <w:t xml:space="preserve"> </w:t>
      </w:r>
      <w:r>
        <w:rPr>
          <w:b/>
          <w:bCs/>
        </w:rPr>
        <w:t xml:space="preserve">biological-materials return with no wind-down</w:t>
      </w:r>
      <w:r>
        <w:t xml:space="preserve"> </w:t>
      </w:r>
      <w:r>
        <w:t xml:space="preserve">on Greenfield under</w:t>
      </w:r>
      <w:r>
        <w:t xml:space="preserve"> </w:t>
      </w:r>
      <w:r>
        <w:t xml:space="preserve">License B (Section 6.6).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Greenfield would be caught between</w:t>
      </w:r>
      <w:r>
        <w:t xml:space="preserve"> </w:t>
      </w:r>
      <w:r>
        <w:t xml:space="preserve">its 90-day wind-down obligation to Prairielands and a 30-day return</w:t>
      </w:r>
      <w:r>
        <w:t xml:space="preserve"> </w:t>
      </w:r>
      <w:r>
        <w:t xml:space="preserve">obligation to NovaTrait — an operational conflict that could put</w:t>
      </w:r>
      <w:r>
        <w:t xml:space="preserve"> </w:t>
      </w:r>
      <w:r>
        <w:t xml:space="preserve">Greenfield in breach of one or the other.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Resolve by</w:t>
      </w:r>
      <w:r>
        <w:t xml:space="preserve"> </w:t>
      </w:r>
      <w:r>
        <w:t xml:space="preserve">preserving at least a 90-day (preferably 180-day) wind-down in the</w:t>
      </w:r>
      <w:r>
        <w:t xml:space="preserve"> </w:t>
      </w:r>
      <w:r>
        <w:t xml:space="preserve">License B renewal, consistent with the sublicense.</w:t>
      </w:r>
    </w:p>
    <w:bookmarkEnd w:id="97"/>
    <w:bookmarkStart w:id="98" w:name="pass-through-economics"/>
    <w:p>
      <w:pPr>
        <w:pStyle w:val="Heading3"/>
      </w:pPr>
      <w:r>
        <w:t xml:space="preserve">9.3 Pass-through economics</w:t>
      </w:r>
    </w:p>
    <w:p>
      <w:pPr>
        <w:pStyle w:val="FirstParagraph"/>
      </w:pPr>
      <w:r>
        <w:t xml:space="preserve">Prairielands pays Greenfield</w:t>
      </w:r>
      <w:r>
        <w:t xml:space="preserve"> </w:t>
      </w:r>
      <w:r>
        <w:rPr>
          <w:b/>
          <w:bCs/>
        </w:rPr>
        <w:t xml:space="preserve">2.0% of Net Sales</w:t>
      </w:r>
      <w:r>
        <w:t xml:space="preserve"> </w:t>
      </w:r>
      <w:r>
        <w:t xml:space="preserve">(Section 3.1); there</w:t>
      </w:r>
      <w:r>
        <w:t xml:space="preserve"> </w:t>
      </w:r>
      <w:r>
        <w:t xml:space="preserve">is currently</w:t>
      </w:r>
      <w:r>
        <w:t xml:space="preserve"> </w:t>
      </w:r>
      <w:r>
        <w:rPr>
          <w:b/>
          <w:bCs/>
        </w:rPr>
        <w:t xml:space="preserve">no pass-through to NovaTrait</w:t>
      </w:r>
      <w:r>
        <w:t xml:space="preserve"> </w:t>
      </w:r>
      <w:r>
        <w:t xml:space="preserve">(Section 3.6 and the April</w:t>
      </w:r>
      <w:r>
        <w:t xml:space="preserve"> </w:t>
      </w:r>
      <w:r>
        <w:t xml:space="preserve">15, 2021 consent letter). If NovaTrait imposes a 40% pass-through on</w:t>
      </w:r>
      <w:r>
        <w:t xml:space="preserve"> </w:t>
      </w:r>
      <w:r>
        <w:t xml:space="preserve">License B (Section 6.8), Greenfield would remit 40% of the Prairielands</w:t>
      </w:r>
      <w:r>
        <w:t xml:space="preserve"> </w:t>
      </w:r>
      <w:r>
        <w:t xml:space="preserve">royalties to NovaTrait, sharply reducing the sublicense’s net economics.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sublicense was priced on the assumption of no</w:t>
      </w:r>
      <w:r>
        <w:t xml:space="preserve"> </w:t>
      </w:r>
      <w:r>
        <w:t xml:space="preserve">pass-through; a 40% pass-through may render the arrangement uneconomic</w:t>
      </w:r>
      <w:r>
        <w:t xml:space="preserve"> </w:t>
      </w:r>
      <w:r>
        <w:t xml:space="preserve">and could require renegotiation with Prairielands.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Resist any License B pass-through; if imposed, evaluate whether the</w:t>
      </w:r>
      <w:r>
        <w:t xml:space="preserve"> </w:t>
      </w:r>
      <w:r>
        <w:t xml:space="preserve">Prairielands economics remain viable and whether the sublicense royalty</w:t>
      </w:r>
      <w:r>
        <w:t xml:space="preserve"> </w:t>
      </w:r>
      <w:r>
        <w:t xml:space="preserve">rate must be renegotiated (which itself requires NovaTrait consent).</w:t>
      </w:r>
    </w:p>
    <w:bookmarkEnd w:id="98"/>
    <w:bookmarkStart w:id="99" w:name="scope-alignment"/>
    <w:p>
      <w:pPr>
        <w:pStyle w:val="Heading3"/>
      </w:pPr>
      <w:r>
        <w:t xml:space="preserve">9.4 Scope alignment</w:t>
      </w:r>
    </w:p>
    <w:p>
      <w:pPr>
        <w:pStyle w:val="FirstParagraph"/>
      </w:pPr>
      <w:r>
        <w:t xml:space="preserve">The Prairielands Sublicense is limited to</w:t>
      </w:r>
      <w:r>
        <w:t xml:space="preserve"> </w:t>
      </w:r>
      <w:r>
        <w:rPr>
          <w:b/>
          <w:bCs/>
        </w:rPr>
        <w:t xml:space="preserve">soybean drought tolerance in</w:t>
      </w:r>
      <w:r>
        <w:rPr>
          <w:b/>
          <w:bCs/>
        </w:rPr>
        <w:t xml:space="preserve"> </w:t>
      </w:r>
      <w:r>
        <w:rPr>
          <w:b/>
          <w:bCs/>
        </w:rPr>
        <w:t xml:space="preserve">Argentina and Brazil</w:t>
      </w:r>
      <w:r>
        <w:t xml:space="preserve"> </w:t>
      </w:r>
      <w:r>
        <w:t xml:space="preserve">— a subset of License B’s field (drought</w:t>
      </w:r>
      <w:r>
        <w:t xml:space="preserve"> </w:t>
      </w:r>
      <w:r>
        <w:t xml:space="preserve">tolerance + nutrient uptake; corn/soybean/cotton) and territory (Western</w:t>
      </w:r>
      <w:r>
        <w:t xml:space="preserve"> </w:t>
      </w:r>
      <w:r>
        <w:t xml:space="preserve">Hemisphere). The License B renewal proposes no change to field or</w:t>
      </w:r>
      <w:r>
        <w:t xml:space="preserve"> </w:t>
      </w:r>
      <w:r>
        <w:t xml:space="preserve">territory, so the sublicense scope remains compatible.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Confirm the renewed License B field/territory</w:t>
      </w:r>
      <w:r>
        <w:t xml:space="preserve"> </w:t>
      </w:r>
      <w:r>
        <w:t xml:space="preserve">continues to encompass the Prairielands scope.</w:t>
      </w:r>
    </w:p>
    <w:bookmarkEnd w:id="99"/>
    <w:bookmarkStart w:id="100" w:name="novatrait-consent-and-conditions"/>
    <w:p>
      <w:pPr>
        <w:pStyle w:val="Heading3"/>
      </w:pPr>
      <w:r>
        <w:t xml:space="preserve">9.5 NovaTrait consent and conditions</w:t>
      </w:r>
    </w:p>
    <w:p>
      <w:pPr>
        <w:pStyle w:val="FirstParagraph"/>
      </w:pPr>
      <w:r>
        <w:t xml:space="preserve">NovaTrait’s April 15, 2021 consent (Exhibit A to the sublicense) is</w:t>
      </w:r>
      <w:r>
        <w:t xml:space="preserve"> </w:t>
      </w:r>
      <w:r>
        <w:t xml:space="preserve">specific to Prairielands and the defined scope; any modification,</w:t>
      </w:r>
      <w:r>
        <w:t xml:space="preserve"> </w:t>
      </w:r>
      <w:r>
        <w:t xml:space="preserve">expansion, or assignment — or the grant of any additional sublicenses</w:t>
      </w:r>
      <w:r>
        <w:t xml:space="preserve"> </w:t>
      </w:r>
      <w:r>
        <w:t xml:space="preserve">— requires a separate NovaTrait consent.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Engage</w:t>
      </w:r>
      <w:r>
        <w:t xml:space="preserve"> </w:t>
      </w:r>
      <w:r>
        <w:t xml:space="preserve">NovaTrait early on any sublicense amendment/renewal; do not assume the</w:t>
      </w:r>
      <w:r>
        <w:t xml:space="preserve"> </w:t>
      </w:r>
      <w:r>
        <w:t xml:space="preserve">2021 consent carries forward to a renewed Master License.</w:t>
      </w:r>
    </w:p>
    <w:bookmarkEnd w:id="100"/>
    <w:bookmarkStart w:id="101" w:name="X8fa6075f589dd450b3a26330f365d1503f55331"/>
    <w:p>
      <w:pPr>
        <w:pStyle w:val="Heading3"/>
      </w:pPr>
      <w:r>
        <w:t xml:space="preserve">9.6 Prairielands Improvements vs. the proposed License B grant-back — conflict</w:t>
      </w:r>
    </w:p>
    <w:p>
      <w:pPr>
        <w:pStyle w:val="FirstParagraph"/>
      </w:pPr>
      <w:r>
        <w:t xml:space="preserve">The Prairielands Sublicense Section 5.2 provides that improvements</w:t>
      </w:r>
      <w:r>
        <w:t xml:space="preserve"> </w:t>
      </w:r>
      <w:r>
        <w:t xml:space="preserve">developed solely by Prairielands (</w:t>
      </w:r>
      <w:r>
        <w:t xml:space="preserve">“</w:t>
      </w:r>
      <w:r>
        <w:t xml:space="preserve">Prairielands Improvements</w:t>
      </w:r>
      <w:r>
        <w:t xml:space="preserve">”</w:t>
      </w:r>
      <w:r>
        <w:t xml:space="preserve">) are</w:t>
      </w:r>
      <w:r>
        <w:t xml:space="preserve"> </w:t>
      </w:r>
      <w:r>
        <w:rPr>
          <w:b/>
          <w:bCs/>
        </w:rPr>
        <w:t xml:space="preserve">owned by Prairielands</w:t>
      </w:r>
      <w:r>
        <w:t xml:space="preserve">, with Prairielands granting Greenfield a</w:t>
      </w:r>
      <w:r>
        <w:t xml:space="preserve"> </w:t>
      </w:r>
      <w:r>
        <w:rPr>
          <w:b/>
          <w:bCs/>
        </w:rPr>
        <w:t xml:space="preserve">non-exclusive, royalty-free license for internal research purposes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, and expressly states that</w:t>
      </w:r>
      <w:r>
        <w:t xml:space="preserve"> </w:t>
      </w:r>
      <w:r>
        <w:t xml:space="preserve">“</w:t>
      </w:r>
      <w:r>
        <w:t xml:space="preserve">such license does not extend to</w:t>
      </w:r>
      <w:r>
        <w:t xml:space="preserve"> </w:t>
      </w:r>
      <w:r>
        <w:t xml:space="preserve">NovaTrait unless separately agreed in writing.</w:t>
      </w:r>
      <w:r>
        <w:t xml:space="preserve">”</w:t>
      </w:r>
      <w:r>
        <w:t xml:space="preserve"> </w:t>
      </w:r>
      <w:r>
        <w:t xml:space="preserve">The Proposal (Part II,</w:t>
      </w:r>
      <w:r>
        <w:t xml:space="preserve"> </w:t>
      </w:r>
      <w:r>
        <w:t xml:space="preserve">item 10) would conform License B’s improvement provisions to a</w:t>
      </w:r>
      <w:r>
        <w:t xml:space="preserve"> </w:t>
      </w:r>
      <w:r>
        <w:rPr>
          <w:b/>
          <w:bCs/>
        </w:rPr>
        <w:t xml:space="preserve">joint-ownership / royalty-free, perpetual, sublicensable grant-back to</w:t>
      </w:r>
      <w:r>
        <w:rPr>
          <w:b/>
          <w:bCs/>
        </w:rPr>
        <w:t xml:space="preserve"> </w:t>
      </w:r>
      <w:r>
        <w:rPr>
          <w:b/>
          <w:bCs/>
        </w:rPr>
        <w:t xml:space="preserve">NovaTrait of all Improvements</w:t>
      </w:r>
      <w:r>
        <w:t xml:space="preserve"> </w:t>
      </w:r>
      <w:r>
        <w:t xml:space="preserve">(Section 6.7).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There is a</w:t>
      </w:r>
      <w:r>
        <w:t xml:space="preserve"> </w:t>
      </w:r>
      <w:r>
        <w:t xml:space="preserve">direct conflict. Greenfield’s license to Prairielands Improvements is</w:t>
      </w:r>
      <w:r>
        <w:t xml:space="preserve"> </w:t>
      </w:r>
      <w:r>
        <w:t xml:space="preserve">expressly limited to Greenfield’s internal research and is</w:t>
      </w:r>
      <w:r>
        <w:t xml:space="preserve"> </w:t>
      </w:r>
      <w:r>
        <w:rPr>
          <w:b/>
          <w:bCs/>
        </w:rPr>
        <w:t xml:space="preserve">categorically excluded</w:t>
      </w:r>
      <w:r>
        <w:t xml:space="preserve"> </w:t>
      </w:r>
      <w:r>
        <w:t xml:space="preserve">from NovaTrait. If the renewed License B</w:t>
      </w:r>
      <w:r>
        <w:t xml:space="preserve"> </w:t>
      </w:r>
      <w:r>
        <w:t xml:space="preserve">sweeps</w:t>
      </w:r>
      <w:r>
        <w:t xml:space="preserve"> </w:t>
      </w:r>
      <w:r>
        <w:t xml:space="preserve">“</w:t>
      </w:r>
      <w:r>
        <w:t xml:space="preserve">all Improvements</w:t>
      </w:r>
      <w:r>
        <w:t xml:space="preserve">”</w:t>
      </w:r>
      <w:r>
        <w:t xml:space="preserve"> </w:t>
      </w:r>
      <w:r>
        <w:t xml:space="preserve">into a royalty-free grant-back to NovaTrait,</w:t>
      </w:r>
      <w:r>
        <w:t xml:space="preserve"> </w:t>
      </w:r>
      <w:r>
        <w:t xml:space="preserve">NovaTrait could argue that Greenfield’s license rights in Prairielands</w:t>
      </w:r>
      <w:r>
        <w:t xml:space="preserve"> </w:t>
      </w:r>
      <w:r>
        <w:t xml:space="preserve">Improvements — and any Greenfield Improvements built on them — must</w:t>
      </w:r>
      <w:r>
        <w:t xml:space="preserve"> </w:t>
      </w:r>
      <w:r>
        <w:t xml:space="preserve">be made available to NovaTrait royalty-free, overriding the</w:t>
      </w:r>
      <w:r>
        <w:t xml:space="preserve"> </w:t>
      </w:r>
      <w:r>
        <w:t xml:space="preserve">sublicense’s express limitation and Prairielands’ ownership. This would</w:t>
      </w:r>
      <w:r>
        <w:t xml:space="preserve"> </w:t>
      </w:r>
      <w:r>
        <w:t xml:space="preserve">also breach Greenfield’s representation to Prairielands and could</w:t>
      </w:r>
      <w:r>
        <w:t xml:space="preserve"> </w:t>
      </w:r>
      <w:r>
        <w:t xml:space="preserve">require Prairielands’ consent.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Carve out Prairielands</w:t>
      </w:r>
      <w:r>
        <w:t xml:space="preserve"> </w:t>
      </w:r>
      <w:r>
        <w:t xml:space="preserve">Improvements (and any Greenfield Improvements derived from them) from</w:t>
      </w:r>
      <w:r>
        <w:t xml:space="preserve"> </w:t>
      </w:r>
      <w:r>
        <w:t xml:space="preserve">the License B grant-back; confirm in the renewed License B that the</w:t>
      </w:r>
      <w:r>
        <w:t xml:space="preserve"> </w:t>
      </w:r>
      <w:r>
        <w:t xml:space="preserve">grant-back covers only Improvements solely conceived by Greenfield</w:t>
      </w:r>
      <w:r>
        <w:t xml:space="preserve"> </w:t>
      </w:r>
      <w:r>
        <w:t xml:space="preserve">personnel and does not reach sublicensee-owned improvements or</w:t>
      </w:r>
      <w:r>
        <w:t xml:space="preserve"> </w:t>
      </w:r>
      <w:r>
        <w:t xml:space="preserve">Greenfield’s limited research license therein; obtain Prairielands’</w:t>
      </w:r>
      <w:r>
        <w:t xml:space="preserve"> </w:t>
      </w:r>
      <w:r>
        <w:t xml:space="preserve">consent to any conforming change.</w:t>
      </w:r>
    </w:p>
    <w:bookmarkEnd w:id="101"/>
    <w:bookmarkEnd w:id="102"/>
    <w:bookmarkStart w:id="108" w:name="Xc1cae972eae907d1f3a14d79af12e23e9f7ee11"/>
    <w:p>
      <w:pPr>
        <w:pStyle w:val="Heading2"/>
      </w:pPr>
      <w:r>
        <w:t xml:space="preserve">10. Patent Landscape &amp; IP-Value Analysis (Clarendon, Sept. 2020)</w:t>
      </w:r>
    </w:p>
    <w:bookmarkStart w:id="103" w:name="X9d68ea1bc5603ad065f88150fbb189d660d28eb"/>
    <w:p>
      <w:pPr>
        <w:pStyle w:val="Heading3"/>
      </w:pPr>
      <w:r>
        <w:t xml:space="preserve">10.1 License A — STRONG, declining; ’117 expiry is the pivotal event</w:t>
      </w:r>
    </w:p>
    <w:p>
      <w:pPr>
        <w:pStyle w:val="Compact"/>
        <w:numPr>
          <w:ilvl w:val="0"/>
          <w:numId w:val="1005"/>
        </w:numPr>
      </w:pPr>
      <w:r>
        <w:t xml:space="preserve">U.S. 9,234,117 =</w:t>
      </w:r>
      <w:r>
        <w:t xml:space="preserve"> </w:t>
      </w:r>
      <w:r>
        <w:rPr>
          <w:b/>
          <w:bCs/>
        </w:rPr>
        <w:t xml:space="preserve">~60% of portfolio value</w:t>
      </w:r>
      <w:r>
        <w:t xml:space="preserve">; foundational CRISPR</w:t>
      </w:r>
      <w:r>
        <w:t xml:space="preserve"> </w:t>
      </w:r>
      <w:r>
        <w:t xml:space="preserve">method patent for monocot/dicot editing; all 23 original claims</w:t>
      </w:r>
      <w:r>
        <w:t xml:space="preserve"> </w:t>
      </w:r>
      <w:r>
        <w:t xml:space="preserve">survived prosecution; survived a subsequent IPR before the PTAB (per</w:t>
      </w:r>
      <w:r>
        <w:t xml:space="preserve"> </w:t>
      </w:r>
      <w:r>
        <w:t xml:space="preserve">the Proposal cover letter). Expires</w:t>
      </w:r>
      <w:r>
        <w:t xml:space="preserve"> </w:t>
      </w:r>
      <w:r>
        <w:rPr>
          <w:b/>
          <w:bCs/>
        </w:rPr>
        <w:t xml:space="preserve">March 12, 2028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Residual portfolio value after ’117 expiry =</w:t>
      </w:r>
      <w:r>
        <w:t xml:space="preserve"> </w:t>
      </w:r>
      <w:r>
        <w:rPr>
          <w:b/>
          <w:bCs/>
        </w:rPr>
        <w:t xml:space="preserve">~35–40%</w:t>
      </w:r>
      <w:r>
        <w:t xml:space="preserve">; the</w:t>
      </w:r>
      <w:r>
        <w:t xml:space="preserve"> </w:t>
      </w:r>
      <w:r>
        <w:t xml:space="preserve">improvement patents (’118, ’002, ’445) provide incremental but</w:t>
      </w:r>
      <w:r>
        <w:t xml:space="preserve"> </w:t>
      </w:r>
      <w:r>
        <w:t xml:space="preserve">dependent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Competitive landscape:</w:t>
      </w:r>
      <w:r>
        <w:t xml:space="preserve"> </w:t>
      </w:r>
      <w:r>
        <w:t xml:space="preserve">AgriGenome Solutions — 7 improvement</w:t>
      </w:r>
      <w:r>
        <w:t xml:space="preserve"> </w:t>
      </w:r>
      <w:r>
        <w:t xml:space="preserve">patents (guide RNA/Cas variants for cereals), expected in force</w:t>
      </w:r>
      <w:r>
        <w:t xml:space="preserve"> </w:t>
      </w:r>
      <w:r>
        <w:t xml:space="preserve">through ~2037, positioning a competitive platform post-2028.</w:t>
      </w:r>
      <w:r>
        <w:t xml:space="preserve"> </w:t>
      </w:r>
      <w:r>
        <w:t xml:space="preserve">CropTech Innovations — 4 base-editing applications offering an</w:t>
      </w:r>
      <w:r>
        <w:t xml:space="preserve"> </w:t>
      </w:r>
      <w:r>
        <w:t xml:space="preserve">alternative technological pathway that may not require a NovaTrait</w:t>
      </w:r>
      <w:r>
        <w:t xml:space="preserve"> </w:t>
      </w:r>
      <w:r>
        <w:t xml:space="preserve">license for certain trait insertions.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rates:</w:t>
      </w:r>
      <w:r>
        <w:t xml:space="preserve"> </w:t>
      </w:r>
      <w:r>
        <w:t xml:space="preserve">current 3.5%–5.5%; post-2028 expected to</w:t>
      </w:r>
      <w:r>
        <w:t xml:space="preserve"> </w:t>
      </w:r>
      <w:r>
        <w:t xml:space="preserve">gravitate to</w:t>
      </w:r>
      <w:r>
        <w:t xml:space="preserve"> </w:t>
      </w:r>
      <w:r>
        <w:rPr>
          <w:b/>
          <w:bCs/>
        </w:rPr>
        <w:t xml:space="preserve">2.0%–3.5%</w:t>
      </w:r>
      <w:r>
        <w:t xml:space="preserve"> </w:t>
      </w:r>
      <w:r>
        <w:t xml:space="preserve">as the foundational methods enter the</w:t>
      </w:r>
      <w:r>
        <w:t xml:space="preserve"> </w:t>
      </w:r>
      <w:r>
        <w:t xml:space="preserve">public domain and alternatives emerge.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Clarendon recommendations:</w:t>
      </w:r>
      <w:r>
        <w:t xml:space="preserve"> </w:t>
      </w:r>
      <w:r>
        <w:t xml:space="preserve">(i) step-down royalty tied to ’117</w:t>
      </w:r>
      <w:r>
        <w:t xml:space="preserve"> </w:t>
      </w:r>
      <w:r>
        <w:t xml:space="preserve">expiry; (ii) evaluate any field-of-use expansion against actual</w:t>
      </w:r>
      <w:r>
        <w:t xml:space="preserve"> </w:t>
      </w:r>
      <w:r>
        <w:t xml:space="preserve">claim scope; (iii) commission an updated landscape analysis before</w:t>
      </w:r>
      <w:r>
        <w:t xml:space="preserve"> </w:t>
      </w:r>
      <w:r>
        <w:t xml:space="preserve">renewal (the 2020 report predates the AgriGenome/CropTech maturation</w:t>
      </w:r>
      <w:r>
        <w:t xml:space="preserve"> </w:t>
      </w:r>
      <w:r>
        <w:t xml:space="preserve">and the ’117 IPR).</w:t>
      </w:r>
    </w:p>
    <w:bookmarkEnd w:id="103"/>
    <w:bookmarkStart w:id="104" w:name="license-b-very-strong-irreplaceable"/>
    <w:p>
      <w:pPr>
        <w:pStyle w:val="Heading3"/>
      </w:pPr>
      <w:r>
        <w:t xml:space="preserve">10.2 License B — VERY STRONG; irreplaceable</w:t>
      </w:r>
    </w:p>
    <w:p>
      <w:pPr>
        <w:pStyle w:val="Compact"/>
        <w:numPr>
          <w:ilvl w:val="0"/>
          <w:numId w:val="1006"/>
        </w:numPr>
      </w:pPr>
      <w:r>
        <w:t xml:space="preserve">Three U.S. patents (10,443,076; 10,443,077; 10,889,201) expiring</w:t>
      </w:r>
      <w:r>
        <w:t xml:space="preserve"> </w:t>
      </w:r>
      <w:r>
        <w:t xml:space="preserve">2036–2038; robust claims, no significant estoppel.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commercial alternatives</w:t>
      </w:r>
      <w:r>
        <w:t xml:space="preserve"> </w:t>
      </w:r>
      <w:r>
        <w:t xml:space="preserve">identified; internal development</w:t>
      </w:r>
      <w:r>
        <w:t xml:space="preserve"> </w:t>
      </w:r>
      <w:r>
        <w:t xml:space="preserve">estimated at 3–4 years and substantial capital; biological</w:t>
      </w:r>
      <w:r>
        <w:t xml:space="preserve"> </w:t>
      </w:r>
      <w:r>
        <w:t xml:space="preserve">materials not available from any other source.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Market rates:</w:t>
      </w:r>
      <w:r>
        <w:t xml:space="preserve"> </w:t>
      </w:r>
      <w:r>
        <w:t xml:space="preserve">3.0%–4.5%; challenge any rate above 4.5% even</w:t>
      </w:r>
      <w:r>
        <w:t xml:space="preserve"> </w:t>
      </w:r>
      <w:r>
        <w:t xml:space="preserve">accounting for irreplaceability.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Clarendon recommendation:</w:t>
      </w:r>
      <w:r>
        <w:t xml:space="preserve"> </w:t>
      </w:r>
      <w:r>
        <w:t xml:space="preserve">secure the longest possible term at a</w:t>
      </w:r>
      <w:r>
        <w:t xml:space="preserve"> </w:t>
      </w:r>
      <w:r>
        <w:t xml:space="preserve">market rate; do not attempt substitution.</w:t>
      </w:r>
    </w:p>
    <w:bookmarkEnd w:id="104"/>
    <w:bookmarkStart w:id="105" w:name="license-c-moderate-substitutable"/>
    <w:p>
      <w:pPr>
        <w:pStyle w:val="Heading3"/>
      </w:pPr>
      <w:r>
        <w:t xml:space="preserve">10.3 License C — Moderate; substitutable</w:t>
      </w:r>
    </w:p>
    <w:p>
      <w:pPr>
        <w:pStyle w:val="Compact"/>
        <w:numPr>
          <w:ilvl w:val="0"/>
          <w:numId w:val="1007"/>
        </w:numPr>
      </w:pPr>
      <w:r>
        <w:t xml:space="preserve">Protected principally by copyright (TX-8-912-445) and trade secrets,</w:t>
      </w:r>
      <w:r>
        <w:t xml:space="preserve"> </w:t>
      </w:r>
      <w:r>
        <w:t xml:space="preserve">not patents.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Multiple alternatives:</w:t>
      </w:r>
      <w:r>
        <w:t xml:space="preserve"> </w:t>
      </w:r>
      <w:r>
        <w:t xml:space="preserve">BioSphere Analytics, PlantLogic Suite,</w:t>
      </w:r>
      <w:r>
        <w:t xml:space="preserve"> </w:t>
      </w:r>
      <w:r>
        <w:t xml:space="preserve">TraitView Pro; market range</w:t>
      </w:r>
      <w:r>
        <w:t xml:space="preserve"> </w:t>
      </w:r>
      <w:r>
        <w:rPr>
          <w:b/>
          <w:bCs/>
        </w:rPr>
        <w:t xml:space="preserve">$2.5M–$4.0M</w:t>
      </w:r>
      <w:r>
        <w:t xml:space="preserve"> </w:t>
      </w:r>
      <w:r>
        <w:t xml:space="preserve">annually.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Clarendon recommendation:</w:t>
      </w:r>
      <w:r>
        <w:t xml:space="preserve"> </w:t>
      </w:r>
      <w:r>
        <w:t xml:space="preserve">resist fees above $4.0M; obtain</w:t>
      </w:r>
      <w:r>
        <w:t xml:space="preserve"> </w:t>
      </w:r>
      <w:r>
        <w:t xml:space="preserve">competitive proposals.</w:t>
      </w:r>
    </w:p>
    <w:bookmarkEnd w:id="105"/>
    <w:bookmarkStart w:id="106" w:name="risk-rating-summary"/>
    <w:p>
      <w:pPr>
        <w:pStyle w:val="Heading3"/>
      </w:pPr>
      <w:r>
        <w:t xml:space="preserve">10.4 Risk-rating summary</w:t>
      </w:r>
    </w:p>
    <w:tbl>
      <w:tblPr>
        <w:tblStyle w:val="Table"/>
        <w:tblW w:type="pct" w:w="4877"/>
        <w:jc w:val="left"/>
        <w:tblLayout w:type="fixed"/>
        <w:tblLook w:firstRow="1" w:lastRow="0" w:firstColumn="0" w:lastColumn="0" w:noHBand="0" w:noVBand="0" w:val="0020"/>
      </w:tblPr>
      <w:tblGrid>
        <w:gridCol w:w="1466"/>
        <w:gridCol w:w="1662"/>
        <w:gridCol w:w="1466"/>
        <w:gridCol w:w="1564"/>
        <w:gridCol w:w="1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</w:t>
            </w:r>
            <w:r>
              <w:t xml:space="preserve"> </w:t>
            </w: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</w:t>
            </w:r>
            <w:r>
              <w:t xml:space="preserve"> </w:t>
            </w:r>
            <w: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risk to</w:t>
            </w:r>
            <w:r>
              <w:t xml:space="preserve"> </w:t>
            </w:r>
            <w:r>
              <w:t xml:space="preserve">Greenfield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Licensor</w:t>
            </w:r>
            <w:r>
              <w:t xml:space="preserve"> </w:t>
            </w:r>
            <w:r>
              <w:t xml:space="preserve">leverage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(CRISPR-Ag)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  <w:r>
              <w:t xml:space="preserve"> </w:t>
            </w:r>
            <w:r>
              <w:t xml:space="preserve">(post-2028)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</w:t>
            </w:r>
            <w:r>
              <w:t xml:space="preserve"> </w:t>
            </w:r>
            <w:r>
              <w:t xml:space="preserve">declining over</w:t>
            </w:r>
            <w:r>
              <w:t xml:space="preserve"> </w:t>
            </w: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</w:t>
            </w:r>
            <w:r>
              <w:t xml:space="preserve"> </w:t>
            </w:r>
            <w:r>
              <w:t xml:space="preserve">declining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(TraitForge)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  <w:r>
              <w:t xml:space="preserve"> </w:t>
            </w:r>
            <w:r>
              <w:t xml:space="preserve">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</w:t>
            </w:r>
            <w:r>
              <w:t xml:space="preserve"> </w:t>
            </w:r>
            <w:r>
              <w:t xml:space="preserve">irreplaceable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(GenoMap</w:t>
            </w:r>
            <w:r>
              <w:t xml:space="preserve"> </w:t>
            </w:r>
            <w:r>
              <w:t xml:space="preserve">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  <w:r>
              <w:t xml:space="preserve"> </w:t>
            </w:r>
            <w:r>
              <w:t xml:space="preserve">(copyright/TS)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</w:t>
            </w:r>
            <w:r>
              <w:t xml:space="preserve"> </w:t>
            </w:r>
            <w:r>
              <w:t xml:space="preserve">substitutable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to</w:t>
            </w:r>
            <w:r>
              <w:t xml:space="preserve"> </w:t>
            </w:r>
            <w:r>
              <w:t xml:space="preserve">Moderate</w:t>
            </w:r>
          </w:p>
        </w:tc>
      </w:tr>
    </w:tbl>
    <w:bookmarkEnd w:id="106"/>
    <w:bookmarkStart w:id="107" w:name="updated-landscape-analysis-needed"/>
    <w:p>
      <w:pPr>
        <w:pStyle w:val="Heading3"/>
      </w:pPr>
      <w:r>
        <w:t xml:space="preserve">10.5 Updated landscape analysis needed</w:t>
      </w:r>
    </w:p>
    <w:p>
      <w:pPr>
        <w:pStyle w:val="FirstParagraph"/>
      </w:pPr>
      <w:r>
        <w:t xml:space="preserve">The Clarendon report is dated September 14, 2020 — over four years</w:t>
      </w:r>
      <w:r>
        <w:t xml:space="preserve"> </w:t>
      </w:r>
      <w:r>
        <w:t xml:space="preserve">old. The AgriGenome and CropTech portfolios were in early prosecution</w:t>
      </w:r>
      <w:r>
        <w:t xml:space="preserve"> </w:t>
      </w:r>
      <w:r>
        <w:t xml:space="preserve">then and may have materially advanced; the ’117 IPR occurred after the</w:t>
      </w:r>
      <w:r>
        <w:t xml:space="preserve"> </w:t>
      </w:r>
      <w:r>
        <w:t xml:space="preserve">report.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Commission an updated patent-landscape</w:t>
      </w:r>
      <w:r>
        <w:t xml:space="preserve"> </w:t>
      </w:r>
      <w:r>
        <w:t xml:space="preserve">analysis before finalizing the License A renewal, particularly to</w:t>
      </w:r>
      <w:r>
        <w:t xml:space="preserve"> </w:t>
      </w:r>
      <w:r>
        <w:t xml:space="preserve">confirm the post-2028 competitive timeline and the ’118/’002/’445</w:t>
      </w:r>
      <w:r>
        <w:t xml:space="preserve"> </w:t>
      </w:r>
      <w:r>
        <w:t xml:space="preserve">expiration dates (Section 5.13).</w:t>
      </w:r>
    </w:p>
    <w:bookmarkEnd w:id="107"/>
    <w:bookmarkEnd w:id="108"/>
    <w:bookmarkStart w:id="115" w:name="X2f2ef4e9c71c6f5eccde7f7031c8e6f14d27cfb"/>
    <w:p>
      <w:pPr>
        <w:pStyle w:val="Heading2"/>
      </w:pPr>
      <w:r>
        <w:t xml:space="preserve">11. Financial Impact Analysis (Oakvale, Feb. 2025)</w:t>
      </w:r>
    </w:p>
    <w:bookmarkStart w:id="109" w:name="aggregate-impact"/>
    <w:p>
      <w:pPr>
        <w:pStyle w:val="Heading3"/>
      </w:pPr>
      <w:r>
        <w:t xml:space="preserve">11.1 Aggregate impact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A</w:t>
            </w:r>
            <w:r>
              <w:t xml:space="preserve"> </w:t>
            </w:r>
            <w:r>
              <w:t xml:space="preserve">royalty + 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~$9.12M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~$13.58M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+$4.46M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B</w:t>
            </w:r>
            <w:r>
              <w:t xml:space="preserve"> </w:t>
            </w:r>
            <w:r>
              <w:t xml:space="preserve">royalty + 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~$6.38M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~$9.09M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+$2.71M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C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~$3.14M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~$5.28M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+$2.14M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~$18.64M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~$27.95M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+$9.31M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% of FY 2024</w:t>
            </w:r>
            <w:r>
              <w:t xml:space="preserve"> </w:t>
            </w:r>
            <w:r>
              <w:t xml:space="preserve">revenue</w:t>
            </w:r>
            <w:r>
              <w:t xml:space="preserve"> </w:t>
            </w:r>
            <w:r>
              <w:t xml:space="preserve">($387.2M)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+2.41 pts</w:t>
            </w:r>
          </w:p>
        </w:tc>
      </w:tr>
    </w:tbl>
    <w:bookmarkEnd w:id="109"/>
    <w:bookmarkStart w:id="110" w:name="X4a35bfa41a48530bd23cae1d75906e0c0755a73"/>
    <w:p>
      <w:pPr>
        <w:pStyle w:val="Heading3"/>
      </w:pPr>
      <w:r>
        <w:t xml:space="preserve">11.2 License A — 5-year cumulative incremental ~$31.8M (direct)</w:t>
      </w:r>
    </w:p>
    <w:p>
      <w:pPr>
        <w:pStyle w:val="FirstParagraph"/>
      </w:pPr>
      <w:r>
        <w:t xml:space="preserve">Under a 5% growth base case, the cumulative 5-year incremental royalty</w:t>
      </w:r>
      <w:r>
        <w:t xml:space="preserve"> </w:t>
      </w:r>
      <w:r>
        <w:t xml:space="preserve">is ~$31.8M; the effective rate on the original Net Sales base is 6.70%</w:t>
      </w:r>
      <w:r>
        <w:t xml:space="preserve"> </w:t>
      </w:r>
      <w:r>
        <w:t xml:space="preserve">(148.9% of current). The $8M MAR is not binding in any modeled</w:t>
      </w:r>
      <w:r>
        <w:t xml:space="preserve"> </w:t>
      </w:r>
      <w:r>
        <w:t xml:space="preserve">scenario.</w:t>
      </w:r>
    </w:p>
    <w:bookmarkEnd w:id="110"/>
    <w:bookmarkStart w:id="111" w:name="Xac632fc313088b801ecc4e2ad7a9af962b57281"/>
    <w:p>
      <w:pPr>
        <w:pStyle w:val="Heading3"/>
      </w:pPr>
      <w:r>
        <w:t xml:space="preserve">11.3 License B — 5-year cumulative incremental ~$15.3M (direct) + ~$27.0M (modeled 40% pass-through) = ~$42.3M</w:t>
      </w:r>
    </w:p>
    <w:p>
      <w:pPr>
        <w:pStyle w:val="FirstParagraph"/>
      </w:pPr>
      <w:r>
        <w:t xml:space="preserve">Direct royalty incremental cumulative ~$15.26M; plus the modeled 40%</w:t>
      </w:r>
      <w:r>
        <w:t xml:space="preserve"> </w:t>
      </w:r>
      <w:r>
        <w:t xml:space="preserve">Prairielands pass-through cumulative ~$27.04M. The pass-through</w:t>
      </w:r>
      <w:r>
        <w:t xml:space="preserve"> </w:t>
      </w:r>
      <w:r>
        <w:t xml:space="preserve">component is contingent on NovaTrait actually imposing a pass-through</w:t>
      </w:r>
      <w:r>
        <w:t xml:space="preserve"> </w:t>
      </w:r>
      <w:r>
        <w:t xml:space="preserve">(Section 6.8) and should be treated as a negotiating risk, not a given.</w:t>
      </w:r>
    </w:p>
    <w:bookmarkEnd w:id="111"/>
    <w:bookmarkStart w:id="112" w:name="license-c-3-year-tco-9.42m-16.10m-70.9"/>
    <w:p>
      <w:pPr>
        <w:pStyle w:val="Heading3"/>
      </w:pPr>
      <w:r>
        <w:t xml:space="preserve">11.4 License C — 3-year TCO $9.42M → $16.10M (+70.9%)</w:t>
      </w:r>
    </w:p>
    <w:p>
      <w:pPr>
        <w:pStyle w:val="FirstParagraph"/>
      </w:pPr>
      <w:r>
        <w:t xml:space="preserve">Year 1 (incl. one-time $270K) ~$5.55M; Years 2–3 ~$5.28M each;</w:t>
      </w:r>
      <w:r>
        <w:t xml:space="preserve"> </w:t>
      </w:r>
      <w:r>
        <w:t xml:space="preserve">3-year total ~$16.10M vs. $9.42M current. The proposed total annual</w:t>
      </w:r>
      <w:r>
        <w:t xml:space="preserve"> </w:t>
      </w:r>
      <w:r>
        <w:t xml:space="preserve">cost (~$5.28M) is ~32% above the market high ($4.0M) and ~65% above</w:t>
      </w:r>
      <w:r>
        <w:t xml:space="preserve"> </w:t>
      </w:r>
      <w:r>
        <w:t xml:space="preserve">the comp mean ($3.05M).</w:t>
      </w:r>
    </w:p>
    <w:bookmarkEnd w:id="112"/>
    <w:bookmarkStart w:id="113" w:name="sensitivity-aggregate-3-year-cumulative"/>
    <w:p>
      <w:pPr>
        <w:pStyle w:val="Heading3"/>
      </w:pPr>
      <w:r>
        <w:t xml:space="preserve">11.5 Sensitivity (aggregate, 3-year cumulative)</w:t>
      </w:r>
    </w:p>
    <w:tbl>
      <w:tblPr>
        <w:tblStyle w:val="Table"/>
        <w:tblW w:type="pct" w:w="4870"/>
        <w:jc w:val="left"/>
        <w:tblLayout w:type="fixed"/>
        <w:tblLook w:firstRow="1" w:lastRow="0" w:firstColumn="0" w:lastColumn="0" w:noHBand="0" w:noVBand="0" w:val="0020"/>
      </w:tblPr>
      <w:tblGrid>
        <w:gridCol w:w="1542"/>
        <w:gridCol w:w="1542"/>
        <w:gridCol w:w="1542"/>
        <w:gridCol w:w="1542"/>
        <w:gridCol w:w="1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(3%</w:t>
            </w:r>
            <w:r>
              <w:t xml:space="preserve"> </w:t>
            </w:r>
            <w:r>
              <w:t xml:space="preserve">growth)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(7%</w:t>
            </w:r>
            <w:r>
              <w:t xml:space="preserve"> </w:t>
            </w:r>
            <w:r>
              <w:t xml:space="preserve">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3-yr</w:t>
            </w:r>
            <w:r>
              <w:t xml:space="preserve"> </w:t>
            </w:r>
            <w:r>
              <w:t xml:space="preserve">cumulative</w:t>
            </w:r>
            <w:r>
              <w:t xml:space="preserve"> </w:t>
            </w: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~$85.1M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~$90.3M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~$90.7M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</w:t>
            </w:r>
            <w:r>
              <w:t xml:space="preserve"> </w:t>
            </w:r>
            <w:r>
              <w:t xml:space="preserve">incremental</w:t>
            </w:r>
            <w:r>
              <w:t xml:space="preserve"> </w:t>
            </w:r>
            <w:r>
              <w:t xml:space="preserve">vs. 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~$24.8M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~$30.3M</w:t>
            </w:r>
          </w:p>
        </w:tc>
      </w:tr>
    </w:tbl>
    <w:p>
      <w:pPr>
        <w:pStyle w:val="BodyText"/>
      </w:pPr>
      <w:r>
        <w:t xml:space="preserve">(Excludes License B pass-through and License C one-time costs.)</w:t>
      </w:r>
    </w:p>
    <w:bookmarkEnd w:id="113"/>
    <w:bookmarkStart w:id="114" w:name="switching-cost-economics"/>
    <w:p>
      <w:pPr>
        <w:pStyle w:val="Heading3"/>
      </w:pPr>
      <w:r>
        <w:t xml:space="preserve">11.6 Switching-cost economics</w:t>
      </w:r>
    </w:p>
    <w:tbl>
      <w:tblPr>
        <w:tblStyle w:val="Table"/>
        <w:tblW w:type="pct" w:w="4917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2178"/>
        <w:gridCol w:w="1386"/>
        <w:gridCol w:w="1452"/>
        <w:gridCol w:w="858"/>
        <w:gridCol w:w="11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platform</w:t>
            </w:r>
            <w:r>
              <w:t xml:space="preserve"> </w:t>
            </w:r>
            <w:r>
              <w:t xml:space="preserve">(AgriGenome/CropTech)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$16.65M–$23.6M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($24.65M–$38.6M</w:t>
            </w:r>
            <w:r>
              <w:t xml:space="preserve"> </w:t>
            </w:r>
            <w:r>
              <w:t xml:space="preserve">incl. opportunity)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$3M–$6M/yr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2.8–7.9 yrs</w:t>
            </w:r>
            <w:r>
              <w:t xml:space="preserve"> </w:t>
            </w:r>
            <w:r>
              <w:t xml:space="preserve">(direct)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justified</w:t>
            </w:r>
            <w:r>
              <w:t xml:space="preserve"> </w:t>
            </w:r>
            <w:r>
              <w:t xml:space="preserve">near-term; use</w:t>
            </w:r>
            <w:r>
              <w:t xml:space="preserve"> </w:t>
            </w:r>
            <w:r>
              <w:t xml:space="preserve">as leverage for</w:t>
            </w:r>
            <w:r>
              <w:t xml:space="preserve"> </w:t>
            </w:r>
            <w:r>
              <w:t xml:space="preserve">5.0%–5.5%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$24.3M–$33.7M</w:t>
            </w:r>
            <w:r>
              <w:t xml:space="preserve"> </w:t>
            </w:r>
            <w:r>
              <w:t xml:space="preserve">(3–4 yrs);</w:t>
            </w:r>
            <w:r>
              <w:t xml:space="preserve"> </w:t>
            </w:r>
            <w:r>
              <w:t xml:space="preserve">$44.3M–$66.7M</w:t>
            </w:r>
            <w:r>
              <w:t xml:space="preserve"> </w:t>
            </w:r>
            <w:r>
              <w:t xml:space="preserve">incl. 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  <w:r>
              <w:t xml:space="preserve"> </w:t>
            </w:r>
            <w:r>
              <w:t xml:space="preserve">leverage;</w:t>
            </w:r>
            <w:r>
              <w:t xml:space="preserve"> </w:t>
            </w:r>
            <w:r>
              <w:t xml:space="preserve">negotiate</w:t>
            </w:r>
            <w:r>
              <w:t xml:space="preserve"> </w:t>
            </w:r>
            <w:r>
              <w:t xml:space="preserve">4.25%–4.5%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BioSphere/PlantLogic/TraitView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$2.55M–$4.375M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$1.78M–$3.48M/yr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0.7–2.5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case;</w:t>
            </w:r>
            <w:r>
              <w:t xml:space="preserve"> </w:t>
            </w:r>
            <w:r>
              <w:t xml:space="preserve">use to negotiate</w:t>
            </w:r>
            <w:r>
              <w:t xml:space="preserve"> </w:t>
            </w:r>
            <w:r>
              <w:t xml:space="preserve">$3.5M–$4.0M</w:t>
            </w:r>
          </w:p>
        </w:tc>
      </w:tr>
    </w:tbl>
    <w:bookmarkEnd w:id="114"/>
    <w:bookmarkEnd w:id="115"/>
    <w:bookmarkStart w:id="116" w:name="market-comparables-oakvale"/>
    <w:p>
      <w:pPr>
        <w:pStyle w:val="Heading2"/>
      </w:pPr>
      <w:r>
        <w:t xml:space="preserve">12. Market Comparables (Oakvale)</w:t>
      </w:r>
    </w:p>
    <w:tbl>
      <w:tblPr>
        <w:tblStyle w:val="Table"/>
        <w:tblW w:type="pct" w:w="4884"/>
        <w:jc w:val="left"/>
        <w:tblLayout w:type="fixed"/>
        <w:tblLook w:firstRow="1" w:lastRow="0" w:firstColumn="0" w:lastColumn="0" w:noHBand="0" w:noVBand="0" w:val="0020"/>
      </w:tblPr>
      <w:tblGrid>
        <w:gridCol w:w="1749"/>
        <w:gridCol w:w="1565"/>
        <w:gridCol w:w="1105"/>
        <w:gridCol w:w="1105"/>
        <w:gridCol w:w="1105"/>
        <w:gridCol w:w="11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NovaTrait</w:t>
            </w:r>
            <w:r>
              <w:t xml:space="preserve"> </w:t>
            </w: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Gene-editing</w:t>
            </w:r>
            <w:r>
              <w:t xml:space="preserve"> </w:t>
            </w:r>
            <w:r>
              <w:t xml:space="preserve">platforms (3</w:t>
            </w:r>
            <w:r>
              <w:t xml:space="preserve"> </w:t>
            </w:r>
            <w:r>
              <w:t xml:space="preserve">comps)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3.5%–5.5%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6.25%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Trait-expression</w:t>
            </w:r>
            <w:r>
              <w:t xml:space="preserve"> </w:t>
            </w:r>
            <w:r>
              <w:t xml:space="preserve">platforms (3</w:t>
            </w:r>
            <w:r>
              <w:t xml:space="preserve"> </w:t>
            </w:r>
            <w:r>
              <w:t xml:space="preserve">comps)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3.0%–4.5%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Bioinformatics</w:t>
            </w:r>
            <w:r>
              <w:t xml:space="preserve"> </w:t>
            </w:r>
            <w:r>
              <w:t xml:space="preserve">software (2 comps)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$2.9M–$3.2M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~$5.28M</w:t>
            </w:r>
            <w:r>
              <w:t xml:space="preserve"> </w:t>
            </w:r>
            <w: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~65% above</w:t>
            </w:r>
            <w:r>
              <w:t xml:space="preserve"> </w:t>
            </w:r>
            <w:r>
              <w:t xml:space="preserve">mean; above</w:t>
            </w:r>
            <w:r>
              <w:t xml:space="preserve"> </w:t>
            </w:r>
            <w:r>
              <w:t xml:space="preserve">high</w:t>
            </w:r>
          </w:p>
        </w:tc>
      </w:tr>
    </w:tbl>
    <w:p>
      <w:pPr>
        <w:pStyle w:val="BodyText"/>
      </w:pPr>
      <w:r>
        <w:t xml:space="preserve">Additional comparable terms: only 1 of 6 rate-based comps uses a</w:t>
      </w:r>
      <w:r>
        <w:t xml:space="preserve"> </w:t>
      </w:r>
      <w:r>
        <w:t xml:space="preserve">modified Net Sales definition (returns only); sublicense pass-throughs</w:t>
      </w:r>
      <w:r>
        <w:t xml:space="preserve"> </w:t>
      </w:r>
      <w:r>
        <w:t xml:space="preserve">in comps are 30% and 40%; improvement ownership in comps is generally</w:t>
      </w:r>
      <w:r>
        <w:t xml:space="preserve"> </w:t>
      </w:r>
      <w:r>
        <w:t xml:space="preserve">licensee-sole or joint.</w:t>
      </w:r>
      <w:r>
        <w:t xml:space="preserve"> </w:t>
      </w:r>
      <w:r>
        <w:rPr>
          <w:b/>
          <w:bCs/>
        </w:rPr>
        <w:t xml:space="preserve">All three NovaTrait proposals exceed the</w:t>
      </w:r>
      <w:r>
        <w:rPr>
          <w:b/>
          <w:bCs/>
        </w:rPr>
        <w:t xml:space="preserve"> </w:t>
      </w:r>
      <w:r>
        <w:rPr>
          <w:b/>
          <w:bCs/>
        </w:rPr>
        <w:t xml:space="preserve">market upper bound for their category.</w:t>
      </w:r>
    </w:p>
    <w:bookmarkEnd w:id="116"/>
    <w:bookmarkStart w:id="117" w:name="critical-deadlines-timeline"/>
    <w:p>
      <w:pPr>
        <w:pStyle w:val="Heading2"/>
      </w:pPr>
      <w:r>
        <w:t xml:space="preserve">13. Critical Deadlines &amp; Timeline</w:t>
      </w:r>
    </w:p>
    <w:tbl>
      <w:tblPr>
        <w:tblStyle w:val="Table"/>
        <w:tblW w:type="pct" w:w="4873"/>
        <w:jc w:val="left"/>
        <w:tblLayout w:type="fixed"/>
        <w:tblLook w:firstRow="1" w:lastRow="0" w:firstColumn="0" w:lastColumn="0" w:noHBand="0" w:noVBand="0" w:val="0020"/>
      </w:tblPr>
      <w:tblGrid>
        <w:gridCol w:w="1804"/>
        <w:gridCol w:w="1904"/>
        <w:gridCol w:w="1804"/>
        <w:gridCol w:w="2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B</w:t>
            </w:r>
            <w:r>
              <w:t xml:space="preserve"> </w:t>
            </w:r>
            <w:r>
              <w:t xml:space="preserve">renewal-notice</w:t>
            </w:r>
            <w:r>
              <w:t xml:space="preserve"> </w:t>
            </w: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— confirm</w:t>
            </w:r>
            <w:r>
              <w:t xml:space="preserve"> </w:t>
            </w:r>
            <w:r>
              <w:t xml:space="preserve">notice was timely</w:t>
            </w:r>
            <w:r>
              <w:t xml:space="preserve"> </w:t>
            </w: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Nov. 30,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</w:t>
            </w:r>
            <w:r>
              <w:t xml:space="preserve"> </w:t>
            </w:r>
            <w:r>
              <w:t xml:space="preserve">renewal-notice</w:t>
            </w:r>
            <w:r>
              <w:t xml:space="preserve"> </w:t>
            </w: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— confirm</w:t>
            </w:r>
            <w:r>
              <w:t xml:space="preserve"> </w:t>
            </w:r>
            <w:r>
              <w:t xml:space="preserve">notice was timely</w:t>
            </w:r>
            <w:r>
              <w:t xml:space="preserve"> </w:t>
            </w: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31,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B</w:t>
            </w:r>
            <w:r>
              <w:t xml:space="preserve"> </w:t>
            </w:r>
            <w:r>
              <w:t xml:space="preserve">initial-term</w:t>
            </w:r>
            <w:r>
              <w:t xml:space="preserve"> </w:t>
            </w: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—</w:t>
            </w:r>
            <w:r>
              <w:t xml:space="preserve"> </w:t>
            </w:r>
            <w:r>
              <w:t xml:space="preserve">standstill (§12.6)</w:t>
            </w:r>
            <w:r>
              <w:t xml:space="preserve"> </w:t>
            </w: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Jan. 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NovaTrait Proposal</w:t>
            </w:r>
            <w:r>
              <w:t xml:space="preserve"> </w:t>
            </w:r>
            <w:r>
              <w:t xml:space="preserve">transmitted (per</w:t>
            </w:r>
            <w:r>
              <w:t xml:space="preserve"> </w:t>
            </w:r>
            <w:r>
              <w:t xml:space="preserve">Oakvale)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</w:t>
            </w:r>
            <w:r>
              <w:t xml:space="preserve"> </w:t>
            </w:r>
            <w:r>
              <w:t xml:space="preserve">initial-term</w:t>
            </w:r>
            <w:r>
              <w:t xml:space="preserve"> </w:t>
            </w: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Imminent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secure</w:t>
            </w:r>
            <w:r>
              <w:t xml:space="preserve"> </w:t>
            </w:r>
            <w:r>
              <w:t xml:space="preserve">holdover/interim</w:t>
            </w:r>
            <w:r>
              <w:t xml:space="preserve"> </w:t>
            </w: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</w:t>
            </w:r>
            <w:r>
              <w:t xml:space="preserve"> </w:t>
            </w:r>
            <w:r>
              <w:t xml:space="preserve">renewal-notice</w:t>
            </w:r>
            <w:r>
              <w:t xml:space="preserve"> </w:t>
            </w:r>
            <w:r>
              <w:t xml:space="preserve">deadline (90 days</w:t>
            </w:r>
            <w:r>
              <w:t xml:space="preserve"> </w:t>
            </w:r>
            <w:r>
              <w:t xml:space="preserve">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Upcoming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deliver renewal</w:t>
            </w:r>
            <w:r>
              <w:t xml:space="preserve"> </w:t>
            </w:r>
            <w:r>
              <w:t xml:space="preserve">notice by this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Apr. 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Target: Greenfield</w:t>
            </w:r>
            <w:r>
              <w:t xml:space="preserve"> </w:t>
            </w:r>
            <w:r>
              <w:t xml:space="preserve">counter-proposal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Jun. 29,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standstill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expiration (180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renew or extend</w:t>
            </w:r>
            <w:r>
              <w:t xml:space="preserve"> </w:t>
            </w:r>
            <w:r>
              <w:t xml:space="preserve">standstill or License</w:t>
            </w:r>
            <w:r>
              <w:t xml:space="preserve"> </w:t>
            </w:r>
            <w:r>
              <w:t xml:space="preserve">B terminates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Jun. 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</w:t>
            </w:r>
            <w:r>
              <w:t xml:space="preserve"> </w:t>
            </w:r>
            <w:r>
              <w:t xml:space="preserve">initial-term</w:t>
            </w:r>
            <w:r>
              <w:t xml:space="preserve"> </w:t>
            </w: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 — assess</w:t>
            </w:r>
            <w:r>
              <w:t xml:space="preserve"> </w:t>
            </w:r>
            <w:r>
              <w:t xml:space="preserve">whether a</w:t>
            </w:r>
            <w:r>
              <w:t xml:space="preserve"> </w:t>
            </w:r>
            <w:r>
              <w:t xml:space="preserve">standstill-type</w:t>
            </w:r>
            <w:r>
              <w:t xml:space="preserve"> </w:t>
            </w:r>
            <w:r>
              <w:t xml:space="preserve">holdover exists</w:t>
            </w:r>
            <w:r>
              <w:t xml:space="preserve"> </w:t>
            </w:r>
            <w:r>
              <w:t xml:space="preserve">(License A has no</w:t>
            </w:r>
            <w:r>
              <w:t xml:space="preserve"> </w:t>
            </w:r>
            <w:r>
              <w:t xml:space="preserve">express standstill)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Mar. 12,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Patent</w:t>
            </w:r>
            <w:r>
              <w:t xml:space="preserve"> </w:t>
            </w:r>
            <w:r>
              <w:t xml:space="preserve">9,234,117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step-down /</w:t>
            </w:r>
            <w:r>
              <w:t xml:space="preserve"> </w:t>
            </w:r>
            <w:r>
              <w:t xml:space="preserve">renegotiation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Feb. 28,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 proposed</w:t>
            </w:r>
            <w:r>
              <w:t xml:space="preserve"> </w:t>
            </w:r>
            <w:r>
              <w:t xml:space="preserve">renewal-term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alternative</w:t>
            </w:r>
            <w:r>
              <w:t xml:space="preserve"> </w:t>
            </w:r>
            <w:r>
              <w:t xml:space="preserve">evaluation by</w:t>
            </w:r>
            <w:r>
              <w:t xml:space="preserve"> </w:t>
            </w:r>
            <w:r>
              <w:t xml:space="preserve">mid-2027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Dec. 31,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B proposed</w:t>
            </w:r>
            <w:r>
              <w:t xml:space="preserve"> </w:t>
            </w:r>
            <w:r>
              <w:t xml:space="preserve">renewal-term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</w:t>
            </w:r>
            <w:r>
              <w:t xml:space="preserve"> </w:t>
            </w:r>
            <w:r>
              <w:t xml:space="preserve">internal-platform</w:t>
            </w:r>
            <w:r>
              <w:t xml:space="preserve"> </w:t>
            </w:r>
            <w:r>
              <w:t xml:space="preserve">feasibility study by</w:t>
            </w:r>
            <w:r>
              <w:t xml:space="preserve"> </w:t>
            </w:r>
            <w:r>
              <w:t xml:space="preserve">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Jun. 30,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A proposed</w:t>
            </w:r>
            <w:r>
              <w:t xml:space="preserve"> </w:t>
            </w:r>
            <w:r>
              <w:t xml:space="preserve">renewal-term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</w:t>
            </w:r>
            <w:r>
              <w:t xml:space="preserve"> </w:t>
            </w:r>
            <w:r>
              <w:t xml:space="preserve">landscape/switching</w:t>
            </w:r>
            <w:r>
              <w:t xml:space="preserve"> </w:t>
            </w:r>
            <w:r>
              <w:t xml:space="preserve">by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Oct. 6, 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Patent</w:t>
            </w:r>
            <w:r>
              <w:t xml:space="preserve"> </w:t>
            </w:r>
            <w:r>
              <w:t xml:space="preserve">10,112,445 expiry</w:t>
            </w:r>
            <w:r>
              <w:t xml:space="preserve"> </w:t>
            </w:r>
            <w:r>
              <w:t xml:space="preserve">(per 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FTO for</w:t>
            </w:r>
            <w:r>
              <w:t xml:space="preserve"> </w:t>
            </w:r>
            <w:r>
              <w:t xml:space="preserve">CRISPR-Ag technology</w:t>
            </w:r>
            <w:r>
              <w:t xml:space="preserve"> </w:t>
            </w:r>
            <w:r>
              <w:t xml:space="preserve">(subject to date</w:t>
            </w:r>
            <w:r>
              <w:t xml:space="preserve"> </w:t>
            </w:r>
            <w:r>
              <w:t xml:space="preserve">reconciliation,</w:t>
            </w:r>
            <w:r>
              <w:t xml:space="preserve"> </w:t>
            </w:r>
            <w:r>
              <w:t xml:space="preserve">Section 5.13)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License A standstill:</w:t>
      </w:r>
      <w:r>
        <w:t xml:space="preserve"> </w:t>
      </w:r>
      <w:r>
        <w:t xml:space="preserve">Unlike License B, License A contains</w:t>
      </w:r>
      <w:r>
        <w:t xml:space="preserve"> </w:t>
      </w:r>
      <w:r>
        <w:rPr>
          <w:b/>
          <w:bCs/>
        </w:rPr>
        <w:t xml:space="preserve">no express standstill provision</w:t>
      </w:r>
      <w:r>
        <w:t xml:space="preserve">. If the License A renewal is not</w:t>
      </w:r>
      <w:r>
        <w:t xml:space="preserve"> </w:t>
      </w:r>
      <w:r>
        <w:t xml:space="preserve">executed by June 30, 2025, Section 14.4 provides that the agreement</w:t>
      </w:r>
      <w:r>
        <w:t xml:space="preserve"> </w:t>
      </w:r>
      <w:r>
        <w:t xml:space="preserve">expires at the end of the then-current term (after the 180-day</w:t>
      </w:r>
      <w:r>
        <w:t xml:space="preserve"> </w:t>
      </w:r>
      <w:r>
        <w:t xml:space="preserve">negotiation window following a Renewal Notice) without further action.</w:t>
      </w:r>
      <w:r>
        <w:t xml:space="preserve"> </w:t>
      </w:r>
      <w:r>
        <w:t xml:space="preserve">Greenfield should not assume a holdover right for License A and should</w:t>
      </w:r>
      <w:r>
        <w:t xml:space="preserve"> </w:t>
      </w:r>
      <w:r>
        <w:t xml:space="preserve">plan accordingly.</w:t>
      </w:r>
    </w:p>
    <w:bookmarkEnd w:id="117"/>
    <w:bookmarkStart w:id="118" w:name="Xe496d8d9e84dee43ec90c790337d0a025b35c91"/>
    <w:p>
      <w:pPr>
        <w:pStyle w:val="Heading2"/>
      </w:pPr>
      <w:r>
        <w:t xml:space="preserve">14. Negotiation Priorities &amp; Recommended Counter-Positions</w:t>
      </w:r>
    </w:p>
    <w:p>
      <w:pPr>
        <w:pStyle w:val="FirstParagraph"/>
      </w:pPr>
      <w:r>
        <w:t xml:space="preserve">The following prioritizes the issues by risk level and time-criticality,</w:t>
      </w:r>
      <w:r>
        <w:t xml:space="preserve"> </w:t>
      </w:r>
      <w:r>
        <w:t xml:space="preserve">with recommended counter-positions (consistent with the Oakvale</w:t>
      </w:r>
      <w:r>
        <w:t xml:space="preserve"> </w:t>
      </w:r>
      <w:r>
        <w:t xml:space="preserve">Negotiation Priorities worksheet, supplemented by the issues identified</w:t>
      </w:r>
      <w:r>
        <w:t xml:space="preserve"> </w:t>
      </w:r>
      <w:r>
        <w:t xml:space="preserve">above):</w:t>
      </w:r>
    </w:p>
    <w:tbl>
      <w:tblPr>
        <w:tblStyle w:val="Table"/>
        <w:tblW w:type="pct" w:w="4910"/>
        <w:jc w:val="left"/>
        <w:tblLayout w:type="fixed"/>
        <w:tblLook w:firstRow="1" w:lastRow="0" w:firstColumn="0" w:lastColumn="0" w:noHBand="0" w:noVBand="0" w:val="0020"/>
      </w:tblPr>
      <w:tblGrid>
        <w:gridCol w:w="784"/>
        <w:gridCol w:w="784"/>
        <w:gridCol w:w="1641"/>
        <w:gridCol w:w="1284"/>
        <w:gridCol w:w="1212"/>
        <w:gridCol w:w="1284"/>
        <w:gridCol w:w="7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NovaTrait</w:t>
            </w:r>
            <w:r>
              <w:t xml:space="preserve"> </w:t>
            </w:r>
            <w: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</w:t>
            </w:r>
            <w:r>
              <w:t xml:space="preserve"> </w:t>
            </w: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  <w:r>
              <w:t xml:space="preserve"> </w:t>
            </w: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 expiration</w:t>
            </w:r>
            <w:r>
              <w:t xml:space="preserve"> </w:t>
            </w:r>
            <w:r>
              <w:t xml:space="preserve">(Jun. 29,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effective</w:t>
            </w:r>
            <w:r>
              <w:t xml:space="preserve"> </w:t>
            </w:r>
            <w:r>
              <w:t xml:space="preserve">Jan. 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Standstill</w:t>
            </w:r>
            <w:r>
              <w:t xml:space="preserve"> </w:t>
            </w:r>
            <w:r>
              <w:t xml:space="preserve">expires Jun. 29,</w:t>
            </w:r>
            <w:r>
              <w:t xml:space="preserve"> </w:t>
            </w: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written</w:t>
            </w:r>
            <w:r>
              <w:t xml:space="preserve"> </w:t>
            </w:r>
            <w:r>
              <w:t xml:space="preserve">standstill</w:t>
            </w:r>
            <w:r>
              <w:t xml:space="preserve"> </w:t>
            </w:r>
            <w:r>
              <w:t xml:space="preserve">extension to</w:t>
            </w:r>
            <w:r>
              <w:t xml:space="preserve"> </w:t>
            </w:r>
            <w:r>
              <w:t xml:space="preserve">Dec. 31, 2025 as</w:t>
            </w:r>
            <w:r>
              <w:t xml:space="preserve"> </w:t>
            </w:r>
            <w:r>
              <w:t xml:space="preserve">condition of</w:t>
            </w:r>
            <w:r>
              <w:t xml:space="preserve"> </w:t>
            </w:r>
            <w:r>
              <w:t xml:space="preserve">continued</w:t>
            </w:r>
            <w:r>
              <w:t xml:space="preserve"> </w:t>
            </w:r>
            <w:r>
              <w:t xml:space="preserve">negotiation;</w:t>
            </w:r>
            <w:r>
              <w:t xml:space="preserve"> </w:t>
            </w:r>
            <w:r>
              <w:t xml:space="preserve">prioritize</w:t>
            </w:r>
            <w:r>
              <w:t xml:space="preserve"> </w:t>
            </w:r>
            <w:r>
              <w:t xml:space="preserve">License B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 Data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NovaTrait owns</w:t>
            </w:r>
            <w:r>
              <w:t xml:space="preserve"> </w:t>
            </w:r>
            <w:r>
              <w:t xml:space="preserve">all output data;</w:t>
            </w:r>
            <w:r>
              <w:t xml:space="preserve"> </w:t>
            </w:r>
            <w:r>
              <w:t xml:space="preserve">Greenfield</w:t>
            </w:r>
            <w:r>
              <w:t xml:space="preserve"> </w:t>
            </w:r>
            <w:r>
              <w:t xml:space="preserve">non-exclusive</w:t>
            </w:r>
            <w:r>
              <w:t xml:space="preserve"> </w:t>
            </w:r>
            <w:r>
              <w:t xml:space="preserve">license</w:t>
            </w:r>
            <w:r>
              <w:t xml:space="preserve"> </w:t>
            </w:r>
            <w:r>
              <w:t xml:space="preserve">terminating at</w:t>
            </w:r>
            <w:r>
              <w:t xml:space="preserve"> </w:t>
            </w:r>
            <w:r>
              <w:t xml:space="preserve">end of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must</w:t>
            </w:r>
            <w:r>
              <w:t xml:space="preserve"> </w:t>
            </w:r>
            <w:r>
              <w:t xml:space="preserve">own all</w:t>
            </w:r>
            <w:r>
              <w:t xml:space="preserve"> </w:t>
            </w:r>
            <w:r>
              <w:t xml:space="preserve">output/derived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output data</w:t>
            </w:r>
            <w:r>
              <w:t xml:space="preserve"> </w:t>
            </w:r>
            <w:r>
              <w:t xml:space="preserve">solely owned by</w:t>
            </w:r>
            <w:r>
              <w:t xml:space="preserve"> </w:t>
            </w:r>
            <w:r>
              <w:t xml:space="preserve">Greenfield</w:t>
            </w:r>
            <w:r>
              <w:t xml:space="preserve"> </w:t>
            </w:r>
            <w:r>
              <w:t xml:space="preserve">(consistent with</w:t>
            </w:r>
            <w:r>
              <w:t xml:space="preserve"> </w:t>
            </w:r>
            <w:r>
              <w:t xml:space="preserve">§9.2); at most a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anonymized</w:t>
            </w:r>
            <w:r>
              <w:t xml:space="preserve"> </w:t>
            </w:r>
            <w:r>
              <w:t xml:space="preserve">license to</w:t>
            </w:r>
            <w:r>
              <w:t xml:space="preserve"> </w:t>
            </w:r>
            <w:r>
              <w:t xml:space="preserve">NovaTrait for</w:t>
            </w:r>
            <w:r>
              <w:t xml:space="preserve"> </w:t>
            </w:r>
            <w:r>
              <w:t xml:space="preserve">product</w:t>
            </w:r>
            <w:r>
              <w:t xml:space="preserve"> </w:t>
            </w: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ownership;</w:t>
            </w:r>
            <w:r>
              <w:t xml:space="preserve"> </w:t>
            </w:r>
            <w:r>
              <w:t xml:space="preserve">royalty-free</w:t>
            </w:r>
            <w:r>
              <w:t xml:space="preserve"> </w:t>
            </w:r>
            <w:r>
              <w:t xml:space="preserve">grant-back to</w:t>
            </w:r>
            <w:r>
              <w:t xml:space="preserve"> </w:t>
            </w:r>
            <w:r>
              <w:t xml:space="preserve">NovaTrait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sole</w:t>
            </w:r>
            <w:r>
              <w:t xml:space="preserve"> </w:t>
            </w:r>
            <w:r>
              <w:t xml:space="preserve">Greenfield</w:t>
            </w:r>
            <w:r>
              <w:t xml:space="preserve"> </w:t>
            </w:r>
            <w:r>
              <w:t xml:space="preserve">ownership (§8.1)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sole</w:t>
            </w:r>
            <w:r>
              <w:t xml:space="preserve"> </w:t>
            </w:r>
            <w:r>
              <w:t xml:space="preserve">ownership</w:t>
            </w:r>
            <w:r>
              <w:t xml:space="preserve"> </w:t>
            </w:r>
            <w:r>
              <w:t xml:space="preserve">retained;</w:t>
            </w:r>
            <w:r>
              <w:t xml:space="preserve"> </w:t>
            </w:r>
            <w:r>
              <w:t xml:space="preserve">non-exclusive</w:t>
            </w:r>
            <w:r>
              <w:t xml:space="preserve"> </w:t>
            </w:r>
            <w:r>
              <w:t xml:space="preserve">license to</w:t>
            </w:r>
            <w:r>
              <w:t xml:space="preserve"> </w:t>
            </w:r>
            <w:r>
              <w:t xml:space="preserve">NovaTrait at</w:t>
            </w:r>
            <w:r>
              <w:t xml:space="preserve"> </w:t>
            </w:r>
            <w:r>
              <w:t xml:space="preserve">commercially</w:t>
            </w:r>
            <w:r>
              <w:t xml:space="preserve"> </w:t>
            </w:r>
            <w:r>
              <w:t xml:space="preserve">reasonable</w:t>
            </w:r>
            <w:r>
              <w:t xml:space="preserve"> </w:t>
            </w:r>
            <w:r>
              <w:t xml:space="preserve">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rate + Net</w:t>
            </w:r>
            <w:r>
              <w:t xml:space="preserve"> </w:t>
            </w:r>
            <w:r>
              <w:t xml:space="preserve">Sales redefinition</w:t>
            </w:r>
            <w:r>
              <w:t xml:space="preserve"> </w:t>
            </w:r>
            <w:r>
              <w:t xml:space="preserve">(combined)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6.25% on</w:t>
            </w:r>
            <w:r>
              <w:t xml:space="preserve"> </w:t>
            </w:r>
            <w:r>
              <w:t xml:space="preserve">redefined Net</w:t>
            </w:r>
            <w:r>
              <w:t xml:space="preserve"> </w:t>
            </w:r>
            <w:r>
              <w:t xml:space="preserve">Sales (effective</w:t>
            </w:r>
            <w:r>
              <w:t xml:space="preserve"> </w:t>
            </w:r>
            <w:r>
              <w:t xml:space="preserve">~6.70%)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 on standard</w:t>
            </w:r>
            <w:r>
              <w:t xml:space="preserve"> </w:t>
            </w:r>
            <w:r>
              <w:t xml:space="preserve">Net 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 on original</w:t>
            </w:r>
            <w:r>
              <w:t xml:space="preserve"> </w:t>
            </w:r>
            <w:r>
              <w:t xml:space="preserve">Net Sales</w:t>
            </w:r>
            <w:r>
              <w:t xml:space="preserve"> </w:t>
            </w:r>
            <w:r>
              <w:t xml:space="preserve">definition, or</w:t>
            </w:r>
            <w:r>
              <w:t xml:space="preserve"> </w:t>
            </w:r>
            <w:r>
              <w:t xml:space="preserve">4.75% on</w:t>
            </w:r>
            <w:r>
              <w:t xml:space="preserve"> </w:t>
            </w:r>
            <w:r>
              <w:t xml:space="preserve">redefined;</w:t>
            </w:r>
            <w:r>
              <w:t xml:space="preserve"> </w:t>
            </w:r>
            <w:r>
              <w:t xml:space="preserve">measure combined</w:t>
            </w:r>
            <w:r>
              <w:t xml:space="preserve"> </w:t>
            </w:r>
            <w:r>
              <w:t xml:space="preserve">effect against</w:t>
            </w:r>
            <w:r>
              <w:t xml:space="preserve"> </w:t>
            </w:r>
            <w:r>
              <w:t xml:space="preserve">150%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 (above</w:t>
            </w:r>
            <w:r>
              <w:t xml:space="preserve"> </w:t>
            </w:r>
            <w:r>
              <w:t xml:space="preserve">3.0%–4.5%</w:t>
            </w:r>
            <w:r>
              <w:t xml:space="preserve"> </w:t>
            </w:r>
            <w:r>
              <w:t xml:space="preserve">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4.25% on original</w:t>
            </w:r>
            <w:r>
              <w:t xml:space="preserve"> </w:t>
            </w:r>
            <w:r>
              <w:t xml:space="preserve">Net Sales</w:t>
            </w:r>
            <w:r>
              <w:t xml:space="preserve"> </w:t>
            </w: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Source-code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Eliminated;</w:t>
            </w:r>
            <w:r>
              <w:t xml:space="preserve"> </w:t>
            </w:r>
            <w:r>
              <w:t xml:space="preserve">object code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full</w:t>
            </w:r>
            <w:r>
              <w:t xml:space="preserve"> </w:t>
            </w:r>
            <w:r>
              <w:t xml:space="preserve">source-code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</w:t>
            </w:r>
            <w:r>
              <w:t xml:space="preserve"> </w:t>
            </w:r>
            <w:r>
              <w:t xml:space="preserve">source-code</w:t>
            </w:r>
            <w:r>
              <w:t xml:space="preserve"> </w:t>
            </w:r>
            <w:r>
              <w:t xml:space="preserve">access; accept</w:t>
            </w:r>
            <w:r>
              <w:t xml:space="preserve"> </w:t>
            </w:r>
            <w:r>
              <w:t xml:space="preserve">reasonable</w:t>
            </w:r>
            <w:r>
              <w:t xml:space="preserve"> </w:t>
            </w:r>
            <w:r>
              <w:t xml:space="preserve">security/escrow</w:t>
            </w:r>
            <w:r>
              <w:t xml:space="preserve"> </w:t>
            </w:r>
            <w:r>
              <w:t xml:space="preserve">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Biological-materials</w:t>
            </w:r>
            <w:r>
              <w:t xml:space="preserve"> </w:t>
            </w: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</w:t>
            </w:r>
            <w:r>
              <w:t xml:space="preserve"> </w:t>
            </w:r>
            <w:r>
              <w:t xml:space="preserve">return/destroy,</w:t>
            </w:r>
            <w:r>
              <w:t xml:space="preserve"> </w:t>
            </w:r>
            <w:r>
              <w:t xml:space="preserve">no wind-down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for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wind-down</w:t>
            </w:r>
            <w:r>
              <w:t xml:space="preserve"> </w:t>
            </w:r>
            <w:r>
              <w:t xml:space="preserve">with right to use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materials in</w:t>
            </w:r>
            <w:r>
              <w:t xml:space="preserve"> </w:t>
            </w:r>
            <w:r>
              <w:t xml:space="preserve">ongoing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fee + user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$4.85M base +</w:t>
            </w:r>
            <w:r>
              <w:t xml:space="preserve"> </w:t>
            </w:r>
            <w:r>
              <w:t xml:space="preserve">50-user cap</w:t>
            </w:r>
            <w:r>
              <w:t xml:space="preserve"> </w:t>
            </w:r>
            <w:r>
              <w:t xml:space="preserve">($18.5K/user</w:t>
            </w:r>
            <w:r>
              <w:t xml:space="preserve"> </w:t>
            </w:r>
            <w:r>
              <w:t xml:space="preserve">overage) =</w:t>
            </w:r>
            <w:r>
              <w:t xml:space="preserve"> </w:t>
            </w:r>
            <w:r>
              <w:t xml:space="preserve">~$5.28M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$3.14M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$3.75M with</w:t>
            </w:r>
            <w:r>
              <w:t xml:space="preserve"> </w:t>
            </w:r>
            <w:r>
              <w:t xml:space="preserve">80-user cap;</w:t>
            </w:r>
            <w:r>
              <w:t xml:space="preserve"> </w:t>
            </w:r>
            <w:r>
              <w:t xml:space="preserve">overage at</w:t>
            </w:r>
            <w:r>
              <w:t xml:space="preserve"> </w:t>
            </w:r>
            <w:r>
              <w:t xml:space="preserve">$12,000/user;</w:t>
            </w:r>
            <w:r>
              <w:t xml:space="preserve"> </w:t>
            </w:r>
            <w:r>
              <w:t xml:space="preserve">conversion tool</w:t>
            </w:r>
            <w:r>
              <w:t xml:space="preserve"> </w:t>
            </w:r>
            <w:r>
              <w:t xml:space="preserve">included at no</w:t>
            </w:r>
            <w:r>
              <w:t xml:space="preserve"> </w:t>
            </w: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Sublicense</w:t>
            </w:r>
            <w:r>
              <w:t xml:space="preserve"> </w:t>
            </w:r>
            <w:r>
              <w:t xml:space="preserve">pass-through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→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 current</w:t>
            </w:r>
            <w:r>
              <w:t xml:space="preserve"> </w:t>
            </w:r>
            <w:r>
              <w:t xml:space="preserve">(above market</w:t>
            </w:r>
            <w:r>
              <w:t xml:space="preserve"> </w:t>
            </w:r>
            <w:r>
              <w:t xml:space="preserve">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35%; or</w:t>
            </w:r>
            <w:r>
              <w:t xml:space="preserve"> </w:t>
            </w:r>
            <w:r>
              <w:t xml:space="preserve">40% with volume</w:t>
            </w:r>
            <w:r>
              <w:t xml:space="preserve"> </w:t>
            </w:r>
            <w:r>
              <w:t xml:space="preserve">discount above</w:t>
            </w:r>
            <w:r>
              <w:t xml:space="preserve"> </w:t>
            </w:r>
            <w:r>
              <w:t xml:space="preserve">$2M pass-through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Prairielands</w:t>
            </w:r>
            <w:r>
              <w:t xml:space="preserve"> </w:t>
            </w:r>
            <w:r>
              <w:t xml:space="preserve">pass-through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pass-through</w:t>
            </w:r>
            <w:r>
              <w:t xml:space="preserve"> </w:t>
            </w:r>
            <w:r>
              <w:t xml:space="preserve">(per Oakvale;</w:t>
            </w:r>
            <w:r>
              <w:t xml:space="preserve"> </w:t>
            </w:r>
            <w:r>
              <w:t xml:space="preserve">Proposal silent)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</w:t>
            </w:r>
            <w:r>
              <w:t xml:space="preserve"> </w:t>
            </w:r>
            <w:r>
              <w:t xml:space="preserve">pass-through</w:t>
            </w:r>
            <w:r>
              <w:t xml:space="preserve"> </w:t>
            </w: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pass-through</w:t>
            </w:r>
            <w:r>
              <w:t xml:space="preserve"> </w:t>
            </w:r>
            <w:r>
              <w:t xml:space="preserve">with 12-month</w:t>
            </w:r>
            <w:r>
              <w:t xml:space="preserve"> </w:t>
            </w:r>
            <w:r>
              <w:t xml:space="preserve">phase-in; demand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w:r>
              <w:t xml:space="preserve">disclosure in</w:t>
            </w:r>
            <w:r>
              <w:t xml:space="preserve"> </w:t>
            </w:r>
            <w:r>
              <w:t xml:space="preserve">term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Insect-resistance</w:t>
            </w:r>
            <w:r>
              <w:t xml:space="preserve"> </w:t>
            </w:r>
            <w:r>
              <w:t xml:space="preserve">removal from Field of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insect</w:t>
            </w:r>
            <w:r>
              <w:t xml:space="preserve"> </w:t>
            </w:r>
            <w:r>
              <w:t xml:space="preserve">resistance; adds</w:t>
            </w:r>
            <w:r>
              <w:t xml:space="preserve"> </w:t>
            </w:r>
            <w:r>
              <w:t xml:space="preserve">wheat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Insect</w:t>
            </w:r>
            <w:r>
              <w:t xml:space="preserve"> </w:t>
            </w:r>
            <w:r>
              <w:t xml:space="preserve">resistance ~30%</w:t>
            </w:r>
            <w:r>
              <w:t xml:space="preserve"> </w:t>
            </w:r>
            <w:r>
              <w:t xml:space="preserve">of License A</w:t>
            </w:r>
            <w:r>
              <w:t xml:space="preserve"> </w:t>
            </w: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insect</w:t>
            </w:r>
            <w:r>
              <w:t xml:space="preserve"> </w:t>
            </w:r>
            <w:r>
              <w:t xml:space="preserve">resistance AND</w:t>
            </w:r>
            <w:r>
              <w:t xml:space="preserve"> </w:t>
            </w:r>
            <w:r>
              <w:t xml:space="preserve">add wheat; or</w:t>
            </w:r>
            <w:r>
              <w:t xml:space="preserve"> </w:t>
            </w:r>
            <w:r>
              <w:t xml:space="preserve">binding</w:t>
            </w:r>
            <w:r>
              <w:t xml:space="preserve"> </w:t>
            </w:r>
            <w:r>
              <w:t xml:space="preserve">transitional</w:t>
            </w:r>
            <w:r>
              <w:t xml:space="preserve"> </w:t>
            </w:r>
            <w:r>
              <w:t xml:space="preserve">license + rate</w:t>
            </w:r>
            <w:r>
              <w:t xml:space="preserve"> </w:t>
            </w:r>
            <w:r>
              <w:t xml:space="preserve">reduction +</w:t>
            </w:r>
            <w:r>
              <w:t xml:space="preserve"> </w:t>
            </w:r>
            <w:r>
              <w:t xml:space="preserve">sell-off</w:t>
            </w:r>
            <w:r>
              <w:t xml:space="preserve"> </w:t>
            </w: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2×/yr, 15</w:t>
            </w:r>
            <w:r>
              <w:t xml:space="preserve"> </w:t>
            </w:r>
            <w:r>
              <w:t xml:space="preserve">business days,</w:t>
            </w:r>
            <w:r>
              <w:t xml:space="preserve"> </w:t>
            </w:r>
            <w:r>
              <w:t xml:space="preserve">5-yr look-back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1×/yr, 30</w:t>
            </w:r>
            <w:r>
              <w:t xml:space="preserve"> </w:t>
            </w:r>
            <w:r>
              <w:t xml:space="preserve">calendar days,</w:t>
            </w:r>
            <w:r>
              <w:t xml:space="preserve"> </w:t>
            </w:r>
            <w:r>
              <w:t xml:space="preserve">3-yr look-back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1×/yr retained;</w:t>
            </w:r>
            <w:r>
              <w:t xml:space="preserve"> </w:t>
            </w:r>
            <w:r>
              <w:t xml:space="preserve">20 business days’</w:t>
            </w:r>
            <w:r>
              <w:t xml:space="preserve"> </w:t>
            </w:r>
            <w:r>
              <w:t xml:space="preserve">notice; 3-yr</w:t>
            </w:r>
            <w:r>
              <w:t xml:space="preserve"> </w:t>
            </w:r>
            <w:r>
              <w:t xml:space="preserve">look-back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Anti-stacking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offset cap;</w:t>
            </w:r>
            <w:r>
              <w:t xml:space="preserve"> </w:t>
            </w:r>
            <w:r>
              <w:t xml:space="preserve">4.75% effective</w:t>
            </w:r>
            <w:r>
              <w:t xml:space="preserve"> </w:t>
            </w: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Helpful but</w:t>
            </w:r>
            <w:r>
              <w:t xml:space="preserve"> </w:t>
            </w:r>
            <w:r>
              <w:t xml:space="preserve">floor limits</w:t>
            </w:r>
            <w:r>
              <w:t xml:space="preserve"> </w:t>
            </w: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with floor</w:t>
            </w:r>
            <w:r>
              <w:t xml:space="preserve"> </w:t>
            </w:r>
            <w:r>
              <w:t xml:space="preserve">at 75% of</w:t>
            </w:r>
            <w:r>
              <w:t xml:space="preserve"> </w:t>
            </w:r>
            <w:r>
              <w:t xml:space="preserve">calculated (not</w:t>
            </w:r>
            <w:r>
              <w:t xml:space="preserve"> </w:t>
            </w:r>
            <w:r>
              <w:t xml:space="preserve">minimum) royalty;</w:t>
            </w:r>
            <w:r>
              <w:t xml:space="preserve"> </w:t>
            </w:r>
            <w:r>
              <w:t xml:space="preserve">offset available</w:t>
            </w:r>
            <w:r>
              <w:t xml:space="preserve"> </w:t>
            </w:r>
            <w:r>
              <w:t xml:space="preserve">against MAR</w:t>
            </w:r>
            <w:r>
              <w:t xml:space="preserve"> </w:t>
            </w:r>
            <w:r>
              <w:t xml:space="preserve">true-up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5.x conversion</w:t>
            </w:r>
            <w:r>
              <w:t xml:space="preserve"> </w:t>
            </w:r>
            <w:r>
              <w:t xml:space="preserve">tool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  <w:r>
              <w:t xml:space="preserve"> </w:t>
            </w: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</w:t>
            </w:r>
            <w:r>
              <w:t xml:space="preserve"> </w:t>
            </w:r>
            <w:r>
              <w:t xml:space="preserve">included in</w:t>
            </w:r>
            <w:r>
              <w:t xml:space="preserve"> </w:t>
            </w:r>
            <w:r>
              <w:t xml:space="preserve">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tool</w:t>
            </w:r>
            <w:r>
              <w:t xml:space="preserve"> </w:t>
            </w:r>
            <w:r>
              <w:t xml:space="preserve">included at no</w:t>
            </w:r>
            <w:r>
              <w:t xml:space="preserve"> </w:t>
            </w:r>
            <w:r>
              <w:t xml:space="preserve">cost as condition</w:t>
            </w:r>
            <w:r>
              <w:t xml:space="preserve"> </w:t>
            </w:r>
            <w:r>
              <w:t xml:space="preserve">of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step-down at</w:t>
            </w:r>
            <w:r>
              <w:t xml:space="preserve"> </w:t>
            </w:r>
            <w:r>
              <w:t xml:space="preserve">’117 expiry (Mar. 12,</w:t>
            </w:r>
            <w:r>
              <w:t xml:space="preserve"> </w:t>
            </w:r>
            <w:r>
              <w:t xml:space="preserve">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6.25%</w:t>
            </w:r>
            <w:r>
              <w:t xml:space="preserve"> </w:t>
            </w:r>
            <w:r>
              <w:t xml:space="preserve">through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drops to</w:t>
            </w:r>
            <w:r>
              <w:t xml:space="preserve"> </w:t>
            </w:r>
            <w:r>
              <w:t xml:space="preserve">~35–40%</w:t>
            </w:r>
            <w:r>
              <w:t xml:space="preserve"> </w:t>
            </w:r>
            <w:r>
              <w:t xml:space="preserve">post-’117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  <w:r>
              <w:t xml:space="preserve"> </w:t>
            </w:r>
            <w:r>
              <w:t xml:space="preserve">step-down to</w:t>
            </w:r>
            <w:r>
              <w:t xml:space="preserve"> </w:t>
            </w:r>
            <w:r>
              <w:t xml:space="preserve">2.5%–3.5%</w:t>
            </w:r>
            <w:r>
              <w:t xml:space="preserve"> </w:t>
            </w:r>
            <w:r>
              <w:t xml:space="preserve">effective</w:t>
            </w:r>
            <w:r>
              <w:t xml:space="preserve"> </w:t>
            </w:r>
            <w:r>
              <w:t xml:space="preserve">Mar. 12, 2028, or</w:t>
            </w:r>
            <w:r>
              <w:t xml:space="preserve"> </w:t>
            </w:r>
            <w:r>
              <w:t xml:space="preserve">renegotiation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doubling ($4M →</w:t>
            </w:r>
            <w:r>
              <w:t xml:space="preserve"> </w:t>
            </w:r>
            <w:r>
              <w:t xml:space="preserve">$8M)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$8M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Resist; if</w:t>
            </w:r>
            <w:r>
              <w:t xml:space="preserve"> </w:t>
            </w:r>
            <w:r>
              <w:t xml:space="preserve">unavoidable, tie</w:t>
            </w:r>
            <w:r>
              <w:t xml:space="preserve"> </w:t>
            </w:r>
            <w:r>
              <w:t xml:space="preserve">to reduced rate</w:t>
            </w:r>
            <w:r>
              <w:t xml:space="preserve"> </w:t>
            </w:r>
            <w:r>
              <w:t xml:space="preserve">or post-2028</w:t>
            </w:r>
            <w:r>
              <w:t xml:space="preserve"> </w:t>
            </w:r>
            <w:r>
              <w:t xml:space="preserve">step-down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schedule</w:t>
            </w:r>
            <w:r>
              <w:t xml:space="preserve"> </w:t>
            </w:r>
            <w:r>
              <w:t xml:space="preserve">discrepancy (Appendix</w:t>
            </w:r>
            <w:r>
              <w:t xml:space="preserve"> </w:t>
            </w: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</w:t>
            </w:r>
            <w:r>
              <w:t xml:space="preserve"> </w:t>
            </w:r>
            <w:r>
              <w:t xml:space="preserve">expiration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with</w:t>
            </w:r>
            <w:r>
              <w:t xml:space="preserve"> </w:t>
            </w:r>
            <w:r>
              <w:t xml:space="preserve">Exhibit</w:t>
            </w:r>
            <w:r>
              <w:t xml:space="preserve"> </w:t>
            </w:r>
            <w:r>
              <w:t xml:space="preserve">A/Clarendon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verified</w:t>
            </w:r>
            <w:r>
              <w:t xml:space="preserve"> </w:t>
            </w:r>
            <w:r>
              <w:t xml:space="preserve">patent-term</w:t>
            </w:r>
            <w:r>
              <w:t xml:space="preserve"> </w:t>
            </w:r>
            <w:r>
              <w:t xml:space="preserve">calculations</w:t>
            </w:r>
            <w:r>
              <w:t xml:space="preserve"> </w:t>
            </w:r>
            <w:r>
              <w:t xml:space="preserve">before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Section 14.5 (MFL)</w:t>
            </w:r>
            <w:r>
              <w:t xml:space="preserve">”</w:t>
            </w:r>
            <w:r>
              <w:t xml:space="preserve"> </w:t>
            </w:r>
            <w:r>
              <w:t xml:space="preserve">— non-existent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Maintain</w:t>
            </w:r>
            <w:r>
              <w:t xml:space="preserve">”</w:t>
            </w:r>
            <w:r>
              <w:t xml:space="preserve"> </w:t>
            </w:r>
            <w:r>
              <w:t xml:space="preserve">non-existent MFL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MFL in</w:t>
            </w:r>
            <w:r>
              <w:t xml:space="preserve"> </w:t>
            </w:r>
            <w:r>
              <w:t xml:space="preserve">License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in</w:t>
            </w:r>
            <w:r>
              <w:t xml:space="preserve"> </w:t>
            </w:r>
            <w:r>
              <w:t xml:space="preserve">writing; consider</w:t>
            </w:r>
            <w:r>
              <w:t xml:space="preserve"> </w:t>
            </w:r>
            <w:r>
              <w:t xml:space="preserve">negotiating a</w:t>
            </w:r>
            <w:r>
              <w:t xml:space="preserve"> </w:t>
            </w:r>
            <w:r>
              <w:t xml:space="preserve">genuine MFL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misidentification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Bergerac</w:t>
            </w:r>
            <w:r>
              <w:t xml:space="preserve"> </w:t>
            </w:r>
            <w:r>
              <w:t xml:space="preserve">Whitlock LLP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Ashworth &amp;</w:t>
            </w:r>
            <w:r>
              <w:t xml:space="preserve"> </w:t>
            </w:r>
            <w:r>
              <w:t xml:space="preserve">Calder LLP</w:t>
            </w:r>
            <w:r>
              <w:t xml:space="preserve"> </w:t>
            </w:r>
            <w:r>
              <w:t xml:space="preserve">designated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correct</w:t>
            </w:r>
            <w:r>
              <w:t xml:space="preserve"> </w:t>
            </w:r>
            <w:r>
              <w:t xml:space="preserve">counsel; route</w:t>
            </w:r>
            <w:r>
              <w:t xml:space="preserve"> </w:t>
            </w:r>
            <w:r>
              <w:t xml:space="preserve">notices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 modifications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ownership</w:t>
            </w:r>
            <w:r>
              <w:t xml:space="preserve"> </w:t>
            </w:r>
            <w:r>
              <w:t xml:space="preserve">or forced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Greenfield sole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sole</w:t>
            </w:r>
            <w:r>
              <w:t xml:space="preserve"> </w:t>
            </w:r>
            <w:r>
              <w:t xml:space="preserve">Greenfield</w:t>
            </w:r>
            <w:r>
              <w:t xml:space="preserve"> </w:t>
            </w:r>
            <w:r>
              <w:t xml:space="preserve">ownership of</w:t>
            </w:r>
            <w:r>
              <w:t xml:space="preserve"> </w:t>
            </w:r>
            <w:r>
              <w:t xml:space="preserve">existing 4.x</w:t>
            </w:r>
            <w:r>
              <w:t xml:space="preserve"> </w:t>
            </w:r>
            <w:r>
              <w:t xml:space="preserve">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negotiation items identified in the body of this memo</w:t>
      </w:r>
      <w:r>
        <w:rPr>
          <w:b/>
          <w:bCs/>
        </w:rPr>
        <w:t xml:space="preserve"> </w:t>
      </w:r>
      <w:r>
        <w:rPr>
          <w:b/>
          <w:bCs/>
        </w:rPr>
        <w:t xml:space="preserve">(not separately tabulated above) that should be added to the</w:t>
      </w:r>
      <w:r>
        <w:rPr>
          <w:b/>
          <w:bCs/>
        </w:rPr>
        <w:t xml:space="preserve"> </w:t>
      </w:r>
      <w:r>
        <w:rPr>
          <w:b/>
          <w:bCs/>
        </w:rPr>
        <w:t xml:space="preserve">negotiation agenda:</w:t>
      </w:r>
      <w:r>
        <w:t xml:space="preserve"> </w:t>
      </w:r>
      <w:r>
        <w:t xml:space="preserve">(a) License B</w:t>
      </w:r>
      <w:r>
        <w:t xml:space="preserve"> </w:t>
      </w:r>
      <w:r>
        <w:rPr>
          <w:b/>
          <w:bCs/>
        </w:rPr>
        <w:t xml:space="preserve">retroactive January 1, 2025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 date</w:t>
      </w:r>
      <w:r>
        <w:t xml:space="preserve"> </w:t>
      </w:r>
      <w:r>
        <w:t xml:space="preserve">— reject retroactivity / no back-payment for the</w:t>
      </w:r>
      <w:r>
        <w:t xml:space="preserve"> </w:t>
      </w:r>
      <w:r>
        <w:t xml:space="preserve">standstill period (§6.14, HIGH); (b)</w:t>
      </w:r>
      <w:r>
        <w:t xml:space="preserve"> </w:t>
      </w:r>
      <w:r>
        <w:rPr>
          <w:b/>
          <w:bCs/>
        </w:rPr>
        <w:t xml:space="preserve">Prairielands Improvements vs.</w:t>
      </w:r>
      <w:r>
        <w:rPr>
          <w:b/>
          <w:bCs/>
        </w:rPr>
        <w:t xml:space="preserve"> </w:t>
      </w:r>
      <w:r>
        <w:rPr>
          <w:b/>
          <w:bCs/>
        </w:rPr>
        <w:t xml:space="preserve">License B grant-back conflict</w:t>
      </w:r>
      <w:r>
        <w:t xml:space="preserve"> </w:t>
      </w:r>
      <w:r>
        <w:t xml:space="preserve">— carve out sublicensee-owned</w:t>
      </w:r>
      <w:r>
        <w:t xml:space="preserve"> </w:t>
      </w:r>
      <w:r>
        <w:t xml:space="preserve">improvements (§9.6, HIGH); (c)</w:t>
      </w:r>
      <w:r>
        <w:t xml:space="preserve"> </w:t>
      </w:r>
      <w:r>
        <w:rPr>
          <w:b/>
          <w:bCs/>
        </w:rPr>
        <w:t xml:space="preserve">wheat know-how/biological-materials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t xml:space="preserve"> </w:t>
      </w:r>
      <w:r>
        <w:t xml:space="preserve">as a condition of the wheat field-of-use expansion (§5.20,</w:t>
      </w:r>
      <w:r>
        <w:t xml:space="preserve"> </w:t>
      </w:r>
      <w:r>
        <w:t xml:space="preserve">HIGH); (d)</w:t>
      </w:r>
      <w:r>
        <w:t xml:space="preserve"> </w:t>
      </w:r>
      <w:r>
        <w:rPr>
          <w:b/>
          <w:bCs/>
        </w:rPr>
        <w:t xml:space="preserve">License B patent-schedule discrepancy</w:t>
      </w:r>
      <w:r>
        <w:t xml:space="preserve"> </w:t>
      </w:r>
      <w:r>
        <w:t xml:space="preserve">(076/077 issue</w:t>
      </w:r>
      <w:r>
        <w:t xml:space="preserve"> </w:t>
      </w:r>
      <w:r>
        <w:t xml:space="preserve">date June 18, 2019 vs. Oct. 15, 2019) — demand verified patent-term</w:t>
      </w:r>
      <w:r>
        <w:t xml:space="preserve"> </w:t>
      </w:r>
      <w:r>
        <w:t xml:space="preserve">calculations (§6.13, MEDIUM); (e)</w:t>
      </w:r>
      <w:r>
        <w:t xml:space="preserve"> </w:t>
      </w:r>
      <w:r>
        <w:rPr>
          <w:b/>
          <w:bCs/>
        </w:rPr>
        <w:t xml:space="preserve">License C trademark</w:t>
      </w:r>
      <w:r>
        <w:t xml:space="preserve"> </w:t>
      </w:r>
      <w:r>
        <w:t xml:space="preserve">(Reg.</w:t>
      </w:r>
      <w:r>
        <w:t xml:space="preserve"> </w:t>
      </w:r>
      <w:r>
        <w:t xml:space="preserve">5,721,334) — clarify usage rights (§7.13, LOW); (f)</w:t>
      </w:r>
      <w:r>
        <w:t xml:space="preserve"> </w:t>
      </w:r>
      <w:r>
        <w:rPr>
          <w:b/>
          <w:bCs/>
        </w:rPr>
        <w:t xml:space="preserve">License C</w:t>
      </w:r>
      <w:r>
        <w:rPr>
          <w:b/>
          <w:bCs/>
        </w:rPr>
        <w:t xml:space="preserve"> </w:t>
      </w:r>
      <w:r>
        <w:rPr>
          <w:b/>
          <w:bCs/>
        </w:rPr>
        <w:t xml:space="preserve">cloud-deployment vs. source-code security</w:t>
      </w:r>
      <w:r>
        <w:t xml:space="preserve"> </w:t>
      </w:r>
      <w:r>
        <w:t xml:space="preserve">reconciliation (§7.14,</w:t>
      </w:r>
      <w:r>
        <w:t xml:space="preserve"> </w:t>
      </w:r>
      <w:r>
        <w:t xml:space="preserve">MEDIUM); (g)</w:t>
      </w:r>
      <w:r>
        <w:t xml:space="preserve"> </w:t>
      </w:r>
      <w:r>
        <w:rPr>
          <w:b/>
          <w:bCs/>
        </w:rPr>
        <w:t xml:space="preserve">License C functionality-reduction termination (§11.3)</w:t>
      </w:r>
      <w:r>
        <w:rPr>
          <w:b/>
          <w:bCs/>
        </w:rPr>
        <w:t xml:space="preserve"> </w:t>
      </w:r>
      <w:r>
        <w:rPr>
          <w:b/>
          <w:bCs/>
        </w:rPr>
        <w:t xml:space="preserve">carry-forward to 5.x</w:t>
      </w:r>
      <w:r>
        <w:t xml:space="preserve"> </w:t>
      </w:r>
      <w:r>
        <w:t xml:space="preserve">(§7.15, MEDIUM); (h)</w:t>
      </w:r>
      <w:r>
        <w:t xml:space="preserve"> </w:t>
      </w:r>
      <w:r>
        <w:rPr>
          <w:b/>
          <w:bCs/>
        </w:rPr>
        <w:t xml:space="preserve">Accepted Use Policy</w:t>
      </w:r>
      <w:r>
        <w:rPr>
          <w:b/>
          <w:bCs/>
        </w:rPr>
        <w:t xml:space="preserve"> </w:t>
      </w:r>
      <w:r>
        <w:rPr>
          <w:b/>
          <w:bCs/>
        </w:rPr>
        <w:t xml:space="preserve">carry-forward to 5.x</w:t>
      </w:r>
      <w:r>
        <w:t xml:space="preserve"> </w:t>
      </w:r>
      <w:r>
        <w:t xml:space="preserve">(§7.16, LOW); (i)</w:t>
      </w:r>
      <w:r>
        <w:t xml:space="preserve"> </w:t>
      </w:r>
      <w:r>
        <w:rPr>
          <w:b/>
          <w:bCs/>
        </w:rPr>
        <w:t xml:space="preserve">termination-for-convenience</w:t>
      </w:r>
      <w:r>
        <w:rPr>
          <w:b/>
          <w:bCs/>
        </w:rPr>
        <w:t xml:space="preserve"> </w:t>
      </w:r>
      <w:r>
        <w:rPr>
          <w:b/>
          <w:bCs/>
        </w:rPr>
        <w:t xml:space="preserve">asymmetry</w:t>
      </w:r>
      <w:r>
        <w:t xml:space="preserve"> </w:t>
      </w:r>
      <w:r>
        <w:t xml:space="preserve">across the three licenses (§8.11, MEDIUM); (j)</w:t>
      </w:r>
      <w:r>
        <w:t xml:space="preserve"> </w:t>
      </w:r>
      <w:r>
        <w:rPr>
          <w:b/>
          <w:bCs/>
        </w:rPr>
        <w:t xml:space="preserve">sell-off</w:t>
      </w:r>
      <w:r>
        <w:rPr>
          <w:b/>
          <w:bCs/>
        </w:rPr>
        <w:t xml:space="preserve"> </w:t>
      </w:r>
      <w:r>
        <w:rPr>
          <w:b/>
          <w:bCs/>
        </w:rPr>
        <w:t xml:space="preserve">asymmetry / License C holdover</w:t>
      </w:r>
      <w:r>
        <w:t xml:space="preserve"> </w:t>
      </w:r>
      <w:r>
        <w:t xml:space="preserve">(§8.12, MEDIUM); (k)</w:t>
      </w:r>
      <w:r>
        <w:t xml:space="preserve"> </w:t>
      </w:r>
      <w:r>
        <w:rPr>
          <w:b/>
          <w:bCs/>
        </w:rPr>
        <w:t xml:space="preserve">patent-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 window</w:t>
      </w:r>
      <w:r>
        <w:t xml:space="preserve"> </w:t>
      </w:r>
      <w:r>
        <w:t xml:space="preserve">(90 vs. 120 days) carry-forward (§8.13, LOW); (l)</w:t>
      </w:r>
      <w:r>
        <w:t xml:space="preserve"> </w:t>
      </w:r>
      <w:r>
        <w:rPr>
          <w:b/>
          <w:bCs/>
        </w:rPr>
        <w:t xml:space="preserve">currency-conversion methodology</w:t>
      </w:r>
      <w:r>
        <w:t xml:space="preserve"> </w:t>
      </w:r>
      <w:r>
        <w:t xml:space="preserve">differences (§8.14, LOW); (m)</w:t>
      </w:r>
      <w:r>
        <w:t xml:space="preserve"> </w:t>
      </w:r>
      <w:r>
        <w:rPr>
          <w:b/>
          <w:bCs/>
        </w:rPr>
        <w:t xml:space="preserve">License C tax gross-up</w:t>
      </w:r>
      <w:r>
        <w:t xml:space="preserve"> </w:t>
      </w:r>
      <w:r>
        <w:t xml:space="preserve">vs. cooperate-to-minimize (§8.15, MEDIUM);</w:t>
      </w:r>
      <w:r>
        <w:t xml:space="preserve"> </w:t>
      </w:r>
      <w:r>
        <w:t xml:space="preserve">(n)</w:t>
      </w:r>
      <w:r>
        <w:t xml:space="preserve"> </w:t>
      </w:r>
      <w:r>
        <w:rPr>
          <w:b/>
          <w:bCs/>
        </w:rPr>
        <w:t xml:space="preserve">no new upfront fee</w:t>
      </w:r>
      <w:r>
        <w:t xml:space="preserve"> </w:t>
      </w:r>
      <w:r>
        <w:t xml:space="preserve">— confirm in writing (§8.16, LOW); (o)</w:t>
      </w:r>
      <w:r>
        <w:t xml:space="preserve"> </w:t>
      </w:r>
      <w:r>
        <w:rPr>
          <w:b/>
          <w:bCs/>
        </w:rPr>
        <w:t xml:space="preserve">License B biological-materials progeny/derivatives</w:t>
      </w:r>
      <w:r>
        <w:t xml:space="preserve"> </w:t>
      </w:r>
      <w:r>
        <w:t xml:space="preserve">scope of the</w:t>
      </w:r>
      <w:r>
        <w:t xml:space="preserve"> </w:t>
      </w:r>
      <w:r>
        <w:t xml:space="preserve">return obligation (§6.15, HIGH).</w:t>
      </w:r>
    </w:p>
    <w:bookmarkEnd w:id="118"/>
    <w:bookmarkStart w:id="119" w:name="recommended-strategy-next-steps"/>
    <w:p>
      <w:pPr>
        <w:pStyle w:val="Heading2"/>
      </w:pPr>
      <w:r>
        <w:t xml:space="preserve">15. Recommended Strategy &amp; Next Steps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Confirm procedural posture immediately.</w:t>
      </w:r>
      <w:r>
        <w:t xml:space="preserve"> </w:t>
      </w:r>
      <w:r>
        <w:t xml:space="preserve">Verify in writing that</w:t>
      </w:r>
      <w:r>
        <w:t xml:space="preserve"> </w:t>
      </w:r>
      <w:r>
        <w:t xml:space="preserve">the September 30, 2024 (License B) and November 30, 2024 (License C)</w:t>
      </w:r>
      <w:r>
        <w:t xml:space="preserve"> </w:t>
      </w:r>
      <w:r>
        <w:t xml:space="preserve">renewal notices were timely delivered; deliver the License A renewal</w:t>
      </w:r>
      <w:r>
        <w:t xml:space="preserve"> </w:t>
      </w:r>
      <w:r>
        <w:t xml:space="preserve">notice no later than March 31, 2025; secure a License C</w:t>
      </w:r>
      <w:r>
        <w:t xml:space="preserve"> </w:t>
      </w:r>
      <w:r>
        <w:t xml:space="preserve">holdover/interim access arrangement past February 28, 2025.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Execute the License B standstill confirmation promptly — but on</w:t>
      </w:r>
      <w:r>
        <w:rPr>
          <w:b/>
          <w:bCs/>
        </w:rPr>
        <w:t xml:space="preserve"> </w:t>
      </w:r>
      <w:r>
        <w:rPr>
          <w:b/>
          <w:bCs/>
        </w:rPr>
        <w:t xml:space="preserve">Greenfield’s terms.</w:t>
      </w:r>
      <w:r>
        <w:t xml:space="preserve"> </w:t>
      </w:r>
      <w:r>
        <w:t xml:space="preserve">Negotiate an extension to December 31, 2025</w:t>
      </w:r>
      <w:r>
        <w:t xml:space="preserve"> </w:t>
      </w:r>
      <w:r>
        <w:t xml:space="preserve">(not merely June 30, 2025) as a condition of continued good-faith</w:t>
      </w:r>
      <w:r>
        <w:t xml:space="preserve"> </w:t>
      </w:r>
      <w:r>
        <w:t xml:space="preserve">negotiation, and ensure it preserves the Prairielands Sublicense and</w:t>
      </w:r>
      <w:r>
        <w:t xml:space="preserve"> </w:t>
      </w:r>
      <w:r>
        <w:t xml:space="preserve">does not waive Greenfield’s rights.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Deliver a consolidated written counter-proposal on or before April</w:t>
      </w:r>
      <w:r>
        <w:rPr>
          <w:b/>
          <w:bCs/>
        </w:rPr>
        <w:t xml:space="preserve"> </w:t>
      </w:r>
      <w:r>
        <w:rPr>
          <w:b/>
          <w:bCs/>
        </w:rPr>
        <w:t xml:space="preserve">15, 2025</w:t>
      </w:r>
      <w:r>
        <w:t xml:space="preserve">, applying the differentiated strategy: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License A:</w:t>
      </w:r>
      <w:r>
        <w:t xml:space="preserve"> </w:t>
      </w:r>
      <w:r>
        <w:t xml:space="preserve">Counter at 5.0% on the original Net Sales</w:t>
      </w:r>
      <w:r>
        <w:t xml:space="preserve"> </w:t>
      </w:r>
      <w:r>
        <w:t xml:space="preserve">definition (or 4.75% redefined); demand a ’117-expiry step-down</w:t>
      </w:r>
      <w:r>
        <w:t xml:space="preserve"> </w:t>
      </w:r>
      <w:r>
        <w:t xml:space="preserve">to 2.5%–3.5%; retain sole improvement ownership; reject the</w:t>
      </w:r>
      <w:r>
        <w:t xml:space="preserve"> </w:t>
      </w:r>
      <w:r>
        <w:t xml:space="preserve">insect-resistance removal (or demand a transitional license +</w:t>
      </w:r>
      <w:r>
        <w:t xml:space="preserve"> </w:t>
      </w:r>
      <w:r>
        <w:t xml:space="preserve">rate reduction + sell-off); reject the 50% pass-through (counter</w:t>
      </w:r>
      <w:r>
        <w:t xml:space="preserve"> </w:t>
      </w:r>
      <w:r>
        <w:t xml:space="preserve">35%–40%); accept the anti-stacking offset with a modified</w:t>
      </w:r>
      <w:r>
        <w:t xml:space="preserve"> </w:t>
      </w:r>
      <w:r>
        <w:t xml:space="preserve">floor; require reconciliation of the patent schedule and the</w:t>
      </w:r>
      <w:r>
        <w:t xml:space="preserve"> </w:t>
      </w:r>
      <w:r>
        <w:t xml:space="preserve">non-existent</w:t>
      </w:r>
      <w:r>
        <w:t xml:space="preserve"> </w:t>
      </w:r>
      <w:r>
        <w:t xml:space="preserve">“</w:t>
      </w:r>
      <w:r>
        <w:t xml:space="preserve">Section 14.5.</w:t>
      </w:r>
      <w:r>
        <w:t xml:space="preserve">”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License B:</w:t>
      </w:r>
      <w:r>
        <w:t xml:space="preserve"> </w:t>
      </w:r>
      <w:r>
        <w:t xml:space="preserve">Counter at 4.25%–4.5% on the original Net Sales</w:t>
      </w:r>
      <w:r>
        <w:t xml:space="preserve"> </w:t>
      </w:r>
      <w:r>
        <w:t xml:space="preserve">definition; preserve the 90-day (preferably 180-day)</w:t>
      </w:r>
      <w:r>
        <w:t xml:space="preserve"> </w:t>
      </w:r>
      <w:r>
        <w:t xml:space="preserve">biological-materials wind-down; reject the audit expansion;</w:t>
      </w:r>
      <w:r>
        <w:t xml:space="preserve"> </w:t>
      </w:r>
      <w:r>
        <w:t xml:space="preserve">reject any pass-through (or counter 20%–25% with phase-in);</w:t>
      </w:r>
      <w:r>
        <w:t xml:space="preserve"> </w:t>
      </w:r>
      <w:r>
        <w:t xml:space="preserve">retain sole Greenfield improvement ownership; seek the longest</w:t>
      </w:r>
      <w:r>
        <w:t xml:space="preserve"> </w:t>
      </w:r>
      <w:r>
        <w:t xml:space="preserve">available term.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License C:</w:t>
      </w:r>
      <w:r>
        <w:t xml:space="preserve"> </w:t>
      </w:r>
      <w:r>
        <w:t xml:space="preserve">Counter at $3.5M–$4.0M with no user cap (or</w:t>
      </w:r>
      <w:r>
        <w:t xml:space="preserve"> </w:t>
      </w:r>
      <w:r>
        <w:t xml:space="preserve">100-user cap);</w:t>
      </w:r>
      <w:r>
        <w:t xml:space="preserve"> </w:t>
      </w:r>
      <w:r>
        <w:rPr>
          <w:b/>
          <w:bCs/>
        </w:rPr>
        <w:t xml:space="preserve">retain source-code access (non-negotiable)</w:t>
      </w:r>
      <w:r>
        <w:t xml:space="preserve">;</w:t>
      </w:r>
      <w:r>
        <w:t xml:space="preserve"> </w:t>
      </w:r>
      <w:r>
        <w:rPr>
          <w:b/>
          <w:bCs/>
        </w:rPr>
        <w:t xml:space="preserve">reject the Derivative Data ownership transfer</w:t>
      </w:r>
      <w:r>
        <w:rPr>
          <w:b/>
          <w:bCs/>
        </w:rPr>
        <w:t xml:space="preserve"> </w:t>
      </w:r>
      <w:r>
        <w:rPr>
          <w:b/>
          <w:bCs/>
        </w:rPr>
        <w:t xml:space="preserve">(non-negotiable)</w:t>
      </w:r>
      <w:r>
        <w:t xml:space="preserve">; require the conversion tool at no cost;</w:t>
      </w:r>
      <w:r>
        <w:t xml:space="preserve"> </w:t>
      </w:r>
      <w:r>
        <w:t xml:space="preserve">retain the escrow (expanded); confirm warranty/SLAs apply to</w:t>
      </w:r>
      <w:r>
        <w:t xml:space="preserve"> </w:t>
      </w:r>
      <w:r>
        <w:t xml:space="preserve">5.x.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Commission an updated patent-landscape analysis</w:t>
      </w:r>
      <w:r>
        <w:t xml:space="preserve"> </w:t>
      </w:r>
      <w:r>
        <w:t xml:space="preserve">(Clarendon or</w:t>
      </w:r>
      <w:r>
        <w:t xml:space="preserve"> </w:t>
      </w:r>
      <w:r>
        <w:t xml:space="preserve">equivalent) before finalizing the License A renewal, to confirm the</w:t>
      </w:r>
      <w:r>
        <w:t xml:space="preserve"> </w:t>
      </w:r>
      <w:r>
        <w:t xml:space="preserve">post-2028 competitive timeline, the ’118/’002/’445 expiration dates,</w:t>
      </w:r>
      <w:r>
        <w:t xml:space="preserve"> </w:t>
      </w:r>
      <w:r>
        <w:t xml:space="preserve">and the wheat claim-coverage question.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Solicit competitive bids for License C</w:t>
      </w:r>
      <w:r>
        <w:t xml:space="preserve"> </w:t>
      </w:r>
      <w:r>
        <w:t xml:space="preserve">from BioSphere Analytics,</w:t>
      </w:r>
      <w:r>
        <w:t xml:space="preserve"> </w:t>
      </w:r>
      <w:r>
        <w:t xml:space="preserve">PlantLogic Suite, and TraitView Pro to substantiate the</w:t>
      </w:r>
      <w:r>
        <w:t xml:space="preserve"> </w:t>
      </w:r>
      <w:r>
        <w:t xml:space="preserve">$3.5M–$4.0M counter and create credible walk-away leverage</w:t>
      </w:r>
      <w:r>
        <w:t xml:space="preserve"> </w:t>
      </w:r>
      <w:r>
        <w:t xml:space="preserve">(break-even 0.7–2.5 years).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Address the Prairielands Sublicense in parallel.</w:t>
      </w:r>
      <w:r>
        <w:t xml:space="preserve"> </w:t>
      </w:r>
      <w:r>
        <w:t xml:space="preserve">Confirm its</w:t>
      </w:r>
      <w:r>
        <w:t xml:space="preserve"> </w:t>
      </w:r>
      <w:r>
        <w:t xml:space="preserve">status during standstill; obtain NovaTrait’s consent to any</w:t>
      </w:r>
      <w:r>
        <w:t xml:space="preserve"> </w:t>
      </w:r>
      <w:r>
        <w:t xml:space="preserve">necessary amendment/renewal; resolve the wind-down conflict;</w:t>
      </w:r>
      <w:r>
        <w:t xml:space="preserve"> </w:t>
      </w:r>
      <w:r>
        <w:t xml:space="preserve">evaluate sublicense economics under any imposed pass-through.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Resolve the cross-cutting discrepancies in writing:</w:t>
      </w:r>
      <w:r>
        <w:t xml:space="preserve"> </w:t>
      </w:r>
      <w:r>
        <w:t xml:space="preserve">the</w:t>
      </w:r>
      <w:r>
        <w:t xml:space="preserve"> </w:t>
      </w:r>
      <w:r>
        <w:t xml:space="preserve">patent-schedule dates (Section 5.13), the non-existent</w:t>
      </w:r>
      <w:r>
        <w:t xml:space="preserve"> </w:t>
      </w:r>
      <w:r>
        <w:t xml:space="preserve">“</w:t>
      </w:r>
      <w:r>
        <w:t xml:space="preserve">Section 14.5</w:t>
      </w:r>
      <w:r>
        <w:t xml:space="preserve"> </w:t>
      </w:r>
      <w:r>
        <w:t xml:space="preserve">MFL</w:t>
      </w:r>
      <w:r>
        <w:t xml:space="preserve">”</w:t>
      </w:r>
      <w:r>
        <w:t xml:space="preserve"> </w:t>
      </w:r>
      <w:r>
        <w:t xml:space="preserve">(Section 5.14), the counsel misidentification (Section 8.6),</w:t>
      </w:r>
      <w:r>
        <w:t xml:space="preserve"> </w:t>
      </w:r>
      <w:r>
        <w:t xml:space="preserve">the License C user-cap omission (Section 7.2), the License C</w:t>
      </w:r>
      <w:r>
        <w:t xml:space="preserve"> </w:t>
      </w:r>
      <w:r>
        <w:t xml:space="preserve">base-fee discrepancy ($4.8M vs. $4.85M) (Section 7.1), and the</w:t>
      </w:r>
      <w:r>
        <w:t xml:space="preserve"> </w:t>
      </w:r>
      <w:r>
        <w:t xml:space="preserve">License B pass-through ambiguity (Section 6.8).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Do not allow the June 29, 2025 standstill deadline to pass</w:t>
      </w:r>
      <w:r>
        <w:rPr>
          <w:b/>
          <w:bCs/>
        </w:rPr>
        <w:t xml:space="preserve"> </w:t>
      </w:r>
      <w:r>
        <w:rPr>
          <w:b/>
          <w:bCs/>
        </w:rPr>
        <w:t xml:space="preserve">unaddressed.</w:t>
      </w:r>
      <w:r>
        <w:t xml:space="preserve"> </w:t>
      </w:r>
      <w:r>
        <w:t xml:space="preserve">This is the single point of greatest operational and</w:t>
      </w:r>
      <w:r>
        <w:t xml:space="preserve"> </w:t>
      </w:r>
      <w:r>
        <w:t xml:space="preserve">legal risk in the engagement.</w:t>
      </w:r>
    </w:p>
    <w:bookmarkEnd w:id="119"/>
    <w:bookmarkStart w:id="120" w:name="X620bcc29d2c4b69fa51809e2db07baf238cbeef"/>
    <w:p>
      <w:pPr>
        <w:pStyle w:val="Heading2"/>
      </w:pPr>
      <w:r>
        <w:t xml:space="preserve">16. Open Items / Information Requests to NovaTrait</w:t>
      </w:r>
    </w:p>
    <w:p>
      <w:pPr>
        <w:pStyle w:val="Compact"/>
        <w:numPr>
          <w:ilvl w:val="0"/>
          <w:numId w:val="1010"/>
        </w:numPr>
      </w:pPr>
      <w:r>
        <w:t xml:space="preserve">Reconcile the License A patent expiration dates in Proposal Appendix</w:t>
      </w:r>
      <w:r>
        <w:t xml:space="preserve"> </w:t>
      </w:r>
      <w:r>
        <w:t xml:space="preserve">A with the original Exhibit A and the Clarendon report; provide</w:t>
      </w:r>
      <w:r>
        <w:t xml:space="preserve"> </w:t>
      </w:r>
      <w:r>
        <w:t xml:space="preserve">verified patent-term calculations (priority claims, terminal</w:t>
      </w:r>
      <w:r>
        <w:t xml:space="preserve"> </w:t>
      </w:r>
      <w:r>
        <w:t xml:space="preserve">disclaimers, PTE/SPC).</w:t>
      </w:r>
    </w:p>
    <w:p>
      <w:pPr>
        <w:pStyle w:val="Compact"/>
        <w:numPr>
          <w:ilvl w:val="0"/>
          <w:numId w:val="1010"/>
        </w:numPr>
      </w:pPr>
      <w:r>
        <w:t xml:space="preserve">Identify the</w:t>
      </w:r>
      <w:r>
        <w:t xml:space="preserve"> </w:t>
      </w:r>
      <w:r>
        <w:t xml:space="preserve">“</w:t>
      </w:r>
      <w:r>
        <w:t xml:space="preserve">Section 14.5 (MFL)</w:t>
      </w:r>
      <w:r>
        <w:t xml:space="preserve">”</w:t>
      </w:r>
      <w:r>
        <w:t xml:space="preserve"> </w:t>
      </w:r>
      <w:r>
        <w:t xml:space="preserve">provision referenced in the</w:t>
      </w:r>
      <w:r>
        <w:t xml:space="preserve"> </w:t>
      </w:r>
      <w:r>
        <w:t xml:space="preserve">Proposal, or confirm it does not exist; produce any side letter if</w:t>
      </w:r>
      <w:r>
        <w:t xml:space="preserve"> </w:t>
      </w:r>
      <w:r>
        <w:t xml:space="preserve">applicable.</w:t>
      </w:r>
    </w:p>
    <w:p>
      <w:pPr>
        <w:pStyle w:val="Compact"/>
        <w:numPr>
          <w:ilvl w:val="0"/>
          <w:numId w:val="1010"/>
        </w:numPr>
      </w:pPr>
      <w:r>
        <w:t xml:space="preserve">State expressly whether NovaTrait seeks a License B sublicense</w:t>
      </w:r>
      <w:r>
        <w:t xml:space="preserve"> </w:t>
      </w:r>
      <w:r>
        <w:t xml:space="preserve">pass-through (the written Proposal is silent; Oakvale models 40%),</w:t>
      </w:r>
      <w:r>
        <w:t xml:space="preserve"> </w:t>
      </w:r>
      <w:r>
        <w:t xml:space="preserve">and at what rate and effective date.</w:t>
      </w:r>
    </w:p>
    <w:p>
      <w:pPr>
        <w:pStyle w:val="Compact"/>
        <w:numPr>
          <w:ilvl w:val="0"/>
          <w:numId w:val="1010"/>
        </w:numPr>
      </w:pPr>
      <w:r>
        <w:t xml:space="preserve">Disclose all License C fee components in the term sheet, including</w:t>
      </w:r>
      <w:r>
        <w:t xml:space="preserve"> </w:t>
      </w:r>
      <w:r>
        <w:t xml:space="preserve">the per-user cap, overage rate, and the base-fee figure ($4.8M</w:t>
      </w:r>
      <w:r>
        <w:t xml:space="preserve"> </w:t>
      </w:r>
      <w:r>
        <w:t xml:space="preserve">vs. $4.85M).</w:t>
      </w:r>
    </w:p>
    <w:p>
      <w:pPr>
        <w:pStyle w:val="Compact"/>
        <w:numPr>
          <w:ilvl w:val="0"/>
          <w:numId w:val="1010"/>
        </w:numPr>
      </w:pPr>
      <w:r>
        <w:t xml:space="preserve">Substantiate the</w:t>
      </w:r>
      <w:r>
        <w:t xml:space="preserve"> </w:t>
      </w:r>
      <w:r>
        <w:t xml:space="preserve">“</w:t>
      </w:r>
      <w:r>
        <w:t xml:space="preserve">2024 Evergreen IP Royalty Benchmarking Report</w:t>
      </w:r>
      <w:r>
        <w:t xml:space="preserve">”</w:t>
      </w:r>
      <w:r>
        <w:t xml:space="preserve"> </w:t>
      </w:r>
      <w:r>
        <w:t xml:space="preserve">cited for the 5.5%–7.0% gene-editing range; produce the report or</w:t>
      </w:r>
      <w:r>
        <w:t xml:space="preserve"> </w:t>
      </w:r>
      <w:r>
        <w:t xml:space="preserve">the underlying transactions.</w:t>
      </w:r>
    </w:p>
    <w:p>
      <w:pPr>
        <w:pStyle w:val="Compact"/>
        <w:numPr>
          <w:ilvl w:val="0"/>
          <w:numId w:val="1010"/>
        </w:numPr>
      </w:pPr>
      <w:r>
        <w:t xml:space="preserve">Identify the third party to whom NovaTrait has granted exclusive</w:t>
      </w:r>
      <w:r>
        <w:t xml:space="preserve"> </w:t>
      </w:r>
      <w:r>
        <w:t xml:space="preserve">insect-resistance rights under the CRISPR-Ag Suite, and the</w:t>
      </w:r>
      <w:r>
        <w:t xml:space="preserve"> </w:t>
      </w:r>
      <w:r>
        <w:t xml:space="preserve">scope/term of that grant.</w:t>
      </w:r>
    </w:p>
    <w:p>
      <w:pPr>
        <w:pStyle w:val="Compact"/>
        <w:numPr>
          <w:ilvl w:val="0"/>
          <w:numId w:val="1010"/>
        </w:numPr>
      </w:pPr>
      <w:r>
        <w:t xml:space="preserve">Confirm whether any other License B (TraitForge) licensees exist in</w:t>
      </w:r>
      <w:r>
        <w:t xml:space="preserve"> </w:t>
      </w:r>
      <w:r>
        <w:t xml:space="preserve">the Western Hemisphere and their crop/territory scope (given License</w:t>
      </w:r>
      <w:r>
        <w:t xml:space="preserve"> </w:t>
      </w:r>
      <w:r>
        <w:t xml:space="preserve">B is non-exclusive since 2021).</w:t>
      </w:r>
    </w:p>
    <w:p>
      <w:pPr>
        <w:pStyle w:val="Compact"/>
        <w:numPr>
          <w:ilvl w:val="0"/>
          <w:numId w:val="1010"/>
        </w:numPr>
      </w:pPr>
      <w:r>
        <w:t xml:space="preserve">Provide refreshed representations regarding existing encumbrances on</w:t>
      </w:r>
      <w:r>
        <w:t xml:space="preserve"> </w:t>
      </w:r>
      <w:r>
        <w:t xml:space="preserve">the Licensed Patents/IP (License A Schedule 5.2; License B</w:t>
      </w:r>
      <w:r>
        <w:t xml:space="preserve"> </w:t>
      </w:r>
      <w:r>
        <w:t xml:space="preserve">Exhibit C) as of the renewal date, including the status of the</w:t>
      </w:r>
      <w:r>
        <w:t xml:space="preserve"> </w:t>
      </w:r>
      <w:r>
        <w:t xml:space="preserve">Cambridge Innovation Capital security interest.</w:t>
      </w:r>
    </w:p>
    <w:p>
      <w:pPr>
        <w:pStyle w:val="Compact"/>
        <w:numPr>
          <w:ilvl w:val="0"/>
          <w:numId w:val="1010"/>
        </w:numPr>
      </w:pPr>
      <w:r>
        <w:t xml:space="preserve">Confirm the operative version/date of the Proposal (dated October</w:t>
      </w:r>
      <w:r>
        <w:t xml:space="preserve"> </w:t>
      </w:r>
      <w:r>
        <w:t xml:space="preserve">14, 2024 vs. transmitted January 15, 2025) and whether any terms</w:t>
      </w:r>
      <w:r>
        <w:t xml:space="preserve"> </w:t>
      </w:r>
      <w:r>
        <w:t xml:space="preserve">changed.</w:t>
      </w:r>
    </w:p>
    <w:p>
      <w:pPr>
        <w:pStyle w:val="Compact"/>
        <w:numPr>
          <w:ilvl w:val="0"/>
          <w:numId w:val="1010"/>
        </w:numPr>
      </w:pPr>
      <w:r>
        <w:t xml:space="preserve">Confirm Greenfield’s correct outside counsel of record (Ashworth &amp;</w:t>
      </w:r>
      <w:r>
        <w:t xml:space="preserve"> </w:t>
      </w:r>
      <w:r>
        <w:t xml:space="preserve">Calder LLP vs. </w:t>
      </w:r>
      <w:r>
        <w:t xml:space="preserve">“</w:t>
      </w:r>
      <w:r>
        <w:t xml:space="preserve">Bergerac Whitlock LLP</w:t>
      </w:r>
      <w:r>
        <w:t xml:space="preserve">”</w:t>
      </w:r>
      <w:r>
        <w:t xml:space="preserve"> </w:t>
      </w:r>
      <w:r>
        <w:t xml:space="preserve">as stated in the Proposal).</w:t>
      </w:r>
    </w:p>
    <w:p>
      <w:pPr>
        <w:pStyle w:val="Compact"/>
        <w:numPr>
          <w:ilvl w:val="0"/>
          <w:numId w:val="1010"/>
        </w:numPr>
      </w:pPr>
      <w:r>
        <w:t xml:space="preserve">Reconcile the</w:t>
      </w:r>
      <w:r>
        <w:t xml:space="preserve"> </w:t>
      </w:r>
      <w:r>
        <w:rPr>
          <w:b/>
          <w:bCs/>
        </w:rPr>
        <w:t xml:space="preserve">License B</w:t>
      </w:r>
      <w:r>
        <w:t xml:space="preserve"> </w:t>
      </w:r>
      <w:r>
        <w:t xml:space="preserve">patent issue/filing dates: Exhibit A</w:t>
      </w:r>
      <w:r>
        <w:t xml:space="preserve"> </w:t>
      </w:r>
      <w:r>
        <w:t xml:space="preserve">lists 10,443,076/10,443,077 as issued June 18, 2019, while Proposal</w:t>
      </w:r>
      <w:r>
        <w:t xml:space="preserve"> </w:t>
      </w:r>
      <w:r>
        <w:t xml:space="preserve">Appendix A lists them as filed May 2, 2016 and issued October 15,</w:t>
      </w:r>
      <w:r>
        <w:t xml:space="preserve"> </w:t>
      </w:r>
      <w:r>
        <w:t xml:space="preserve">2019; provide verified patent-term calculations for all three</w:t>
      </w:r>
      <w:r>
        <w:t xml:space="preserve"> </w:t>
      </w:r>
      <w:r>
        <w:t xml:space="preserve">TraitForge patents (§6.13).</w:t>
      </w:r>
    </w:p>
    <w:p>
      <w:pPr>
        <w:pStyle w:val="Compact"/>
        <w:numPr>
          <w:ilvl w:val="0"/>
          <w:numId w:val="1010"/>
        </w:numPr>
      </w:pPr>
      <w:r>
        <w:t xml:space="preserve">State whether the License B renewal is intended to be</w:t>
      </w:r>
      <w:r>
        <w:t xml:space="preserve"> </w:t>
      </w:r>
      <w:r>
        <w:rPr>
          <w:b/>
          <w:bCs/>
        </w:rPr>
        <w:t xml:space="preserve">retroactive</w:t>
      </w:r>
      <w:r>
        <w:rPr>
          <w:b/>
          <w:bCs/>
        </w:rPr>
        <w:t xml:space="preserve"> </w:t>
      </w:r>
      <w:r>
        <w:rPr>
          <w:b/>
          <w:bCs/>
        </w:rPr>
        <w:t xml:space="preserve">to January 1, 2025</w:t>
      </w:r>
      <w:r>
        <w:t xml:space="preserve">, and if so whether any back-payment at the new</w:t>
      </w:r>
      <w:r>
        <w:t xml:space="preserve"> </w:t>
      </w:r>
      <w:r>
        <w:t xml:space="preserve">rate/redefined base is sought for the standstill period (§6.14).</w:t>
      </w:r>
    </w:p>
    <w:p>
      <w:pPr>
        <w:pStyle w:val="Compact"/>
        <w:numPr>
          <w:ilvl w:val="0"/>
          <w:numId w:val="1010"/>
        </w:numPr>
      </w:pPr>
      <w:r>
        <w:t xml:space="preserve">Confirm whether the proposed License B improvement grant-back is</w:t>
      </w:r>
      <w:r>
        <w:t xml:space="preserve"> </w:t>
      </w:r>
      <w:r>
        <w:t xml:space="preserve">intended to reach</w:t>
      </w:r>
      <w:r>
        <w:t xml:space="preserve"> </w:t>
      </w:r>
      <w:r>
        <w:rPr>
          <w:b/>
          <w:bCs/>
        </w:rPr>
        <w:t xml:space="preserve">Prairielands Improvements</w:t>
      </w:r>
      <w:r>
        <w:t xml:space="preserve"> </w:t>
      </w:r>
      <w:r>
        <w:t xml:space="preserve">(sublicense §5.2)</w:t>
      </w:r>
      <w:r>
        <w:t xml:space="preserve"> </w:t>
      </w:r>
      <w:r>
        <w:t xml:space="preserve">and Greenfield’s limited research license therein, which the</w:t>
      </w:r>
      <w:r>
        <w:t xml:space="preserve"> </w:t>
      </w:r>
      <w:r>
        <w:t xml:space="preserve">sublicense expressly excludes from NovaTrait (§9.6).</w:t>
      </w:r>
    </w:p>
    <w:p>
      <w:pPr>
        <w:pStyle w:val="Compact"/>
        <w:numPr>
          <w:ilvl w:val="0"/>
          <w:numId w:val="1010"/>
        </w:numPr>
      </w:pPr>
      <w:r>
        <w:t xml:space="preserve">Confirm whether any</w:t>
      </w:r>
      <w:r>
        <w:t xml:space="preserve"> </w:t>
      </w:r>
      <w:r>
        <w:rPr>
          <w:b/>
          <w:bCs/>
        </w:rPr>
        <w:t xml:space="preserve">wheat-specific know-how and biological</w:t>
      </w:r>
      <w:r>
        <w:rPr>
          <w:b/>
          <w:bCs/>
        </w:rPr>
        <w:t xml:space="preserve"> </w:t>
      </w:r>
      <w:r>
        <w:rPr>
          <w:b/>
          <w:bCs/>
        </w:rPr>
        <w:t xml:space="preserve">materials</w:t>
      </w:r>
      <w:r>
        <w:t xml:space="preserve"> </w:t>
      </w:r>
      <w:r>
        <w:t xml:space="preserve">will be transferred to support the proposed wheat</w:t>
      </w:r>
      <w:r>
        <w:t xml:space="preserve"> </w:t>
      </w:r>
      <w:r>
        <w:t xml:space="preserve">field-of-use expansion and associated diligence milestones (§5.20).</w:t>
      </w:r>
    </w:p>
    <w:p>
      <w:pPr>
        <w:pStyle w:val="Compact"/>
        <w:numPr>
          <w:ilvl w:val="0"/>
          <w:numId w:val="1010"/>
        </w:numPr>
      </w:pPr>
      <w:r>
        <w:t xml:space="preserve">Clarify</w:t>
      </w:r>
      <w:r>
        <w:t xml:space="preserve"> </w:t>
      </w:r>
      <w:r>
        <w:rPr>
          <w:b/>
          <w:bCs/>
        </w:rPr>
        <w:t xml:space="preserve">trademark</w:t>
      </w:r>
      <w:r>
        <w:t xml:space="preserve"> </w:t>
      </w:r>
      <w:r>
        <w:t xml:space="preserve">rights: whether Greenfield has any right to</w:t>
      </w:r>
      <w:r>
        <w:t xml:space="preserve"> </w:t>
      </w:r>
      <w:r>
        <w:t xml:space="preserve">use the</w:t>
      </w:r>
      <w:r>
        <w:t xml:space="preserve"> </w:t>
      </w:r>
      <w:r>
        <w:t xml:space="preserve">“</w:t>
      </w:r>
      <w:r>
        <w:t xml:space="preserve">GenoMap Pro</w:t>
      </w:r>
      <w:r>
        <w:t xml:space="preserve">”</w:t>
      </w:r>
      <w:r>
        <w:t xml:space="preserve"> </w:t>
      </w:r>
      <w:r>
        <w:t xml:space="preserve">mark (Reg. 5,721,334) and whether the</w:t>
      </w:r>
      <w:r>
        <w:t xml:space="preserve"> </w:t>
      </w:r>
      <w:r>
        <w:t xml:space="preserve">registration affects Greenfield’s existing use (§7.13).</w:t>
      </w:r>
    </w:p>
    <w:p>
      <w:pPr>
        <w:pStyle w:val="Compact"/>
        <w:numPr>
          <w:ilvl w:val="0"/>
          <w:numId w:val="1010"/>
        </w:numPr>
      </w:pPr>
      <w:r>
        <w:t xml:space="preserve">Confirm that the License C</w:t>
      </w:r>
      <w:r>
        <w:t xml:space="preserve"> </w:t>
      </w:r>
      <w:r>
        <w:rPr>
          <w:b/>
          <w:bCs/>
        </w:rPr>
        <w:t xml:space="preserve">Accepted Use Policy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functionality-reduction termination right (§11.3)</w:t>
      </w:r>
      <w:r>
        <w:t xml:space="preserve"> </w:t>
      </w:r>
      <w:r>
        <w:t xml:space="preserve">carry forward</w:t>
      </w:r>
      <w:r>
        <w:t xml:space="preserve"> </w:t>
      </w:r>
      <w:r>
        <w:t xml:space="preserve">to Version 5.x, and reconcile the</w:t>
      </w:r>
      <w:r>
        <w:t xml:space="preserve"> </w:t>
      </w:r>
      <w:r>
        <w:rPr>
          <w:b/>
          <w:bCs/>
        </w:rPr>
        <w:t xml:space="preserve">cloud-deployment</w:t>
      </w:r>
      <w:r>
        <w:t xml:space="preserve"> </w:t>
      </w:r>
      <w:r>
        <w:t xml:space="preserve">feature with</w:t>
      </w:r>
      <w:r>
        <w:t xml:space="preserve"> </w:t>
      </w:r>
      <w:r>
        <w:t xml:space="preserve">the Section 10.3(c) source-code cloud-storage restriction (§§7.14,</w:t>
      </w:r>
      <w:r>
        <w:t xml:space="preserve"> </w:t>
      </w:r>
      <w:r>
        <w:t xml:space="preserve">7.15, 7.16).</w:t>
      </w:r>
    </w:p>
    <w:p>
      <w:pPr>
        <w:pStyle w:val="Compact"/>
        <w:numPr>
          <w:ilvl w:val="0"/>
          <w:numId w:val="1010"/>
        </w:numPr>
      </w:pPr>
      <w:r>
        <w:t xml:space="preserve">Confirm that the</w:t>
      </w:r>
      <w:r>
        <w:t xml:space="preserve"> </w:t>
      </w:r>
      <w:r>
        <w:rPr>
          <w:b/>
          <w:bCs/>
        </w:rPr>
        <w:t xml:space="preserve">termination-for-convenience</w:t>
      </w:r>
      <w:r>
        <w:t xml:space="preserve"> </w:t>
      </w:r>
      <w:r>
        <w:t xml:space="preserve">rights (License A</w:t>
      </w:r>
      <w:r>
        <w:t xml:space="preserve"> </w:t>
      </w:r>
      <w:r>
        <w:t xml:space="preserve">365 days; License B 180 days), the</w:t>
      </w:r>
      <w:r>
        <w:t xml:space="preserve"> </w:t>
      </w:r>
      <w:r>
        <w:rPr>
          <w:b/>
          <w:bCs/>
        </w:rPr>
        <w:t xml:space="preserve">sell-off/wind-down</w:t>
      </w:r>
      <w:r>
        <w:t xml:space="preserve"> </w:t>
      </w:r>
      <w:r>
        <w:t xml:space="preserve">rights</w:t>
      </w:r>
      <w:r>
        <w:t xml:space="preserve"> </w:t>
      </w:r>
      <w:r>
        <w:t xml:space="preserve">(License A 12 months; License B 180 days), and the</w:t>
      </w:r>
      <w:r>
        <w:t xml:space="preserve"> </w:t>
      </w:r>
      <w:r>
        <w:rPr>
          <w:b/>
          <w:bCs/>
        </w:rPr>
        <w:t xml:space="preserve">patent-enforcement</w:t>
      </w:r>
      <w:r>
        <w:t xml:space="preserve"> </w:t>
      </w:r>
      <w:r>
        <w:t xml:space="preserve">provisions (90-day window A; 120-day window</w:t>
      </w:r>
    </w:p>
    <w:p>
      <w:pPr>
        <w:pStyle w:val="Compact"/>
        <w:numPr>
          <w:ilvl w:val="1"/>
          <w:numId w:val="1011"/>
        </w:numPr>
      </w:pPr>
      <w:r>
        <w:t xml:space="preserve">carry forward unchanged, and state NovaTrait’s position on a</w:t>
      </w:r>
      <w:r>
        <w:t xml:space="preserve"> </w:t>
      </w:r>
      <w:r>
        <w:t xml:space="preserve">License C holdover/transition period if renewal is not executed</w:t>
      </w:r>
      <w:r>
        <w:t xml:space="preserve"> </w:t>
      </w:r>
      <w:r>
        <w:t xml:space="preserve">(§§8.11, 8.12, 8.13).</w:t>
      </w:r>
    </w:p>
    <w:p>
      <w:pPr>
        <w:pStyle w:val="Compact"/>
        <w:numPr>
          <w:ilvl w:val="0"/>
          <w:numId w:val="1010"/>
        </w:numPr>
      </w:pPr>
      <w:r>
        <w:t xml:space="preserve">Confirm that</w:t>
      </w:r>
      <w:r>
        <w:t xml:space="preserve"> </w:t>
      </w:r>
      <w:r>
        <w:rPr>
          <w:b/>
          <w:bCs/>
        </w:rPr>
        <w:t xml:space="preserve">no upfront or renewal fee</w:t>
      </w:r>
      <w:r>
        <w:t xml:space="preserve"> </w:t>
      </w:r>
      <w:r>
        <w:t xml:space="preserve">is due under any of the</w:t>
      </w:r>
      <w:r>
        <w:t xml:space="preserve"> </w:t>
      </w:r>
      <w:r>
        <w:t xml:space="preserve">three renewals (§8.16), and state NovaTrait’s position on conforming</w:t>
      </w:r>
      <w:r>
        <w:t xml:space="preserve"> </w:t>
      </w:r>
      <w:r>
        <w:t xml:space="preserve">the License C</w:t>
      </w:r>
      <w:r>
        <w:t xml:space="preserve"> </w:t>
      </w:r>
      <w:r>
        <w:rPr>
          <w:b/>
          <w:bCs/>
        </w:rPr>
        <w:t xml:space="preserve">tax gross-up</w:t>
      </w:r>
      <w:r>
        <w:t xml:space="preserve"> </w:t>
      </w:r>
      <w:r>
        <w:t xml:space="preserve">to the cooperate-to-minimize standard</w:t>
      </w:r>
      <w:r>
        <w:t xml:space="preserve"> </w:t>
      </w:r>
      <w:r>
        <w:t xml:space="preserve">used in Licenses A and B (§8.15).</w:t>
      </w:r>
    </w:p>
    <w:bookmarkEnd w:id="120"/>
    <w:bookmarkStart w:id="121" w:name="limitations-disclaimer"/>
    <w:p>
      <w:pPr>
        <w:pStyle w:val="Heading2"/>
      </w:pPr>
      <w:r>
        <w:t xml:space="preserve">17. Limitations &amp; Disclaimer</w:t>
      </w:r>
    </w:p>
    <w:p>
      <w:pPr>
        <w:pStyle w:val="FirstParagraph"/>
      </w:pPr>
      <w:r>
        <w:t xml:space="preserve">This memorandum is prepared for the confidential use of Greenfield</w:t>
      </w:r>
      <w:r>
        <w:t xml:space="preserve"> </w:t>
      </w:r>
      <w:r>
        <w:t xml:space="preserve">Biosciences, Inc. and its legal and financial advisors in connection</w:t>
      </w:r>
      <w:r>
        <w:t xml:space="preserve"> </w:t>
      </w:r>
      <w:r>
        <w:t xml:space="preserve">with the renewal negotiations described herein. It is privileged and</w:t>
      </w:r>
      <w:r>
        <w:t xml:space="preserve"> </w:t>
      </w:r>
      <w:r>
        <w:t xml:space="preserve">confidential, constitutes attorney work product, and is a</w:t>
      </w:r>
      <w:r>
        <w:t xml:space="preserve"> </w:t>
      </w:r>
      <w:r>
        <w:t xml:space="preserve">settlement-negotiation communication within the meaning of Fed. R. Evid.</w:t>
      </w:r>
      <w:r>
        <w:t xml:space="preserve"> </w:t>
      </w:r>
      <w:r>
        <w:t xml:space="preserve">408 and Mass. R. Evid. 408. It does not constitute tax, accounting, or</w:t>
      </w:r>
      <w:r>
        <w:t xml:space="preserve"> </w:t>
      </w:r>
      <w:r>
        <w:t xml:space="preserve">investment advice. Financial projections are based on management</w:t>
      </w:r>
      <w:r>
        <w:t xml:space="preserve"> </w:t>
      </w:r>
      <w:r>
        <w:t xml:space="preserve">estimates and Oakvale/Ridgemont analyses and are inherently uncertain;</w:t>
      </w:r>
      <w:r>
        <w:t xml:space="preserve"> </w:t>
      </w:r>
      <w:r>
        <w:t xml:space="preserve">patent-landscape findings rely on the September 14, 2020 Clarendon</w:t>
      </w:r>
      <w:r>
        <w:t xml:space="preserve"> </w:t>
      </w:r>
      <w:r>
        <w:t xml:space="preserve">report and should be updated before finalization. Legal conclusions are</w:t>
      </w:r>
      <w:r>
        <w:t xml:space="preserve"> </w:t>
      </w:r>
      <w:r>
        <w:t xml:space="preserve">preliminary and subject to development as negotiations proceed. All</w:t>
      </w:r>
      <w:r>
        <w:t xml:space="preserve"> </w:t>
      </w:r>
      <w:r>
        <w:t xml:space="preserve">rights are expressly reserved; nothing herein constitutes a waiver of</w:t>
      </w:r>
      <w:r>
        <w:t xml:space="preserve"> </w:t>
      </w:r>
      <w:r>
        <w:t xml:space="preserve">any right or remedy of Greenfield under the Existing Agreements or</w:t>
      </w:r>
      <w:r>
        <w:t xml:space="preserve"> </w:t>
      </w:r>
      <w:r>
        <w:t xml:space="preserve">applicable law.</w:t>
      </w:r>
    </w:p>
    <w:p>
      <w:pPr>
        <w:pStyle w:val="BodyText"/>
      </w:pPr>
      <w:r>
        <w:t xml:space="preserve">— End of Memorandum —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2026-06-27T01:51:41Z</dcterms:created>
  <dcterms:modified xsi:type="dcterms:W3CDTF">2026-06-27T01:51:41Z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