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Internal</w:t>
      </w:r>
      <w:r>
        <w:t xml:space="preserve"> </w:t>
      </w:r>
      <w:r>
        <w:t xml:space="preserve">Issues</w:t>
      </w:r>
      <w:r>
        <w:t xml:space="preserve"> </w:t>
      </w:r>
      <w:r>
        <w:t xml:space="preserve">Memorandum</w:t>
      </w:r>
      <w:r>
        <w:t xml:space="preserve"> </w:t>
      </w:r>
      <w:r>
        <w:t xml:space="preserve">—</w:t>
      </w:r>
      <w:r>
        <w:t xml:space="preserve"> </w:t>
      </w:r>
      <w:r>
        <w:t xml:space="preserve">Proposed</w:t>
      </w:r>
      <w:r>
        <w:t xml:space="preserve"> </w:t>
      </w:r>
      <w:r>
        <w:t xml:space="preserve">OFAC-Licensed</w:t>
      </w:r>
      <w:r>
        <w:t xml:space="preserve"> </w:t>
      </w:r>
      <w:r>
        <w:t xml:space="preserve">Export</w:t>
      </w:r>
      <w:r>
        <w:t xml:space="preserve"> </w:t>
      </w:r>
      <w:r>
        <w:t xml:space="preserve">of</w:t>
      </w:r>
      <w:r>
        <w:t xml:space="preserve"> </w:t>
      </w:r>
      <w:r>
        <w:t xml:space="preserve">Cancer</w:t>
      </w:r>
      <w:r>
        <w:t xml:space="preserve"> </w:t>
      </w:r>
      <w:r>
        <w:t xml:space="preserve">Diagnostic</w:t>
      </w:r>
      <w:r>
        <w:t xml:space="preserve"> </w:t>
      </w:r>
      <w:r>
        <w:t xml:space="preserve">Products</w:t>
      </w:r>
      <w:r>
        <w:t xml:space="preserve"> </w:t>
      </w:r>
      <w:r>
        <w:t xml:space="preserve">to</w:t>
      </w:r>
      <w:r>
        <w:t xml:space="preserve"> </w:t>
      </w:r>
      <w:r>
        <w:t xml:space="preserve">Damascus</w:t>
      </w:r>
      <w:r>
        <w:t xml:space="preserve"> </w:t>
      </w:r>
      <w:r>
        <w:t xml:space="preserve">Central</w:t>
      </w:r>
      <w:r>
        <w:t xml:space="preserve"> </w:t>
      </w:r>
      <w:r>
        <w:t xml:space="preserve">University</w:t>
      </w:r>
      <w:r>
        <w:t xml:space="preserve"> </w:t>
      </w:r>
      <w:r>
        <w:t xml:space="preserve">Hospital,</w:t>
      </w:r>
      <w:r>
        <w:t xml:space="preserve"> </w:t>
      </w:r>
      <w:r>
        <w:t xml:space="preserve">Syria</w:t>
      </w:r>
    </w:p>
    <w:bookmarkStart w:id="37"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Catherine R. Bellingham, Partner; Jonathan D. Halsted, General Counsel, Meridian Biotech Solutions, Inc.</w:t>
      </w:r>
    </w:p>
    <w:p>
      <w:pPr>
        <w:pStyle w:val="BodyText"/>
      </w:pPr>
      <w:r>
        <w:rPr>
          <w:b/>
          <w:bCs/>
        </w:rPr>
        <w:t xml:space="preserve">FROM:</w:t>
      </w:r>
      <w:r>
        <w:t xml:space="preserve"> </w:t>
      </w:r>
      <w:r>
        <w:t xml:space="preserve">David Osei-Mensah, Senior Associate, Ashford &amp; Whitmore LLP</w:t>
      </w:r>
    </w:p>
    <w:p>
      <w:pPr>
        <w:pStyle w:val="BodyText"/>
      </w:pP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p>
      <w:pPr>
        <w:pStyle w:val="BodyText"/>
      </w:pPr>
      <w:r>
        <w:rPr>
          <w:b/>
          <w:bCs/>
        </w:rPr>
        <w:t xml:space="preserve">DATE:</w:t>
      </w:r>
      <w:r>
        <w:t xml:space="preserve"> </w:t>
      </w:r>
      <w:r>
        <w:t xml:space="preserve">July 1, 2024</w:t>
      </w:r>
    </w:p>
    <w:p>
      <w:pPr>
        <w:pStyle w:val="BodyText"/>
      </w:pPr>
      <w:r>
        <w:rPr>
          <w:b/>
          <w:bCs/>
        </w:rPr>
        <w:t xml:space="preserve">RE:</w:t>
      </w:r>
      <w:r>
        <w:t xml:space="preserve"> </w:t>
      </w:r>
      <w:r>
        <w:t xml:space="preserve">Legal and Compliance Issues — Proposed OFAC Specific License Application for the Export of CancerDetect RX-700 Reagent Kits, CalibPro 3100 Calibration Units, and Related Remote Training Services to Damascus Central University Hospital (DCUH), Damascus, Syria</w:t>
      </w:r>
    </w:p>
    <w:p>
      <w:pPr>
        <w:pStyle w:val="BodyText"/>
      </w:pPr>
      <w:r>
        <w:br/>
      </w:r>
    </w:p>
    <w:p>
      <w:pPr>
        <w:pStyle w:val="BodyText"/>
      </w:pPr>
      <w:r>
        <w:rPr>
          <w:b/>
          <w:bCs/>
        </w:rPr>
        <w:t xml:space="preserve">PRIVILEGE NOTE.</w:t>
      </w:r>
      <w:r>
        <w:t xml:space="preserve"> </w:t>
      </w:r>
      <w:r>
        <w:t xml:space="preserve">This memorandum is prepared by outside counsel in anticipation of providing legal advice to Meridian Biotech Solutions, Inc. (</w:t>
      </w:r>
      <w:r>
        <w:t xml:space="preserve">“</w:t>
      </w:r>
      <w:r>
        <w:t xml:space="preserve">Meridian</w:t>
      </w:r>
      <w:r>
        <w:t xml:space="preserve">”</w:t>
      </w:r>
      <w:r>
        <w:t xml:space="preserve"> </w:t>
      </w:r>
      <w:r>
        <w:t xml:space="preserve">or the</w:t>
      </w:r>
      <w:r>
        <w:t xml:space="preserve"> </w:t>
      </w:r>
      <w:r>
        <w:t xml:space="preserve">“</w:t>
      </w:r>
      <w:r>
        <w:t xml:space="preserve">Client</w:t>
      </w:r>
      <w:r>
        <w:t xml:space="preserve">”</w:t>
      </w:r>
      <w:r>
        <w:t xml:space="preserve">) and is protected by the attorney-client privilege and the attorney work product doctrine. It should not be distributed outside the addressees without the prior written consent of the General Counsel or undersigned counsel.</w:t>
      </w:r>
    </w:p>
    <w:bookmarkStart w:id="20" w:name="i.-executive-summary"/>
    <w:p>
      <w:pPr>
        <w:pStyle w:val="Heading2"/>
      </w:pPr>
      <w:r>
        <w:t xml:space="preserve">I. Executive Summary</w:t>
      </w:r>
    </w:p>
    <w:p>
      <w:pPr>
        <w:pStyle w:val="FirstParagraph"/>
      </w:pPr>
      <w:r>
        <w:t xml:space="preserve">Meridian proposes to export approximately US$1,280,000 of cancer diagnostic products and related remote training services to Damascus Central University Hospital (</w:t>
      </w:r>
      <w:r>
        <w:t xml:space="preserve">“</w:t>
      </w:r>
      <w:r>
        <w:t xml:space="preserve">DCUH</w:t>
      </w:r>
      <w:r>
        <w:t xml:space="preserve">”</w:t>
      </w:r>
      <w:r>
        <w:t xml:space="preserve">), a public teaching hospital in Damascus, Syria. The transaction is prohibited absent OFAC authorization because DCUH is an instrumentality of the Government of Syria, which is comprehensively sanctioned under Executive Order 13582 and the Syrian Sanctions Regulations, 31 C.F.R. Part 542 (</w:t>
      </w:r>
      <w:r>
        <w:t xml:space="preserve">“</w:t>
      </w:r>
      <w:r>
        <w:t xml:space="preserve">SySR</w:t>
      </w:r>
      <w:r>
        <w:t xml:space="preserve">”</w:t>
      </w:r>
      <w:r>
        <w:t xml:space="preserve">). We recommend that Meridian apply for an OFAC specific license. A draft application is being prepared in parallel with this memorandum.</w:t>
      </w:r>
    </w:p>
    <w:p>
      <w:pPr>
        <w:pStyle w:val="BodyText"/>
      </w:pPr>
      <w:r>
        <w:t xml:space="preserve">The transaction is, at its core, a strong candidate for licensing: the goods are exclusively humanitarian, FDA-cleared, EAR99-classified cancer diagnostics with no dual-use application; the end-user is a civilian public hospital; the humanitarian need is severe and independently documented by the World Health Organization; and Meridian has a clean compliance record and a successful prior OFAC specific license (SYR-2021-384712) for a materially analogous export to another Syrian public hospital.</w:t>
      </w:r>
    </w:p>
    <w:p>
      <w:pPr>
        <w:pStyle w:val="BodyText"/>
      </w:pPr>
      <w:r>
        <w:t xml:space="preserve">However, the compliance screening conducted by Meridian’s Chief Compliance Officer identified two SDN-related issues that are material and must be resolved before the transaction can proceed and must be fully disclosed in the application:</w:t>
      </w:r>
    </w:p>
    <w:p>
      <w:pPr>
        <w:numPr>
          <w:ilvl w:val="0"/>
          <w:numId w:val="1001"/>
        </w:numPr>
      </w:pPr>
      <w:r>
        <w:rPr>
          <w:b/>
          <w:bCs/>
        </w:rPr>
        <w:t xml:space="preserve">SDN-listed remitting bank.</w:t>
      </w:r>
      <w:r>
        <w:t xml:space="preserve"> </w:t>
      </w:r>
      <w:r>
        <w:t xml:space="preserve">The end-user’s purchase order designates the Central Bank of Calverley (</w:t>
      </w:r>
      <w:r>
        <w:t xml:space="preserve">“</w:t>
      </w:r>
      <w:r>
        <w:t xml:space="preserve">CBS</w:t>
      </w:r>
      <w:r>
        <w:t xml:space="preserve">”</w:t>
      </w:r>
      <w:r>
        <w:t xml:space="preserve">) as the remitting bank. CBS has been on the SDN List since August 10, 2011 (E.O. 13582). Payment through CBS is prohibited and would subject any funds to blocking. This is a hard blocker that requires restructuring the payment channel before filing.</w:t>
      </w:r>
      <w:r>
        <w:t xml:space="preserve"> </w:t>
      </w:r>
      <w:r>
        <w:rPr>
          <w:i/>
          <w:iCs/>
        </w:rPr>
        <w:t xml:space="preserve">Recommendation: restructure to a non-SDN Syrian commercial bank (consistent with the prior license) or a third-country bank; request license authorization for the restructured channel; condition the license on no CBS routing.</w:t>
      </w:r>
    </w:p>
    <w:p>
      <w:pPr>
        <w:numPr>
          <w:ilvl w:val="0"/>
          <w:numId w:val="1001"/>
        </w:numPr>
      </w:pPr>
      <w:r>
        <w:rPr>
          <w:b/>
          <w:bCs/>
        </w:rPr>
        <w:t xml:space="preserve">SDN-listed minority shareholder in the customs agent.</w:t>
      </w:r>
      <w:r>
        <w:t xml:space="preserve"> </w:t>
      </w:r>
      <w:r>
        <w:t xml:space="preserve">Al-Rashid Medical Procurement Company (</w:t>
      </w:r>
      <w:r>
        <w:t xml:space="preserve">“</w:t>
      </w:r>
      <w:r>
        <w:t xml:space="preserve">ARMPC</w:t>
      </w:r>
      <w:r>
        <w:t xml:space="preserve">”</w:t>
      </w:r>
      <w:r>
        <w:t xml:space="preserve">), the Syrian customs clearance agent designated by DCUH, has a 30% shareholder, Samir Daoud Khoury, who was added to the SDN List on April 15, 2024, on the basis of acting on behalf of a sanctioned Syrian military procurement network. ARMPC is not blocked under OFAC’s 50 Percent Rule (30% &lt; 50%), but the SDN nexus—and particularly the military-procurement designation basis—is a serious red flag.</w:t>
      </w:r>
      <w:r>
        <w:t xml:space="preserve"> </w:t>
      </w:r>
      <w:r>
        <w:rPr>
          <w:i/>
          <w:iCs/>
        </w:rPr>
        <w:t xml:space="preserve">Recommendation: primary—replace ARMPC with a screened alternative agent to eliminate the nexus; alternative—seek conditional authorization for ARMPC’s limited ministerial customs role with safeguards ensuring no benefit to Khoury; disclose fully in the application.</w:t>
      </w:r>
    </w:p>
    <w:p>
      <w:pPr>
        <w:pStyle w:val="FirstParagraph"/>
      </w:pPr>
      <w:r>
        <w:t xml:space="preserve">In addition, the transaction raises several secondary issues that we analyze below: (i) the governmental end-user status and the general-license-versus-specific-license analysis; (ii) technology-transfer and deemed-export considerations arising from the remote training; (iii) BIS/EAR licensing for Syria; (iv) end-use monitoring and diversion risk (elevated given the Khoury military-procurement nexus); (v) cold-chain execution risk; (vi) ongoing re-screening; and (vii) the processing-timeline risk to the Client’s requested September 1, 2024 effective date.</w:t>
      </w:r>
    </w:p>
    <w:p>
      <w:pPr>
        <w:pStyle w:val="BodyText"/>
      </w:pPr>
      <w:r>
        <w:t xml:space="preserve">Our overall assessment is that the transaction is licensable but requires careful structuring and full disclosure. We recommend proceeding with the specific license application on the restructured basis described herein, with the SDN issues addressed as priority items in the application narrative.</w:t>
      </w:r>
    </w:p>
    <w:bookmarkEnd w:id="20"/>
    <w:bookmarkStart w:id="21" w:name="X9c7ddb26e3c1045664c14403b92d87b2ba7f418"/>
    <w:p>
      <w:pPr>
        <w:pStyle w:val="Heading2"/>
      </w:pPr>
      <w:r>
        <w:t xml:space="preserve">II. Factual Background and Transaction Overview</w:t>
      </w:r>
    </w:p>
    <w:p>
      <w:pPr>
        <w:pStyle w:val="FirstParagraph"/>
      </w:pPr>
      <w:r>
        <w:t xml:space="preserve">The following summary is drawn from the Client’s source documents: the June 24, 2024 email from Jonathan Halsted to Catherine Bellingham; the DCUH purchase order (PO-DCUH-2024-0743, June 17, 2024); the compliance screening memorandum (Peggy Dunleavy, June 10, 2024); the product technical data sheets (TDS-2024-0347, Rev. 03/2024); the shipping and logistics plan (Pinnacle Freight International, June 25, 2024); the prior OFAC license (SYR-2021-384712); the Graystone compliance audit executive summary (September 29, 2023); and the WHO Syria needs assessment (WHO-SYR/HNA/2024-01, January 2024).</w:t>
      </w:r>
    </w:p>
    <w:p>
      <w:pPr>
        <w:pStyle w:val="BodyText"/>
      </w:pPr>
      <w:r>
        <w:rPr>
          <w:b/>
          <w:bCs/>
        </w:rPr>
        <w:t xml:space="preserve">The Client.</w:t>
      </w:r>
      <w:r>
        <w:t xml:space="preserve"> </w:t>
      </w:r>
      <w:r>
        <w:t xml:space="preserve">Meridian Biotech Solutions, Inc., a Delaware C-Corporation headquartered at 4200 Lakeshore Boulevard, Suite 800, Cambridge, MA 02142 (EIN 47-3928104; DUNS 08-471-3920). CEO: Dr. Priya Ramaswamy; General Counsel: Jonathan D. Halsted; Chief Compliance Officer: Margaret</w:t>
      </w:r>
      <w:r>
        <w:t xml:space="preserve"> </w:t>
      </w:r>
      <w:r>
        <w:t xml:space="preserve">“</w:t>
      </w:r>
      <w:r>
        <w:t xml:space="preserve">Peggy</w:t>
      </w:r>
      <w:r>
        <w:t xml:space="preserve">”</w:t>
      </w:r>
      <w:r>
        <w:t xml:space="preserve"> </w:t>
      </w:r>
      <w:r>
        <w:t xml:space="preserve">Dunleavy. Projected FY2024 revenue ~US$482M. OFAC compliance program in place since 2015. Ashford &amp; Whitmore LLP was retained under an engagement letter dated May 20, 2024.</w:t>
      </w:r>
    </w:p>
    <w:p>
      <w:pPr>
        <w:pStyle w:val="BodyText"/>
      </w:pPr>
      <w:r>
        <w:rPr>
          <w:b/>
          <w:bCs/>
        </w:rPr>
        <w:t xml:space="preserve">The goods and services.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Total</w:t>
            </w:r>
          </w:p>
        </w:tc>
        <w:tc>
          <w:tcPr/>
          <w:p>
            <w:pPr>
              <w:pStyle w:val="Compact"/>
              <w:jc w:val="left"/>
            </w:pPr>
            <w:r>
              <w:t xml:space="preserve">ECCN</w:t>
            </w:r>
          </w:p>
        </w:tc>
        <w:tc>
          <w:tcPr/>
          <w:p>
            <w:pPr>
              <w:pStyle w:val="Compact"/>
              <w:jc w:val="left"/>
            </w:pPr>
            <w:r>
              <w:t xml:space="preserve">HTS</w:t>
            </w:r>
          </w:p>
        </w:tc>
      </w:tr>
      <w:tr>
        <w:tc>
          <w:tcPr/>
          <w:p>
            <w:pPr>
              <w:pStyle w:val="Compact"/>
              <w:jc w:val="left"/>
            </w:pPr>
            <w:r>
              <w:t xml:space="preserve">CancerDetect RX-700 Reagent Kit (IHC staining for HER2/ER/PR; FDA 510(k) K213847; validated for Ventana BenchMark XT; cold-chain 2–8 °C)</w:t>
            </w:r>
          </w:p>
        </w:tc>
        <w:tc>
          <w:tcPr/>
          <w:p>
            <w:pPr>
              <w:pStyle w:val="Compact"/>
              <w:jc w:val="left"/>
            </w:pPr>
            <w:r>
              <w:t xml:space="preserve">500</w:t>
            </w:r>
          </w:p>
        </w:tc>
        <w:tc>
          <w:tcPr/>
          <w:p>
            <w:pPr>
              <w:pStyle w:val="Compact"/>
              <w:jc w:val="left"/>
            </w:pPr>
            <w:r>
              <w:t xml:space="preserve">$2,340</w:t>
            </w:r>
          </w:p>
        </w:tc>
        <w:tc>
          <w:tcPr/>
          <w:p>
            <w:pPr>
              <w:pStyle w:val="Compact"/>
              <w:jc w:val="left"/>
            </w:pPr>
            <w:r>
              <w:t xml:space="preserve">$1,170,000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CalibPro 3100 Calibration Unit (220V/50 Hz; 23 kg; firmware v4.2.1; AES-128 internal data-integrity only, below de minimis; no wireless; USB 2.0 only)</w:t>
            </w:r>
          </w:p>
        </w:tc>
        <w:tc>
          <w:tcPr/>
          <w:p>
            <w:pPr>
              <w:pStyle w:val="Compact"/>
              <w:jc w:val="left"/>
            </w:pPr>
            <w:r>
              <w:t xml:space="preserve">4</w:t>
            </w:r>
          </w:p>
        </w:tc>
        <w:tc>
          <w:tcPr/>
          <w:p>
            <w:pPr>
              <w:pStyle w:val="Compact"/>
              <w:jc w:val="left"/>
            </w:pPr>
            <w:r>
              <w:t xml:space="preserve">$18,750</w:t>
            </w:r>
          </w:p>
        </w:tc>
        <w:tc>
          <w:tcPr/>
          <w:p>
            <w:pPr>
              <w:pStyle w:val="Compact"/>
              <w:jc w:val="left"/>
            </w:pPr>
            <w:r>
              <w:t xml:space="preserve">$75,000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Remote installation &amp; calibration training (40 hrs / 8 weeks; secure video from Cambridge; no travel to Syria)</w:t>
            </w:r>
          </w:p>
        </w:tc>
        <w:tc>
          <w:tcPr/>
          <w:p>
            <w:pPr>
              <w:pStyle w:val="Compact"/>
              <w:jc w:val="left"/>
            </w:pPr>
            <w:r>
              <w:t xml:space="preserve">1</w:t>
            </w:r>
          </w:p>
        </w:tc>
        <w:tc>
          <w:tcPr/>
          <w:p>
            <w:pPr>
              <w:pStyle w:val="Compact"/>
              <w:jc w:val="left"/>
            </w:pPr>
            <w:r>
              <w:t xml:space="preserve">$35,000</w:t>
            </w:r>
          </w:p>
        </w:tc>
        <w:tc>
          <w:tcPr/>
          <w:p>
            <w:pPr>
              <w:pStyle w:val="Compact"/>
              <w:jc w:val="left"/>
            </w:pPr>
            <w:r>
              <w:t xml:space="preserve">$35,000</w:t>
            </w:r>
          </w:p>
        </w:tc>
        <w:tc>
          <w:tcPr/>
          <w:p>
            <w:pPr>
              <w:pStyle w:val="Compact"/>
              <w:jc w:val="left"/>
            </w:pPr>
            <w:r>
              <w:t xml:space="preserve">N/A (services)</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w:t>
            </w:r>
          </w:p>
        </w:tc>
        <w:tc>
          <w:tcPr/>
          <w:p>
            <w:pPr>
              <w:pStyle w:val="Compact"/>
            </w:pPr>
          </w:p>
        </w:tc>
        <w:tc>
          <w:tcPr/>
          <w:p>
            <w:pPr>
              <w:pStyle w:val="Compact"/>
            </w:pPr>
          </w:p>
        </w:tc>
      </w:tr>
    </w:tbl>
    <w:p>
      <w:pPr>
        <w:pStyle w:val="BodyText"/>
      </w:pPr>
      <w:r>
        <w:rPr>
          <w:b/>
          <w:bCs/>
        </w:rPr>
        <w:t xml:space="preserve">End-user.</w:t>
      </w:r>
      <w:r>
        <w:t xml:space="preserve"> </w:t>
      </w:r>
      <w:r>
        <w:t xml:space="preserve">DCUH, Al-Mazzeh Highway, Building 7, Damascus; Director Dr. Faisal Kareem Al-Masri. Public teaching hospital under the Syrian Ministry of Health, affiliated with the University of Damascus Faculty of Medicine. 140-bed oncology ward; ~3,800 biopsies/year; 14-month diagnostic backlog; Ventana BenchMark XT installed. Largest remaining oncology referral center in Syria.</w:t>
      </w:r>
    </w:p>
    <w:p>
      <w:pPr>
        <w:pStyle w:val="BodyText"/>
      </w:pPr>
      <w:r>
        <w:rPr>
          <w:b/>
          <w:bCs/>
        </w:rPr>
        <w:t xml:space="preserve">Shipping route.</w:t>
      </w:r>
      <w:r>
        <w:t xml:space="preserve"> </w:t>
      </w:r>
      <w:r>
        <w:t xml:space="preserve">Cambridge, MA → Port Newark, NJ → Mersin Port, Turkey (ocean, 18–22 days) → Ankara (AMTW warehouse, 5–10 days) → Bab al-Hawa border crossing → Damascus, DCUH. Total transit 6–8 weeks. Incoterms DAP Damascus. Cold-chain maintained throughout for reagent kits.</w:t>
      </w:r>
    </w:p>
    <w:p>
      <w:pPr>
        <w:pStyle w:val="BodyText"/>
      </w:pPr>
      <w:r>
        <w:rPr>
          <w:b/>
          <w:bCs/>
        </w:rPr>
        <w:t xml:space="preserve">Parties and screening results (screening completed June 3,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Result</w:t>
            </w:r>
          </w:p>
        </w:tc>
      </w:tr>
      <w:tr>
        <w:tc>
          <w:tcPr/>
          <w:p>
            <w:pPr>
              <w:pStyle w:val="Compact"/>
              <w:jc w:val="left"/>
            </w:pPr>
            <w:r>
              <w:t xml:space="preserve">Meridian</w:t>
            </w:r>
          </w:p>
        </w:tc>
        <w:tc>
          <w:tcPr/>
          <w:p>
            <w:pPr>
              <w:pStyle w:val="Compact"/>
              <w:jc w:val="left"/>
            </w:pPr>
            <w:r>
              <w:t xml:space="preserve">Applicant/exporter</w:t>
            </w:r>
          </w:p>
        </w:tc>
        <w:tc>
          <w:tcPr/>
          <w:p>
            <w:pPr>
              <w:pStyle w:val="Compact"/>
              <w:jc w:val="left"/>
            </w:pPr>
            <w:r>
              <w:t xml:space="preserve">No match</w:t>
            </w:r>
          </w:p>
        </w:tc>
      </w:tr>
      <w:tr>
        <w:tc>
          <w:tcPr/>
          <w:p>
            <w:pPr>
              <w:pStyle w:val="Compact"/>
              <w:jc w:val="left"/>
            </w:pPr>
            <w:r>
              <w:t xml:space="preserve">DCUH</w:t>
            </w:r>
          </w:p>
        </w:tc>
        <w:tc>
          <w:tcPr/>
          <w:p>
            <w:pPr>
              <w:pStyle w:val="Compact"/>
              <w:jc w:val="left"/>
            </w:pPr>
            <w:r>
              <w:t xml:space="preserve">End-user</w:t>
            </w:r>
          </w:p>
        </w:tc>
        <w:tc>
          <w:tcPr/>
          <w:p>
            <w:pPr>
              <w:pStyle w:val="Compact"/>
              <w:jc w:val="left"/>
            </w:pPr>
            <w:r>
              <w:t xml:space="preserve">No independent listing (instrumentality of GoS)</w:t>
            </w:r>
          </w:p>
        </w:tc>
      </w:tr>
      <w:tr>
        <w:tc>
          <w:tcPr/>
          <w:p>
            <w:pPr>
              <w:pStyle w:val="Compact"/>
              <w:jc w:val="left"/>
            </w:pPr>
            <w:r>
              <w:t xml:space="preserve">Pinnacle Freight International (Lisa Marchetti)</w:t>
            </w:r>
          </w:p>
        </w:tc>
        <w:tc>
          <w:tcPr/>
          <w:p>
            <w:pPr>
              <w:pStyle w:val="Compact"/>
              <w:jc w:val="left"/>
            </w:pPr>
            <w:r>
              <w:t xml:space="preserve">U.S. freight forwarder</w:t>
            </w:r>
          </w:p>
        </w:tc>
        <w:tc>
          <w:tcPr/>
          <w:p>
            <w:pPr>
              <w:pStyle w:val="Compact"/>
              <w:jc w:val="left"/>
            </w:pPr>
            <w:r>
              <w:t xml:space="preserve">No match</w:t>
            </w:r>
          </w:p>
        </w:tc>
      </w:tr>
      <w:tr>
        <w:tc>
          <w:tcPr/>
          <w:p>
            <w:pPr>
              <w:pStyle w:val="Compact"/>
              <w:jc w:val="left"/>
            </w:pPr>
            <w:r>
              <w:t xml:space="preserve">AMTW (Elif Yılmaz)</w:t>
            </w:r>
          </w:p>
        </w:tc>
        <w:tc>
          <w:tcPr/>
          <w:p>
            <w:pPr>
              <w:pStyle w:val="Compact"/>
              <w:jc w:val="left"/>
            </w:pPr>
            <w:r>
              <w:t xml:space="preserve">Turkish transit warehouse</w:t>
            </w:r>
          </w:p>
        </w:tc>
        <w:tc>
          <w:tcPr/>
          <w:p>
            <w:pPr>
              <w:pStyle w:val="Compact"/>
              <w:jc w:val="left"/>
            </w:pPr>
            <w:r>
              <w:t xml:space="preserve">No match</w:t>
            </w:r>
          </w:p>
        </w:tc>
      </w:tr>
      <w:tr>
        <w:tc>
          <w:tcPr/>
          <w:p>
            <w:pPr>
              <w:pStyle w:val="Compact"/>
              <w:jc w:val="left"/>
            </w:pPr>
            <w:r>
              <w:t xml:space="preserve">ARMPC (Tariq Nabil Hammoud, MD)</w:t>
            </w:r>
          </w:p>
        </w:tc>
        <w:tc>
          <w:tcPr/>
          <w:p>
            <w:pPr>
              <w:pStyle w:val="Compact"/>
              <w:jc w:val="left"/>
            </w:pPr>
            <w:r>
              <w:t xml:space="preserve">Syrian customs/import agent</w:t>
            </w:r>
          </w:p>
        </w:tc>
        <w:tc>
          <w:tcPr/>
          <w:p>
            <w:pPr>
              <w:pStyle w:val="Compact"/>
              <w:jc w:val="left"/>
            </w:pPr>
            <w:r>
              <w:t xml:space="preserve">No entity match; 30% shareholder Khoury =</w:t>
            </w:r>
            <w:r>
              <w:t xml:space="preserve"> </w:t>
            </w:r>
            <w:r>
              <w:rPr>
                <w:b/>
                <w:bCs/>
              </w:rPr>
              <w:t xml:space="preserve">SDN</w:t>
            </w:r>
          </w:p>
        </w:tc>
      </w:tr>
      <w:tr>
        <w:tc>
          <w:tcPr/>
          <w:p>
            <w:pPr>
              <w:pStyle w:val="Compact"/>
              <w:jc w:val="left"/>
            </w:pPr>
            <w:r>
              <w:t xml:space="preserve">Harborview National Bank</w:t>
            </w:r>
          </w:p>
        </w:tc>
        <w:tc>
          <w:tcPr/>
          <w:p>
            <w:pPr>
              <w:pStyle w:val="Compact"/>
              <w:jc w:val="left"/>
            </w:pPr>
            <w:r>
              <w:t xml:space="preserve">U.S. receiving bank</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(per PO)</w:t>
            </w:r>
          </w:p>
        </w:tc>
        <w:tc>
          <w:tcPr/>
          <w:p>
            <w:pPr>
              <w:pStyle w:val="Compact"/>
              <w:jc w:val="left"/>
            </w:pPr>
            <w:r>
              <w:rPr>
                <w:b/>
                <w:bCs/>
              </w:rPr>
              <w:t xml:space="preserve">SDN</w:t>
            </w:r>
            <w:r>
              <w:t xml:space="preserve"> </w:t>
            </w:r>
            <w:r>
              <w:t xml:space="preserve">(since Aug. 10, 2011)</w:t>
            </w:r>
          </w:p>
        </w:tc>
      </w:tr>
    </w:tbl>
    <w:p>
      <w:pPr>
        <w:pStyle w:val="BodyText"/>
      </w:pPr>
      <w:r>
        <w:rPr>
          <w:b/>
          <w:bCs/>
        </w:rPr>
        <w:t xml:space="preserve">Prior license.</w:t>
      </w:r>
      <w:r>
        <w:t xml:space="preserve"> </w:t>
      </w:r>
      <w:r>
        <w:t xml:space="preserve">SYR-2021-384712 (issued Sept. 14, 2021; expired Mar. 31, 2023): 200 TBDetect Pro-200 TB kits ($340,000; EAR99) to Al-Mujtahid Hospital, Damascus (public MoH hospital). Completed by Jan. 2023; no violations. Payment via a non-SDN Syrian commercial bank; CBS routing expressly prohibited. No intermediary authorized. Conditions: 30-day post-shipment reports; 5-year recordkeeping; no SDN/50%+ SDN entities; EAR not relieved; material changes reported.</w:t>
      </w:r>
    </w:p>
    <w:p>
      <w:pPr>
        <w:pStyle w:val="BodyText"/>
      </w:pPr>
      <w:r>
        <w:rPr>
          <w:b/>
          <w:bCs/>
        </w:rPr>
        <w:t xml:space="preserve">Requested license term.</w:t>
      </w:r>
      <w:r>
        <w:t xml:space="preserve"> </w:t>
      </w:r>
      <w:r>
        <w:t xml:space="preserve">September 1, 2024 through February 28, 2026 (18 months). Client notes OFAC processing typically runs 90–180 days.</w:t>
      </w:r>
    </w:p>
    <w:bookmarkEnd w:id="21"/>
    <w:bookmarkStart w:id="22" w:name="iii.-regulatory-framework"/>
    <w:p>
      <w:pPr>
        <w:pStyle w:val="Heading2"/>
      </w:pPr>
      <w:r>
        <w:t xml:space="preserve">III. Regulatory Framework</w:t>
      </w:r>
    </w:p>
    <w:p>
      <w:pPr>
        <w:pStyle w:val="Compact"/>
        <w:numPr>
          <w:ilvl w:val="0"/>
          <w:numId w:val="1002"/>
        </w:numPr>
      </w:pPr>
      <w:r>
        <w:rPr>
          <w:b/>
          <w:bCs/>
        </w:rPr>
        <w:t xml:space="preserve">Executive Order 13582 (Aug. 17, 2011)</w:t>
      </w:r>
      <w:r>
        <w:t xml:space="preserve"> </w:t>
      </w:r>
      <w:r>
        <w:t xml:space="preserve">blocks the property and interests in property of the Government of Syria and prohibits U.S. persons from engaging in transactions with the Government of Syria.</w:t>
      </w:r>
    </w:p>
    <w:p>
      <w:pPr>
        <w:pStyle w:val="Compact"/>
        <w:numPr>
          <w:ilvl w:val="0"/>
          <w:numId w:val="1002"/>
        </w:numPr>
      </w:pPr>
      <w:r>
        <w:rPr>
          <w:b/>
          <w:bCs/>
        </w:rPr>
        <w:t xml:space="preserve">Syrian Sanctions Regulations, 31 C.F.R. Part 542.</w:t>
      </w:r>
      <w:r>
        <w:t xml:space="preserve"> </w:t>
      </w:r>
      <w:r>
        <w:t xml:space="preserve">Section 542.201 blocks the Government of Syria and persons owned or controlled by, or acting for or on behalf of, the Government of Syria. Section 542.206 prohibits the exportation, reexportation, sale, or supply of goods, services, or technology to Syria from the United States or by a U.S. person. Section 542.801 authorizes OFAC to issue specific licenses.</w:t>
      </w:r>
    </w:p>
    <w:p>
      <w:pPr>
        <w:pStyle w:val="Compact"/>
        <w:numPr>
          <w:ilvl w:val="0"/>
          <w:numId w:val="1002"/>
        </w:numPr>
      </w:pPr>
      <w:r>
        <w:rPr>
          <w:b/>
          <w:bCs/>
        </w:rPr>
        <w:t xml:space="preserve">50 Percent Rule.</w:t>
      </w:r>
      <w:r>
        <w:t xml:space="preserve"> </w:t>
      </w:r>
      <w:r>
        <w:t xml:space="preserve">Under OFAC’s</w:t>
      </w:r>
      <w:r>
        <w:t xml:space="preserve"> </w:t>
      </w:r>
      <w:r>
        <w:rPr>
          <w:i/>
          <w:iCs/>
        </w:rPr>
        <w:t xml:space="preserve">Revised Guidance on Entities Owned by Persons Whose Property and Interests in Property Are Blocked</w:t>
      </w:r>
      <w:r>
        <w:t xml:space="preserve"> </w:t>
      </w:r>
      <w:r>
        <w:t xml:space="preserve">(Aug. 13, 2014), an entity is blocked where SDN-listed persons own, individually or in the aggregate, 50% or more of the entity. Below 50%, the entity is not automatically blocked, but OFAC guidance warns that transacting with entities in which SDNs hold significant minority interests presents elevated risk.</w:t>
      </w:r>
    </w:p>
    <w:p>
      <w:pPr>
        <w:pStyle w:val="Compact"/>
        <w:numPr>
          <w:ilvl w:val="0"/>
          <w:numId w:val="1002"/>
        </w:numPr>
      </w:pPr>
      <w:r>
        <w:rPr>
          <w:b/>
          <w:bCs/>
        </w:rPr>
        <w:t xml:space="preserve">General licenses potentially relevant.</w:t>
      </w:r>
      <w:r>
        <w:t xml:space="preserve"> </w:t>
      </w:r>
      <w:r>
        <w:t xml:space="preserve">31 C.F.R. § 542.510 (food, medicine, and medical devices); § 542.511 (replacement parts for medical devices); § 542.521 (certain health-related commodities); § 542.522 (humanitarian projects); §§ 542.512–542.513 (personal communications; information and informational materials). Each is conditioned on, among other things, non-involvement of blocked persons (other than the Government of Syria as contemplated by the particular GL) and EAR eligibility.</w:t>
      </w:r>
    </w:p>
    <w:p>
      <w:pPr>
        <w:pStyle w:val="Compact"/>
        <w:numPr>
          <w:ilvl w:val="0"/>
          <w:numId w:val="1002"/>
        </w:numPr>
      </w:pPr>
      <w:r>
        <w:rPr>
          <w:b/>
          <w:bCs/>
        </w:rPr>
        <w:t xml:space="preserve">EAR.</w:t>
      </w:r>
      <w:r>
        <w:t xml:space="preserve"> </w:t>
      </w:r>
      <w:r>
        <w:t xml:space="preserve">Syria is in Country Group E:1. The EAR may impose separate license requirements for items subject to the EAR destined for Syria and for the transfer of technology/software. The prior OFAC license expressly did not relieve the licensee of EAR obligations.</w:t>
      </w:r>
    </w:p>
    <w:bookmarkEnd w:id="22"/>
    <w:bookmarkStart w:id="33" w:name="iv.-issue-analysis"/>
    <w:p>
      <w:pPr>
        <w:pStyle w:val="Heading2"/>
      </w:pPr>
      <w:r>
        <w:t xml:space="preserve">IV. Issue Analysis</w:t>
      </w:r>
    </w:p>
    <w:bookmarkStart w:id="23" w:name="X901294bc6eabda032e61bcdf9d24036c0ad859c"/>
    <w:p>
      <w:pPr>
        <w:pStyle w:val="Heading3"/>
      </w:pPr>
      <w:r>
        <w:t xml:space="preserve">Issue 1 — Governmental End-User and the General-License-vs.-Specific-License Question</w:t>
      </w:r>
    </w:p>
    <w:p>
      <w:pPr>
        <w:pStyle w:val="FirstParagraph"/>
      </w:pPr>
      <w:r>
        <w:rPr>
          <w:b/>
          <w:bCs/>
        </w:rPr>
        <w:t xml:space="preserve">Facts.</w:t>
      </w:r>
      <w:r>
        <w:t xml:space="preserve"> </w:t>
      </w:r>
      <w:r>
        <w:t xml:space="preserve">DCUH is a public hospital under the Syrian Ministry of Health and therefore an instrumentality of the Government of Syria. The Government of Syria is comprehensively blocked under E.O. 13582 and the SySR. The goods are medicine/medical devices (reagent kits) and medical-device-related instruments (calibration units), which are the types of items addressed by the general license at 31 C.F.R. § 542.510.</w:t>
      </w:r>
    </w:p>
    <w:p>
      <w:pPr>
        <w:pStyle w:val="BodyText"/>
      </w:pPr>
      <w:r>
        <w:rPr>
          <w:b/>
          <w:bCs/>
        </w:rPr>
        <w:t xml:space="preserve">Analysis.</w:t>
      </w:r>
      <w:r>
        <w:t xml:space="preserve"> </w:t>
      </w:r>
      <w:r>
        <w:t xml:space="preserve">Section 542.510, as amended, authorizes the export of food, medicine, and medical devices to Syria, including to the Government of Syria, subject to conditions. The conditions include (i) that the items be eligible for export under the EAR (i.e., not require a separate BIS license) and (ii) that the transaction not involve blocked persons other than the Government of Syria as contemplated by the GL, together with end-use certification and recordkeeping requirements. Even setting aside the SDN issues (which independently take the transaction outside § 542.510—see Issues 2 and 3), the transaction as presented includes (a) a payment channel through an SDN-listed bank, (b) a customs agent with an SDN-listed shareholder, and (c) remote training services involving the transfer of technical data that is not squarely a</w:t>
      </w:r>
      <w:r>
        <w:t xml:space="preserve"> </w:t>
      </w:r>
      <w:r>
        <w:t xml:space="preserve">“</w:t>
      </w:r>
      <w:r>
        <w:t xml:space="preserve">medical device</w:t>
      </w:r>
      <w:r>
        <w:t xml:space="preserve">”</w:t>
      </w:r>
      <w:r>
        <w:t xml:space="preserve"> </w:t>
      </w:r>
      <w:r>
        <w:t xml:space="preserve">export. These features mean Meridian cannot proceed under § 542.510 with confidence. The other potentially relevant GLs (§§ 542.521, 542.522) are likewise conditioned on non-involvement of blocked persons and EAR eligibility, and do not comfortably encompass the full scope of this transaction (payment restructuring, customs arrangement, and technology-transfer training).</w:t>
      </w:r>
    </w:p>
    <w:p>
      <w:pPr>
        <w:pStyle w:val="BodyText"/>
      </w:pPr>
      <w:r>
        <w:rPr>
          <w:b/>
          <w:bCs/>
        </w:rPr>
        <w:t xml:space="preserve">Recommendation.</w:t>
      </w:r>
      <w:r>
        <w:t xml:space="preserve"> </w:t>
      </w:r>
      <w:r>
        <w:t xml:space="preserve">Proceed by specific license. A specific license is the appropriate pathway because it allows us to present the restructured transaction holistically—goods, services, end-user, route, and payment—and to obtain OFAC’s express authorization for the SDN-adjacent elements that cannot be cured by restructuring alone. We should still analyze whether any discrete component (e.g., the physical medical devices, once the SDN payment and agent issues are cured) could be brought within § 542.510, but given the training/technology component and the desirability of a single comprehensive authorization, a specific license is the cleaner and safer approach. The application should expressly address why the GLs are unavailable, as OFAC will expect that analysis.</w:t>
      </w:r>
    </w:p>
    <w:bookmarkEnd w:id="23"/>
    <w:bookmarkStart w:id="24" w:name="Xf1c8160312f3327ad64efa5a25b45cb13824e69"/>
    <w:p>
      <w:pPr>
        <w:pStyle w:val="Heading3"/>
      </w:pPr>
      <w:r>
        <w:t xml:space="preserve">Issue 2 — SDN-Listed Remitting Bank (Central Bank of Calverley) —</w:t>
      </w:r>
      <w:r>
        <w:t xml:space="preserve"> </w:t>
      </w:r>
      <w:r>
        <w:rPr>
          <w:i/>
          <w:iCs/>
        </w:rPr>
        <w:t xml:space="preserve">Priority / Hard Blocker</w:t>
      </w:r>
    </w:p>
    <w:p>
      <w:pPr>
        <w:pStyle w:val="FirstParagraph"/>
      </w:pPr>
      <w:r>
        <w:rPr>
          <w:b/>
          <w:bCs/>
        </w:rPr>
        <w:t xml:space="preserve">Facts.</w:t>
      </w:r>
      <w:r>
        <w:t xml:space="preserve"> </w:t>
      </w:r>
      <w:r>
        <w:t xml:space="preserve">The purchase order specifies 100% advance wire transfer from DCUH’s account at CBS. CBS is on the SDN List (added Aug. 10, 2011, E.O. 13582). Payment routed through CBS is prohibited; any funds received would be blocked; no U.S. financial institution may process such a transfer absent specific authorization.</w:t>
      </w:r>
    </w:p>
    <w:p>
      <w:pPr>
        <w:pStyle w:val="BodyText"/>
      </w:pPr>
      <w:r>
        <w:rPr>
          <w:b/>
          <w:bCs/>
        </w:rPr>
        <w:t xml:space="preserve">Analysis.</w:t>
      </w:r>
      <w:r>
        <w:t xml:space="preserve"> </w:t>
      </w:r>
      <w:r>
        <w:t xml:space="preserve">This is the most straightforward of the two SDN issues but is a hard blocker: the transaction cannot proceed with CBS as the remitting bank. Notably, the prior license (SYR-2021-384712) authorized payment via a non-SDN Syrian commercial bank and expressly prohibited CBS routing—establishing a direct precedent and signaling that OFAC is unwilling to authorize CBS involvement even within a licensed transaction. The practical challenge is that DCUH is a governmental entity in a heavily sanctioned banking system, so identifying a non-SDN Syrian commercial bank capable of effecting a USD wire may require effort; a third-country bank is a fallback.</w:t>
      </w:r>
    </w:p>
    <w:p>
      <w:pPr>
        <w:pStyle w:val="BodyText"/>
      </w:pPr>
      <w:r>
        <w:rPr>
          <w:b/>
          <w:bCs/>
        </w:rPr>
        <w:t xml:space="preserve">Recommendation.</w:t>
      </w:r>
      <w:r>
        <w:t xml:space="preserve"> </w:t>
      </w:r>
      <w:r>
        <w:t xml:space="preserve">Restructure the payment channel before filing. Primary proposal: DCUH remits from a non-SDN-listed Syrian commercial bank (to be identified and screened) to Meridian’s account at Harborview National Bank. Alternative: a non-SDN-listed third-country financial institution. The application should (i) disclose the CBS designation and the PO’s original payment terms; (ii) request authorization for the restructured non-SDN channel; (iii) request a license condition prohibiting any routing through CBS or any SDN-listed/blocked institution; and (iv) commit to providing OFAC the identity and screening results of the selected remitting institution prior to receipt of funds. Peggy should screen any proposed alternative bank. We should also confirm with the Client that DCUH can in fact access a non-SDN bank; if not, the third-country option should be developed in parallel.</w:t>
      </w:r>
      <w:r>
        <w:t xml:space="preserve"> </w:t>
      </w:r>
      <w:r>
        <w:rPr>
          <w:i/>
          <w:iCs/>
        </w:rPr>
        <w:t xml:space="preserve">Action item for Client: identify candidate non-SDN Syrian commercial banks and/or third-country banks and provide to Peggy for screening.</w:t>
      </w:r>
    </w:p>
    <w:bookmarkEnd w:id="24"/>
    <w:bookmarkStart w:id="25" w:name="Xa0d535403f92b82d352a0014f6a2bdd217af957"/>
    <w:p>
      <w:pPr>
        <w:pStyle w:val="Heading3"/>
      </w:pPr>
      <w:r>
        <w:t xml:space="preserve">Issue 3 — SDN-Listed Minority Shareholder in ARMPC (Samir Daoud Khoury) —</w:t>
      </w:r>
      <w:r>
        <w:t xml:space="preserve"> </w:t>
      </w:r>
      <w:r>
        <w:rPr>
          <w:i/>
          <w:iCs/>
        </w:rPr>
        <w:t xml:space="preserve">Priority / Most Sensitive</w:t>
      </w:r>
    </w:p>
    <w:p>
      <w:pPr>
        <w:pStyle w:val="FirstParagraph"/>
      </w:pPr>
      <w:r>
        <w:rPr>
          <w:b/>
          <w:bCs/>
        </w:rPr>
        <w:t xml:space="preserve">Facts.</w:t>
      </w:r>
      <w:r>
        <w:t xml:space="preserve"> </w:t>
      </w:r>
      <w:r>
        <w:t xml:space="preserve">ARMPC (Damascus; MD Tariq Nabil Hammoud) is the customs clearance/import agent designated by DCUH. ARMPC and Hammoud screened clean. But enhanced beneficial ownership screening identified that Samir Daoud Khoury holds 30% of ARMPC. Khoury was added to the SDN List on April 15, 2024, on the basis of</w:t>
      </w:r>
      <w:r>
        <w:t xml:space="preserve"> </w:t>
      </w:r>
      <w:r>
        <w:t xml:space="preserve">“</w:t>
      </w:r>
      <w:r>
        <w:t xml:space="preserve">acting on behalf of a sanctioned Syrian military procurement network.</w:t>
      </w:r>
      <w:r>
        <w:t xml:space="preserve">”</w:t>
      </w:r>
      <w:r>
        <w:t xml:space="preserve"> </w:t>
      </w:r>
      <w:r>
        <w:t xml:space="preserve">Listing details: DOB March 12, 1971; Syrian; Passport S-0048712.</w:t>
      </w:r>
    </w:p>
    <w:p>
      <w:pPr>
        <w:pStyle w:val="BodyText"/>
      </w:pPr>
      <w:r>
        <w:rPr>
          <w:b/>
          <w:bCs/>
        </w:rPr>
        <w:t xml:space="preserve">Analysis.</w:t>
      </w:r>
      <w:r>
        <w:t xml:space="preserve"> </w:t>
      </w:r>
      <w:r>
        <w:t xml:space="preserve">This is the most sensitive issue in the matter, for two reasons. First, the 50 Percent Rule: at 30%, Khoury’s stake is below the 50% blocking threshold, so ARMPC is not automatically blocked. We can state that in the application, but we should not over-rely on it—OFAC guidance expressly warns that transacting with entities in which SDNs hold significant minority interests presents elevated risk, and the prior license condition prohibited transactions involving SDNs or 50%+ SDN-owned entities. Second, and more concerning, is the</w:t>
      </w:r>
      <w:r>
        <w:t xml:space="preserve"> </w:t>
      </w:r>
      <w:r>
        <w:rPr>
          <w:i/>
          <w:iCs/>
        </w:rPr>
        <w:t xml:space="preserve">basis</w:t>
      </w:r>
      <w:r>
        <w:t xml:space="preserve"> </w:t>
      </w:r>
      <w:r>
        <w:t xml:space="preserve">of Khoury’s designation:</w:t>
      </w:r>
      <w:r>
        <w:t xml:space="preserve"> </w:t>
      </w:r>
      <w:r>
        <w:t xml:space="preserve">“</w:t>
      </w:r>
      <w:r>
        <w:t xml:space="preserve">acting on behalf of a sanctioned Syrian military procurement network.</w:t>
      </w:r>
      <w:r>
        <w:t xml:space="preserve">”</w:t>
      </w:r>
      <w:r>
        <w:t xml:space="preserve"> </w:t>
      </w:r>
      <w:r>
        <w:t xml:space="preserve">The goods here are humanitarian medical diagnostics, but the customs agent is partly owned by a person designated for ties to a</w:t>
      </w:r>
      <w:r>
        <w:t xml:space="preserve"> </w:t>
      </w:r>
      <w:r>
        <w:rPr>
          <w:i/>
          <w:iCs/>
        </w:rPr>
        <w:t xml:space="preserve">military procurement</w:t>
      </w:r>
      <w:r>
        <w:t xml:space="preserve"> </w:t>
      </w:r>
      <w:r>
        <w:t xml:space="preserve">network. This raises a genuine diversion-risk question: is ARMPC a legitimate civilian medical logistics provider, or could it be a conduit through which goods or funds reach a sanctioned military procurement network? We cannot answer that from the documents provided, and we should not assume it away.</w:t>
      </w:r>
    </w:p>
    <w:p>
      <w:pPr>
        <w:pStyle w:val="BodyText"/>
      </w:pPr>
      <w:r>
        <w:rPr>
          <w:b/>
          <w:bCs/>
        </w:rPr>
        <w:t xml:space="preserve">Recommendation.</w:t>
      </w:r>
      <w:r>
        <w:t xml:space="preserve"> </w:t>
      </w:r>
      <w:r>
        <w:t xml:space="preserve">Two-track approach, with replacement as the strongly preferred course:</w:t>
      </w:r>
    </w:p>
    <w:p>
      <w:pPr>
        <w:pStyle w:val="Compact"/>
        <w:numPr>
          <w:ilvl w:val="0"/>
          <w:numId w:val="1003"/>
        </w:numPr>
      </w:pPr>
      <w:r>
        <w:rPr>
          <w:b/>
          <w:bCs/>
        </w:rPr>
        <w:t xml:space="preserve">Primary — replace ARMPC.</w:t>
      </w:r>
      <w:r>
        <w:t xml:space="preserve"> </w:t>
      </w:r>
      <w:r>
        <w:t xml:space="preserve">Work with DCUH to substitute a screened alternative Syrian customs clearance agent with no SDN-listed ownership or principals. This eliminates the nexus entirely and is the cleanest path to approval. The application should disclose the Khoury finding and state that Meridian is replacing ARMPC; the license should authorize the customs function to be performed by a screened, non-SDN agent to be identified and screened prior to shipment.</w:t>
      </w:r>
    </w:p>
    <w:p>
      <w:pPr>
        <w:pStyle w:val="Compact"/>
        <w:numPr>
          <w:ilvl w:val="0"/>
          <w:numId w:val="1003"/>
        </w:numPr>
      </w:pPr>
      <w:r>
        <w:rPr>
          <w:b/>
          <w:bCs/>
        </w:rPr>
        <w:t xml:space="preserve">Alternative — conditional authorization of ARMPC’s limited ministerial role.</w:t>
      </w:r>
      <w:r>
        <w:t xml:space="preserve"> </w:t>
      </w:r>
      <w:r>
        <w:t xml:space="preserve">If DCUH cannot substitute an agent, request specific authorization for ARMPC’s limited, ministerial customs clearance role subject to safeguards: (i) fees limited to reasonable, documented, arm’s-length market rates with no premium attributable to Khoury; (ii) no agreement, payment, or relationship with Khoury and no funds to or for his benefit; (iii) a written ownership-structure certification and no-benefit commitment from ARMPC; (iv) enhanced monitoring (see Issue 5). We should present this only as a fallback and should be prepared for OFAC to decline it given the military-procurement designation basis.</w:t>
      </w:r>
    </w:p>
    <w:p>
      <w:pPr>
        <w:pStyle w:val="FirstParagraph"/>
      </w:pPr>
      <w:r>
        <w:t xml:space="preserve">In either case, the application must disclose the Khoury finding fully and candidly. Failure to disclose an SDN nexus in a license application would itself be a serious compliance failure and would undermine Meridian’s credibility with OFAC. We should also recommend that Peggy conduct enhanced due diligence on ARMPC (ownership structure beyond Khoury, business history, other clients, any public nexus to military procurement) to inform the decision and to support the application narrative.</w:t>
      </w:r>
      <w:r>
        <w:t xml:space="preserve"> </w:t>
      </w:r>
      <w:r>
        <w:rPr>
          <w:i/>
          <w:iCs/>
        </w:rPr>
        <w:t xml:space="preserve">Action items for Client: (a) confirm whether DCUH will agree to substitute an alternative customs agent; (b) provide any additional information on ARMPC’s ownership and business; (c) if substitution is possible, identify candidate agents for screening.</w:t>
      </w:r>
    </w:p>
    <w:bookmarkEnd w:id="25"/>
    <w:bookmarkStart w:id="26" w:name="Xc3c3962ef28753edc8961e03589842ac4078b1f"/>
    <w:p>
      <w:pPr>
        <w:pStyle w:val="Heading3"/>
      </w:pPr>
      <w:r>
        <w:t xml:space="preserve">Issue 4 — Technology Transfer, Deemed Exports, and the Training Services</w:t>
      </w:r>
    </w:p>
    <w:p>
      <w:pPr>
        <w:pStyle w:val="FirstParagraph"/>
      </w:pPr>
      <w:r>
        <w:rPr>
          <w:b/>
          <w:bCs/>
        </w:rPr>
        <w:t xml:space="preserve">Facts.</w:t>
      </w:r>
      <w:r>
        <w:t xml:space="preserve"> </w:t>
      </w:r>
      <w:r>
        <w:t xml:space="preserve">The 40-hour remote training involves transfer of technical data to DCUH personnel: proprietary instrument schematics and engineering diagrams, the CalibPro 3100 Software Reference Manual (MBS-SRM-3100-v4.2, 287 pages), and instruction on firmware diagnostic logs and calibration algorithm parameters. The products are EAR99; the embedded firmware (v4.2.1) uses AES-128 for internal data-integrity verification only, below EAR de minimis thresholds; the unit has no wireless/network connectivity (USB 2.0 only); firmware is not user-modifiable; no firmware updates or over-the-air support are included.</w:t>
      </w:r>
    </w:p>
    <w:p>
      <w:pPr>
        <w:pStyle w:val="BodyText"/>
      </w:pPr>
      <w:r>
        <w:rPr>
          <w:b/>
          <w:bCs/>
        </w:rPr>
        <w:t xml:space="preserve">Analysis.</w:t>
      </w:r>
      <w:r>
        <w:t xml:space="preserve"> </w:t>
      </w:r>
      <w:r>
        <w:t xml:space="preserve">Two dimensions. (1)</w:t>
      </w:r>
      <w:r>
        <w:t xml:space="preserve"> </w:t>
      </w:r>
      <w:r>
        <w:rPr>
          <w:i/>
          <w:iCs/>
        </w:rPr>
        <w:t xml:space="preserve">OFAC:</w:t>
      </w:r>
      <w:r>
        <w:t xml:space="preserve"> </w:t>
      </w:r>
      <w:r>
        <w:t xml:space="preserve">The provision of services and technology to Syria is prohibited under 31 C.F.R. § 542.206 and is not squarely within the medical-device GL (§ 542.510), which addresses goods rather than interactive training services and technical data. The information-materials GL (§ 542.513) and personal-communications GL (§ 542.512) do not comfortably cover interactive training involving proprietary technical data. The training therefore needs specific OFAC authorization, which we will request as part of the comprehensive specific license. (2)</w:t>
      </w:r>
      <w:r>
        <w:t xml:space="preserve"> </w:t>
      </w:r>
      <w:r>
        <w:rPr>
          <w:i/>
          <w:iCs/>
        </w:rPr>
        <w:t xml:space="preserve">EAR/BIS:</w:t>
      </w:r>
      <w:r>
        <w:t xml:space="preserve"> </w:t>
      </w:r>
      <w:r>
        <w:t xml:space="preserve">Even for EAR99 items, the transfer of</w:t>
      </w:r>
      <w:r>
        <w:t xml:space="preserve"> </w:t>
      </w:r>
      <w:r>
        <w:t xml:space="preserve">“</w:t>
      </w:r>
      <w:r>
        <w:t xml:space="preserve">technology</w:t>
      </w:r>
      <w:r>
        <w:t xml:space="preserve">”</w:t>
      </w:r>
      <w:r>
        <w:t xml:space="preserve"> </w:t>
      </w:r>
      <w:r>
        <w:t xml:space="preserve">and</w:t>
      </w:r>
      <w:r>
        <w:t xml:space="preserve"> </w:t>
      </w:r>
      <w:r>
        <w:t xml:space="preserve">“</w:t>
      </w:r>
      <w:r>
        <w:t xml:space="preserve">software</w:t>
      </w:r>
      <w:r>
        <w:t xml:space="preserve">”</w:t>
      </w:r>
      <w:r>
        <w:t xml:space="preserve"> </w:t>
      </w:r>
      <w:r>
        <w:t xml:space="preserve">to a Country Group E:1 destination may implicate separate EAR requirements, and the encryption functionality (AES-128) requires a documented classification analysis (which the datasheet provides, concluding below de minimis / EAR99). The</w:t>
      </w:r>
      <w:r>
        <w:t xml:space="preserve"> </w:t>
      </w:r>
      <w:r>
        <w:t xml:space="preserve">“</w:t>
      </w:r>
      <w:r>
        <w:t xml:space="preserve">deemed export</w:t>
      </w:r>
      <w:r>
        <w:t xml:space="preserve">”</w:t>
      </w:r>
      <w:r>
        <w:t xml:space="preserve"> </w:t>
      </w:r>
      <w:r>
        <w:t xml:space="preserve">doctrine (release of technology to a foreign person) is less directly implicated because the training is delivered to persons abroad rather than to foreign persons in the United States, but the export of technology to Syria is itself the relevant EAR question. The datasheet’s own note flags that post-training technical assistance involving additional technical data/software/proprietary information</w:t>
      </w:r>
      <w:r>
        <w:t xml:space="preserve"> </w:t>
      </w:r>
      <w:r>
        <w:t xml:space="preserve">“</w:t>
      </w:r>
      <w:r>
        <w:t xml:space="preserve">may require independent authorization</w:t>
      </w:r>
      <w:r>
        <w:t xml:space="preserve">”</w:t>
      </w:r>
      <w:r>
        <w:t xml:space="preserve">—a useful caution we should build into the license scope (authorize the defined training only; exclude future firmware updates/patches).</w:t>
      </w:r>
    </w:p>
    <w:p>
      <w:pPr>
        <w:pStyle w:val="BodyText"/>
      </w:pPr>
      <w:r>
        <w:rPr>
          <w:b/>
          <w:bCs/>
        </w:rPr>
        <w:t xml:space="preserve">Recommendation.</w:t>
      </w:r>
      <w:r>
        <w:t xml:space="preserve"> </w:t>
      </w:r>
      <w:r>
        <w:t xml:space="preserve">The application should (i) request express authorization for the training services and the specifically identified technical data as an integral part of the humanitarian medical device transaction; (ii) describe the technical data precisely and confirm the EAR99 classification and the below-de-minimis encryption analysis; (iii) state that no firmware updates, patches, or over-the-air support are included; and (iv) commit to obtaining any separate BIS authorization determined to be required and to coordinating with BIS as needed. We should also recommend that Meridian document the encryption/de minimis analysis in its sanctions risk assessment file (per Graystone Finding 3) and that the training materials be limited to what is described in the application—any expansion (e.g., additional modules, firmware updates) should trigger a separate compliance review and possible license amendment.</w:t>
      </w:r>
    </w:p>
    <w:bookmarkEnd w:id="26"/>
    <w:bookmarkStart w:id="27" w:name="X1b7186f9abaa8d5a0b57384c1112ea6220665f3"/>
    <w:p>
      <w:pPr>
        <w:pStyle w:val="Heading3"/>
      </w:pPr>
      <w:r>
        <w:t xml:space="preserve">Issue 5 — End-Use Monitoring and Diversion Risk —</w:t>
      </w:r>
      <w:r>
        <w:t xml:space="preserve"> </w:t>
      </w:r>
      <w:r>
        <w:rPr>
          <w:i/>
          <w:iCs/>
        </w:rPr>
        <w:t xml:space="preserve">Elevated</w:t>
      </w:r>
    </w:p>
    <w:p>
      <w:pPr>
        <w:pStyle w:val="FirstParagraph"/>
      </w:pPr>
      <w:r>
        <w:rPr>
          <w:b/>
          <w:bCs/>
        </w:rPr>
        <w:t xml:space="preserve">Facts.</w:t>
      </w:r>
      <w:r>
        <w:t xml:space="preserve"> </w:t>
      </w:r>
      <w:r>
        <w:t xml:space="preserve">The PO contains DCUH’s non-diversion/no-re-export commitment. The goods are humanitarian medical diagnostics. However, the customs agent (ARMPC) has an SDN-listed shareholder designated for ties to a military procurement network (Issue 3), which elevates diversion risk. Graystone’s audit (Finding 2) noted that end-use monitoring for the prior license was limited to delivery confirmation, with no ongoing post-delivery monitoring—a gap OFAC could view unfavorably.</w:t>
      </w:r>
    </w:p>
    <w:p>
      <w:pPr>
        <w:pStyle w:val="BodyText"/>
      </w:pPr>
      <w:r>
        <w:rPr>
          <w:b/>
          <w:bCs/>
        </w:rPr>
        <w:t xml:space="preserve">Analysis.</w:t>
      </w:r>
      <w:r>
        <w:t xml:space="preserve"> </w:t>
      </w:r>
      <w:r>
        <w:t xml:space="preserve">OFAC expects licensees in comprehensively sanctioned jurisdictions to implement robust end-use monitoring to prevent diversion. The Khoury military-procurement nexus makes this especially important here. The prior license’s conditions required delivery solely to the named end-user and no diversion, but did not mandate ongoing monitoring; we should go beyond the prior license’s baseline and present a written end-use monitoring plan, both because it is good practice and because it strengthens the application and addresses Graystone Finding 2.</w:t>
      </w:r>
    </w:p>
    <w:p>
      <w:pPr>
        <w:pStyle w:val="BodyText"/>
      </w:pPr>
      <w:r>
        <w:rPr>
          <w:b/>
          <w:bCs/>
        </w:rPr>
        <w:t xml:space="preserve">Recommendation.</w:t>
      </w:r>
      <w:r>
        <w:t xml:space="preserve"> </w:t>
      </w:r>
      <w:r>
        <w:t xml:space="preserve">Build a written end-use monitoring and anti-diversion plan into the application, including: (a) an end-user certificate and non-diversion commitment from DCUH (the PO’s commitment is a start, but we should obtain a standalone certificate); (b) delivery confirmation with documentary and photographic evidence plus cold-chain temperature logs; (c) annual usage reporting from DCUH during the license period; (d) remote site verification to the extent feasible; (e) if ARMPC is used, enhanced monitoring of its performance and fee reasonableness with no-benefit-to-Khoury verification; and (f) immediate pre-shipment re-screening of all parties. This plan should be described in the application and implemented if the license is granted.</w:t>
      </w:r>
    </w:p>
    <w:bookmarkEnd w:id="27"/>
    <w:bookmarkStart w:id="28" w:name="issue-6-bis-ear-licensing-for-syria"/>
    <w:p>
      <w:pPr>
        <w:pStyle w:val="Heading3"/>
      </w:pPr>
      <w:r>
        <w:t xml:space="preserve">Issue 6 — BIS / EAR Licensing for Syria</w:t>
      </w:r>
    </w:p>
    <w:p>
      <w:pPr>
        <w:pStyle w:val="FirstParagraph"/>
      </w:pPr>
      <w:r>
        <w:rPr>
          <w:b/>
          <w:bCs/>
        </w:rPr>
        <w:t xml:space="preserve">Facts.</w:t>
      </w:r>
      <w:r>
        <w:t xml:space="preserve"> </w:t>
      </w:r>
      <w:r>
        <w:t xml:space="preserve">Both products are EAR99. Syria is in Country Group E:1. The prior OFAC license stated it did not relieve the licensee of EAR obligations.</w:t>
      </w:r>
    </w:p>
    <w:p>
      <w:pPr>
        <w:pStyle w:val="BodyText"/>
      </w:pPr>
      <w:r>
        <w:rPr>
          <w:b/>
          <w:bCs/>
        </w:rPr>
        <w:t xml:space="preserve">Analysis.</w:t>
      </w:r>
      <w:r>
        <w:t xml:space="preserve"> </w:t>
      </w:r>
      <w:r>
        <w:t xml:space="preserve">We need to confirm whether the EAR99-classified items require a separate BIS license for export to Syria and whether the training/technology transfer requires BIS authorization. The OFAC application should not assume the EAR analysis; it should state Meridian’s classification (EAR99) and its commitment to obtain any required BIS authorization and to coordinate with BIS. We should separately confirm the EAR treatment of Syria with BIS or through export-control counsel if needed. If a BIS license is required, the OFAC and BIS processes should run in parallel, and we should manage the Client’s expectations on timing accordingly.</w:t>
      </w:r>
    </w:p>
    <w:p>
      <w:pPr>
        <w:pStyle w:val="BodyText"/>
      </w:pPr>
      <w:r>
        <w:rPr>
          <w:b/>
          <w:bCs/>
        </w:rPr>
        <w:t xml:space="preserve">Recommendation.</w:t>
      </w:r>
      <w:r>
        <w:t xml:space="preserve"> </w:t>
      </w:r>
      <w:r>
        <w:t xml:space="preserve">Confirm the EAR license requirements for Syria for these EAR99 items and for the training/technology. State in the OFAC application that Meridian will obtain any required BIS authorization and will not ship or train until all U.S. Government authorizations are in place.</w:t>
      </w:r>
      <w:r>
        <w:t xml:space="preserve"> </w:t>
      </w:r>
      <w:r>
        <w:rPr>
          <w:i/>
          <w:iCs/>
        </w:rPr>
        <w:t xml:space="preserve">Action item: confirm EAR/Syria license requirements (BIS or export-control counsel).</w:t>
      </w:r>
    </w:p>
    <w:bookmarkEnd w:id="28"/>
    <w:bookmarkStart w:id="29" w:name="X8931215a940b1f559da35ece7c94989dfbcd99f"/>
    <w:p>
      <w:pPr>
        <w:pStyle w:val="Heading3"/>
      </w:pPr>
      <w:r>
        <w:t xml:space="preserve">Issue 7 — Cold-Chain Feasibility and Execution Risk</w:t>
      </w:r>
    </w:p>
    <w:p>
      <w:pPr>
        <w:pStyle w:val="FirstParagraph"/>
      </w:pPr>
      <w:r>
        <w:rPr>
          <w:b/>
          <w:bCs/>
        </w:rPr>
        <w:t xml:space="preserve">Facts.</w:t>
      </w:r>
      <w:r>
        <w:t xml:space="preserve"> </w:t>
      </w:r>
      <w:r>
        <w:t xml:space="preserve">The reagent kits require an uninterrupted 2–8 °C cold chain across a 6–8 week multi-leg transit (ocean reefer, Turkish warehousing, overland to Damascus). The logistics plan flags that ARMPC has been asked to confirm DCUH’s cold-chain receiving and refrigerated storage capacity but does not confirm it. Temperature excursions above 12 °C or below 0 °C void the warranty and may compromise reagent integrity.</w:t>
      </w:r>
    </w:p>
    <w:p>
      <w:pPr>
        <w:pStyle w:val="BodyText"/>
      </w:pPr>
      <w:r>
        <w:rPr>
          <w:b/>
          <w:bCs/>
        </w:rPr>
        <w:t xml:space="preserve">Analysis.</w:t>
      </w:r>
      <w:r>
        <w:t xml:space="preserve"> </w:t>
      </w:r>
      <w:r>
        <w:t xml:space="preserve">This is primarily an execution/feasibility risk rather than a legal issue, but it is relevant to the application in two respects. First, OFAC may be less inclined to authorize a transaction that cannot realistically be executed as described; confirming DCUH’s receiving capacity supports the application’s credibility. Second, if the cold chain fails, the humanitarian purpose is defeated and the goods may be wasted—undermining the humanitarian justification. This is not a basis to withhold the application, but it should be flagged to the Client and resolved before shipment.</w:t>
      </w:r>
    </w:p>
    <w:p>
      <w:pPr>
        <w:pStyle w:val="BodyText"/>
      </w:pPr>
      <w:r>
        <w:rPr>
          <w:b/>
          <w:bCs/>
        </w:rPr>
        <w:t xml:space="preserve">Recommendation.</w:t>
      </w:r>
      <w:r>
        <w:t xml:space="preserve"> </w:t>
      </w:r>
      <w:r>
        <w:t xml:space="preserve">Flag to the Client as a pre-shipment condition: obtain written confirmation from DCUH (via ARMPC or otherwise) of adequate refrigerated receiving and storage capacity before shipment. Note this in the application’s end-use monitoring section as a pre-shipment verification step. Not a gating item for filing.</w:t>
      </w:r>
    </w:p>
    <w:bookmarkEnd w:id="29"/>
    <w:bookmarkStart w:id="30" w:name="issue-8-ongoing-re-screening"/>
    <w:p>
      <w:pPr>
        <w:pStyle w:val="Heading3"/>
      </w:pPr>
      <w:r>
        <w:t xml:space="preserve">Issue 8 — Ongoing Re-Screening</w:t>
      </w:r>
    </w:p>
    <w:p>
      <w:pPr>
        <w:pStyle w:val="FirstParagraph"/>
      </w:pPr>
      <w:r>
        <w:rPr>
          <w:b/>
          <w:bCs/>
        </w:rPr>
        <w:t xml:space="preserve">Facts.</w:t>
      </w:r>
      <w:r>
        <w:t xml:space="preserve"> </w:t>
      </w:r>
      <w:r>
        <w:t xml:space="preserve">Khoury was designated only on April 15, 2024—recently—and the sanctions landscape for Syria is dynamic. Screening was completed June 3, 2024.</w:t>
      </w:r>
    </w:p>
    <w:p>
      <w:pPr>
        <w:pStyle w:val="BodyText"/>
      </w:pPr>
      <w:r>
        <w:rPr>
          <w:b/>
          <w:bCs/>
        </w:rPr>
        <w:t xml:space="preserve">Analysis.</w:t>
      </w:r>
      <w:r>
        <w:t xml:space="preserve"> </w:t>
      </w:r>
      <w:r>
        <w:t xml:space="preserve">A party that is clean today may be designated tomorrow; Khoury’s recent designation illustrates this. The compliance memo recommends re-screening at 90-day intervals during the pendency of the application and immediately prior to shipment.</w:t>
      </w:r>
    </w:p>
    <w:p>
      <w:pPr>
        <w:pStyle w:val="BodyText"/>
      </w:pPr>
      <w:r>
        <w:rPr>
          <w:b/>
          <w:bCs/>
        </w:rPr>
        <w:t xml:space="preserve">Recommendation.</w:t>
      </w:r>
      <w:r>
        <w:t xml:space="preserve"> </w:t>
      </w:r>
      <w:r>
        <w:t xml:space="preserve">Adopt the 90-day re-screening cadence and immediate pre-shipment re-screening as a license condition/commitment in the application, and implement it regardless. If any party becomes a blocked or designated person before shipment, halt and notify OFAC. This also reinforces the value of the enhanced beneficial-ownership screening platform Meridian implemented in January 2024 (which caught Khoury)—a point worth making in the application’s compliance-program section.</w:t>
      </w:r>
    </w:p>
    <w:bookmarkEnd w:id="30"/>
    <w:bookmarkStart w:id="31" w:name="Xc2b8bb1de1edf7f5e56553f9d4a8aed817f1c67"/>
    <w:p>
      <w:pPr>
        <w:pStyle w:val="Heading3"/>
      </w:pPr>
      <w:r>
        <w:t xml:space="preserve">Issue 9 — Reporting and Recordkeeping Conditions</w:t>
      </w:r>
    </w:p>
    <w:p>
      <w:pPr>
        <w:pStyle w:val="FirstParagraph"/>
      </w:pPr>
      <w:r>
        <w:rPr>
          <w:b/>
          <w:bCs/>
        </w:rPr>
        <w:t xml:space="preserve">Facts.</w:t>
      </w:r>
      <w:r>
        <w:t xml:space="preserve"> </w:t>
      </w:r>
      <w:r>
        <w:t xml:space="preserve">The prior license imposed 30-day post-shipment reports, 5-year recordkeeping (31 C.F.R. § 501.601), no-SDN/no-50%-SDN-entity conditions, no-diversion, EAR-not-relieved, and material-change reporting.</w:t>
      </w:r>
    </w:p>
    <w:p>
      <w:pPr>
        <w:pStyle w:val="BodyText"/>
      </w:pPr>
      <w:r>
        <w:rPr>
          <w:b/>
          <w:bCs/>
        </w:rPr>
        <w:t xml:space="preserve">Analysis.</w:t>
      </w:r>
      <w:r>
        <w:t xml:space="preserve"> </w:t>
      </w:r>
      <w:r>
        <w:t xml:space="preserve">We should expect, and voluntarily commit to, conditions at least as stringent as the prior license, plus the enhanced end-use monitoring in Issue 5.</w:t>
      </w:r>
    </w:p>
    <w:p>
      <w:pPr>
        <w:pStyle w:val="BodyText"/>
      </w:pPr>
      <w:r>
        <w:rPr>
          <w:b/>
          <w:bCs/>
        </w:rPr>
        <w:t xml:space="preserve">Recommendation.</w:t>
      </w:r>
      <w:r>
        <w:t xml:space="preserve"> </w:t>
      </w:r>
      <w:r>
        <w:t xml:space="preserve">Build the reporting/recordkeeping commitments into the application (Section XIV of the draft) and into Meridian’s internal compliance plan for the transaction. Ensure Peggy’s team is prepared to meet the 30-day post-shipment reporting cadence.</w:t>
      </w:r>
    </w:p>
    <w:bookmarkEnd w:id="31"/>
    <w:bookmarkStart w:id="32" w:name="Xfcad35185d6a8d0ed289bd959e1de32247c20ad"/>
    <w:p>
      <w:pPr>
        <w:pStyle w:val="Heading3"/>
      </w:pPr>
      <w:r>
        <w:t xml:space="preserve">Issue 10 — Processing Timeline and the Requested September 1, 2024 Effective Date</w:t>
      </w:r>
    </w:p>
    <w:p>
      <w:pPr>
        <w:pStyle w:val="FirstParagraph"/>
      </w:pPr>
      <w:r>
        <w:rPr>
          <w:b/>
          <w:bCs/>
        </w:rPr>
        <w:t xml:space="preserve">Facts.</w:t>
      </w:r>
      <w:r>
        <w:t xml:space="preserve"> </w:t>
      </w:r>
      <w:r>
        <w:t xml:space="preserve">The Client requests an effective date of September 1, 2024 and an 18-month term through February 28, 2026. The Client acknowledges OFAC processing typically runs 90–180 days. If we file in mid-July 2024, issuance could fall anywhere from approximately mid-October 2024 to mid-January 2025.</w:t>
      </w:r>
    </w:p>
    <w:p>
      <w:pPr>
        <w:pStyle w:val="BodyText"/>
      </w:pPr>
      <w:r>
        <w:rPr>
          <w:b/>
          <w:bCs/>
        </w:rPr>
        <w:t xml:space="preserve">Analysis.</w:t>
      </w:r>
      <w:r>
        <w:t xml:space="preserve"> </w:t>
      </w:r>
      <w:r>
        <w:t xml:space="preserve">The requested September 1, 2024 effective date is likely not achievable given processing times. We should manage the Client’s expectations and request a term that is robust regardless of issuance date.</w:t>
      </w:r>
    </w:p>
    <w:p>
      <w:pPr>
        <w:pStyle w:val="BodyText"/>
      </w:pPr>
      <w:r>
        <w:rPr>
          <w:b/>
          <w:bCs/>
        </w:rPr>
        <w:t xml:space="preserve">Recommendation.</w:t>
      </w:r>
      <w:r>
        <w:t xml:space="preserve"> </w:t>
      </w:r>
      <w:r>
        <w:t xml:space="preserve">Request an 18-month term, effective September 1, 2024</w:t>
      </w:r>
      <w:r>
        <w:t xml:space="preserve"> </w:t>
      </w:r>
      <w:r>
        <w:rPr>
          <w:i/>
          <w:iCs/>
        </w:rPr>
        <w:t xml:space="preserve">or the date of issuance if later</w:t>
      </w:r>
      <w:r>
        <w:t xml:space="preserve">, expiring February 28, 2026</w:t>
      </w:r>
      <w:r>
        <w:t xml:space="preserve"> </w:t>
      </w:r>
      <w:r>
        <w:rPr>
          <w:i/>
          <w:iCs/>
        </w:rPr>
        <w:t xml:space="preserve">or 18 months from issuance</w:t>
      </w:r>
      <w:r>
        <w:t xml:space="preserve"> </w:t>
      </w:r>
      <w:r>
        <w:t xml:space="preserve">(whichever gives a full 18-month window). Flag to the Client that the September 1 effective date is aspirational and that shipment should be planned around the actual issuance date. File as soon as the SDN restructuring (Issues 2 and 3) is sufficiently defined to support a credible application; we need not wait for the alternative bank/agent to be finalized if we frame the application to require pre-shipment identification and screening of those parties.</w:t>
      </w:r>
    </w:p>
    <w:bookmarkEnd w:id="32"/>
    <w:bookmarkEnd w:id="33"/>
    <w:bookmarkStart w:id="34" w:name="v.-recommended-application-strategy"/>
    <w:p>
      <w:pPr>
        <w:pStyle w:val="Heading2"/>
      </w:pPr>
      <w:r>
        <w:t xml:space="preserve">V. Recommended Application Strategy</w:t>
      </w:r>
    </w:p>
    <w:p>
      <w:pPr>
        <w:pStyle w:val="Compact"/>
        <w:numPr>
          <w:ilvl w:val="0"/>
          <w:numId w:val="1004"/>
        </w:numPr>
      </w:pPr>
      <w:r>
        <w:rPr>
          <w:b/>
          <w:bCs/>
        </w:rPr>
        <w:t xml:space="preserve">File a specific license application</w:t>
      </w:r>
      <w:r>
        <w:t xml:space="preserve"> </w:t>
      </w:r>
      <w:r>
        <w:t xml:space="preserve">(not rely on a general license), presenting the restructured transaction holistically.</w:t>
      </w:r>
    </w:p>
    <w:p>
      <w:pPr>
        <w:pStyle w:val="Compact"/>
        <w:numPr>
          <w:ilvl w:val="0"/>
          <w:numId w:val="1004"/>
        </w:numPr>
      </w:pPr>
      <w:r>
        <w:rPr>
          <w:b/>
          <w:bCs/>
        </w:rPr>
        <w:t xml:space="preserve">Lead with full disclosure</w:t>
      </w:r>
      <w:r>
        <w:t xml:space="preserve"> </w:t>
      </w:r>
      <w:r>
        <w:t xml:space="preserve">of both SDN issues (CBS and Khoury/ARMPC) in a dedicated section of the narrative. Candor is both ethically required and strategically sound—Meridian’s credibility with OFAC is an asset worth protecting.</w:t>
      </w:r>
    </w:p>
    <w:p>
      <w:pPr>
        <w:pStyle w:val="Compact"/>
        <w:numPr>
          <w:ilvl w:val="0"/>
          <w:numId w:val="1004"/>
        </w:numPr>
      </w:pPr>
      <w:r>
        <w:rPr>
          <w:b/>
          <w:bCs/>
        </w:rPr>
        <w:t xml:space="preserve">Restructure payment</w:t>
      </w:r>
      <w:r>
        <w:t xml:space="preserve"> </w:t>
      </w:r>
      <w:r>
        <w:t xml:space="preserve">away from CBS (Issue 2) and request license authorization for a non-SDN channel, with a no-CBS-routing condition.</w:t>
      </w:r>
    </w:p>
    <w:p>
      <w:pPr>
        <w:pStyle w:val="Compact"/>
        <w:numPr>
          <w:ilvl w:val="0"/>
          <w:numId w:val="1004"/>
        </w:numPr>
      </w:pPr>
      <w:r>
        <w:rPr>
          <w:b/>
          <w:bCs/>
        </w:rPr>
        <w:t xml:space="preserve">Pursue replacement of ARMPC</w:t>
      </w:r>
      <w:r>
        <w:t xml:space="preserve"> </w:t>
      </w:r>
      <w:r>
        <w:t xml:space="preserve">as the primary approach to the Khoury issue (Issue 3), with conditional authorization of ARMPC’s limited role as a fallback. Conduct enhanced due diligence on ARMPC to inform the decision.</w:t>
      </w:r>
    </w:p>
    <w:p>
      <w:pPr>
        <w:pStyle w:val="Compact"/>
        <w:numPr>
          <w:ilvl w:val="0"/>
          <w:numId w:val="1004"/>
        </w:numPr>
      </w:pPr>
      <w:r>
        <w:rPr>
          <w:b/>
          <w:bCs/>
        </w:rPr>
        <w:t xml:space="preserve">Request express authorization for the training and identified technical data</w:t>
      </w:r>
      <w:r>
        <w:t xml:space="preserve"> </w:t>
      </w:r>
      <w:r>
        <w:t xml:space="preserve">(Issue 4), with the scope limited to the defined curriculum and excluding firmware updates/over-the-air support.</w:t>
      </w:r>
    </w:p>
    <w:p>
      <w:pPr>
        <w:pStyle w:val="Compact"/>
        <w:numPr>
          <w:ilvl w:val="0"/>
          <w:numId w:val="1004"/>
        </w:numPr>
      </w:pPr>
      <w:r>
        <w:rPr>
          <w:b/>
          <w:bCs/>
        </w:rPr>
        <w:t xml:space="preserve">Present a written end-use monitoring and anti-diversion plan</w:t>
      </w:r>
      <w:r>
        <w:t xml:space="preserve"> </w:t>
      </w:r>
      <w:r>
        <w:t xml:space="preserve">(Issue 5) that goes beyond the prior license’s baseline.</w:t>
      </w:r>
    </w:p>
    <w:p>
      <w:pPr>
        <w:pStyle w:val="Compact"/>
        <w:numPr>
          <w:ilvl w:val="0"/>
          <w:numId w:val="1004"/>
        </w:numPr>
      </w:pPr>
      <w:r>
        <w:rPr>
          <w:b/>
          <w:bCs/>
        </w:rPr>
        <w:t xml:space="preserve">Commit to EAR compliance</w:t>
      </w:r>
      <w:r>
        <w:t xml:space="preserve"> </w:t>
      </w:r>
      <w:r>
        <w:t xml:space="preserve">and BIS coordination (Issue 6), and confirm the EAR/Syria requirements separately.</w:t>
      </w:r>
    </w:p>
    <w:p>
      <w:pPr>
        <w:pStyle w:val="Compact"/>
        <w:numPr>
          <w:ilvl w:val="0"/>
          <w:numId w:val="1004"/>
        </w:numPr>
      </w:pPr>
      <w:r>
        <w:rPr>
          <w:b/>
          <w:bCs/>
        </w:rPr>
        <w:t xml:space="preserve">Leverage the favorable factors:</w:t>
      </w:r>
      <w:r>
        <w:t xml:space="preserve"> </w:t>
      </w:r>
      <w:r>
        <w:t xml:space="preserve">humanitarian goods, FDA-cleared, EAR99, no dual-use, WHO-documented need, civilian public hospital end-user, clean compliance record, successful prior analogous license, and the enhanced beneficial-ownership screening that caught the Khoury issue.</w:t>
      </w:r>
    </w:p>
    <w:p>
      <w:pPr>
        <w:pStyle w:val="Compact"/>
        <w:numPr>
          <w:ilvl w:val="0"/>
          <w:numId w:val="1004"/>
        </w:numPr>
      </w:pPr>
      <w:r>
        <w:rPr>
          <w:b/>
          <w:bCs/>
        </w:rPr>
        <w:t xml:space="preserve">Request an 18-month term</w:t>
      </w:r>
      <w:r>
        <w:t xml:space="preserve"> </w:t>
      </w:r>
      <w:r>
        <w:t xml:space="preserve">with flexible effective/expiry dates (Issue 10), and manage the Client’s timeline expectations.</w:t>
      </w:r>
    </w:p>
    <w:p>
      <w:pPr>
        <w:pStyle w:val="Compact"/>
        <w:numPr>
          <w:ilvl w:val="0"/>
          <w:numId w:val="1004"/>
        </w:numPr>
      </w:pPr>
      <w:r>
        <w:rPr>
          <w:b/>
          <w:bCs/>
        </w:rPr>
        <w:t xml:space="preserve">Submit exhibits:</w:t>
      </w:r>
      <w:r>
        <w:t xml:space="preserve"> </w:t>
      </w:r>
      <w:r>
        <w:t xml:space="preserve">PO, screening memo, logistics plan, technical data sheets, prior license, Graystone audit, WHO assessment, and (to follow) end-user certificate, alternative bank screening, and alternative/conditional agent screening.</w:t>
      </w:r>
    </w:p>
    <w:bookmarkEnd w:id="34"/>
    <w:bookmarkStart w:id="35" w:name="X84d1f7e91f968804ec33573364e03a6c5c15212"/>
    <w:p>
      <w:pPr>
        <w:pStyle w:val="Heading2"/>
      </w:pPr>
      <w:r>
        <w:t xml:space="preserve">VI. Open Items and Information Needed from the Client</w:t>
      </w:r>
    </w:p>
    <w:p>
      <w:pPr>
        <w:pStyle w:val="FirstParagraph"/>
      </w:pPr>
      <w:r>
        <w:t xml:space="preserve">To finalize and strengthen the application, we request the following from Meridian:</w:t>
      </w:r>
    </w:p>
    <w:p>
      <w:pPr>
        <w:pStyle w:val="Compact"/>
        <w:numPr>
          <w:ilvl w:val="0"/>
          <w:numId w:val="1005"/>
        </w:numPr>
      </w:pPr>
      <w:r>
        <w:rPr>
          <w:b/>
          <w:bCs/>
        </w:rPr>
        <w:t xml:space="preserve">Payment restructuring (Issue 2):</w:t>
      </w:r>
      <w:r>
        <w:t xml:space="preserve"> </w:t>
      </w:r>
      <w:r>
        <w:t xml:space="preserve">Identification of candidate non-SDN-listed Syrian commercial banks and/or third-country financial institutions through which DCUH could remit payment, for Peggy’s screening; confirmation that DCUH can access a non-SDN bank.</w:t>
      </w:r>
    </w:p>
    <w:p>
      <w:pPr>
        <w:pStyle w:val="Compact"/>
        <w:numPr>
          <w:ilvl w:val="0"/>
          <w:numId w:val="1005"/>
        </w:numPr>
      </w:pPr>
      <w:r>
        <w:rPr>
          <w:b/>
          <w:bCs/>
        </w:rPr>
        <w:t xml:space="preserve">ARMPC / Khoury (Issue 3):</w:t>
      </w:r>
      <w:r>
        <w:t xml:space="preserve"> </w:t>
      </w:r>
      <w:r>
        <w:t xml:space="preserve">(a) Confirmation whether DCUH will agree to substitute an alternative Syrian customs clearance agent; if so, candidate agents for screening. (b) Any additional information on ARMPC’s full ownership structure, business history, client base, and any public nexus to military procurement, to support enhanced due diligence and the application narrative.</w:t>
      </w:r>
    </w:p>
    <w:p>
      <w:pPr>
        <w:pStyle w:val="Compact"/>
        <w:numPr>
          <w:ilvl w:val="0"/>
          <w:numId w:val="1005"/>
        </w:numPr>
      </w:pPr>
      <w:r>
        <w:rPr>
          <w:b/>
          <w:bCs/>
        </w:rPr>
        <w:t xml:space="preserve">End-user certificate (Issue 5):</w:t>
      </w:r>
      <w:r>
        <w:t xml:space="preserve"> </w:t>
      </w:r>
      <w:r>
        <w:t xml:space="preserve">A standalone end-user certificate and non-diversion commitment from DCUH (the PO’s commitment is useful but a standalone certificate is preferable).</w:t>
      </w:r>
    </w:p>
    <w:p>
      <w:pPr>
        <w:pStyle w:val="Compact"/>
        <w:numPr>
          <w:ilvl w:val="0"/>
          <w:numId w:val="1005"/>
        </w:numPr>
      </w:pPr>
      <w:r>
        <w:rPr>
          <w:b/>
          <w:bCs/>
        </w:rPr>
        <w:t xml:space="preserve">Cold-chain confirmation (Issue 7):</w:t>
      </w:r>
      <w:r>
        <w:t xml:space="preserve"> </w:t>
      </w:r>
      <w:r>
        <w:t xml:space="preserve">Written confirmation from DCUH of adequate refrigerated receiving and storage capacity.</w:t>
      </w:r>
    </w:p>
    <w:p>
      <w:pPr>
        <w:pStyle w:val="Compact"/>
        <w:numPr>
          <w:ilvl w:val="0"/>
          <w:numId w:val="1005"/>
        </w:numPr>
      </w:pPr>
      <w:r>
        <w:rPr>
          <w:b/>
          <w:bCs/>
        </w:rPr>
        <w:t xml:space="preserve">EAR confirmation (Issue 6):</w:t>
      </w:r>
      <w:r>
        <w:t xml:space="preserve"> </w:t>
      </w:r>
      <w:r>
        <w:t xml:space="preserve">Meridian’s documented EAR classification and encryption/de minimis analysis for the file (the datasheet addresses this; we recommend formalizing it in the sanctions risk assessment record per Graystone Finding 3).</w:t>
      </w:r>
    </w:p>
    <w:p>
      <w:pPr>
        <w:pStyle w:val="Compact"/>
        <w:numPr>
          <w:ilvl w:val="0"/>
          <w:numId w:val="1005"/>
        </w:numPr>
      </w:pPr>
      <w:r>
        <w:rPr>
          <w:b/>
          <w:bCs/>
        </w:rPr>
        <w:t xml:space="preserve">Signatures:</w:t>
      </w:r>
      <w:r>
        <w:t xml:space="preserve"> </w:t>
      </w:r>
      <w:r>
        <w:t xml:space="preserve">Authorization for Jonathan Halsted to sign the application on behalf of Meridian, and confirmation of the requested license term.</w:t>
      </w:r>
    </w:p>
    <w:p>
      <w:pPr>
        <w:pStyle w:val="Compact"/>
        <w:numPr>
          <w:ilvl w:val="0"/>
          <w:numId w:val="1005"/>
        </w:numPr>
      </w:pPr>
      <w:r>
        <w:rPr>
          <w:b/>
          <w:bCs/>
        </w:rPr>
        <w:t xml:space="preserve">Prior license copy:</w:t>
      </w:r>
      <w:r>
        <w:t xml:space="preserve"> </w:t>
      </w:r>
      <w:r>
        <w:t xml:space="preserve">Confirm whether Meridian wants us to attach the prior license (SYR-2021-384712) as an exhibit (we recommend doing so).</w:t>
      </w:r>
    </w:p>
    <w:bookmarkEnd w:id="35"/>
    <w:bookmarkStart w:id="36" w:name="vii.-risk-assessment-and-conclusion"/>
    <w:p>
      <w:pPr>
        <w:pStyle w:val="Heading2"/>
      </w:pPr>
      <w:r>
        <w:t xml:space="preserve">VII. Risk Assessment and Conclusion</w:t>
      </w:r>
    </w:p>
    <w:p>
      <w:pPr>
        <w:pStyle w:val="FirstParagraph"/>
      </w:pPr>
      <w:r>
        <w:rPr>
          <w:b/>
          <w:bCs/>
        </w:rPr>
        <w:t xml:space="preserve">Overall assessment: licensable, with structuring and disclosure.</w:t>
      </w:r>
      <w:r>
        <w:t xml:space="preserve"> </w:t>
      </w:r>
      <w:r>
        <w:t xml:space="preserve">The favorable factors are strong: exclusively humanitarian, FDA-cleared, EAR99 goods with no dual-use application; a civilian public-hospital end-user serving the general Syrian patient population; a severe and independently documented humanitarian need (WHO); a clean compliance record; and a successful prior analogous OFAC specific license. These factors support a reasonable likelihood of issuance.</w:t>
      </w:r>
    </w:p>
    <w:p>
      <w:pPr>
        <w:pStyle w:val="BodyText"/>
      </w:pPr>
      <w:r>
        <w:t xml:space="preserve">The principal risks are the two SDN issues. The CBS payment issue is a hard blocker but is readily curable by restructuring to a non-SDN channel with precedent support. The Khoury/ARMPC issue is more sensitive because of the military-procurement designation basis; the preferred mitigation is to replace ARMPC, and the fallback (conditional authorization of ARMPC’s limited role) is viable but less certain and should be presented only if replacement proves infeasible. Full disclosure of both issues is non-negotiable.</w:t>
      </w:r>
    </w:p>
    <w:p>
      <w:pPr>
        <w:pStyle w:val="BodyText"/>
      </w:pPr>
      <w:r>
        <w:t xml:space="preserve">The secondary issues (technology transfer/training, BIS/EAR, end-use monitoring, cold-chain, re-screening, timeline) are manageable and, with the recommendations above, will strengthen rather than undermine the application. Notably, several of these map directly onto the recommendations in Meridian’s September 2023 Graystone audit—addressing them in this application both cures the audit findings and demonstrates a maturing compliance program.</w:t>
      </w:r>
    </w:p>
    <w:p>
      <w:pPr>
        <w:pStyle w:val="BodyText"/>
      </w:pPr>
      <w:r>
        <w:rPr>
          <w:b/>
          <w:bCs/>
        </w:rPr>
        <w:t xml:space="preserve">Recommendation.</w:t>
      </w:r>
      <w:r>
        <w:t xml:space="preserve"> </w:t>
      </w:r>
      <w:r>
        <w:t xml:space="preserve">Proceed to finalize and file the specific license application on the restructured basis described above, with the SDN issues addressed as priority items and the open items in Section VI resolved or teed up for pre-shipment resolution. We are available to discuss any of the foregoing at the Client’s convenience.</w:t>
      </w:r>
    </w:p>
    <w:p>
      <w:pPr>
        <w:pStyle w:val="BodyText"/>
      </w:pPr>
      <w:r>
        <w:br/>
      </w:r>
    </w:p>
    <w:p>
      <w:pPr>
        <w:pStyle w:val="BodyText"/>
      </w:pPr>
      <w:r>
        <w:rPr>
          <w:i/>
          <w:iCs/>
        </w:rPr>
        <w:t xml:space="preserve">Prepared by: David Osei-Mensah, Senior Associate, Ashford &amp; Whitmore LLP. Reviewed by: Catherine R. Bellingham, Partner.</w:t>
      </w:r>
    </w:p>
    <w:p>
      <w:pPr>
        <w:pStyle w:val="BodyText"/>
      </w:pPr>
      <w:r>
        <w:rPr>
          <w:i/>
          <w:iCs/>
        </w:rPr>
        <w:t xml:space="preserve">This memorandum is privileged and confidential. It is intended solely for the named addressees and may not be distributed further without the prior written consent of the General Counsel of Meridian Biotech Solutions, Inc. or undersigned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Internal Issues Memorandum — Proposed OFAC-Licensed Export of Cancer Diagnostic Products to Damascus Central University Hospital, Syria</dc:title>
  <dc:creator/>
  <cp:keywords/>
  <dcterms:created xsi:type="dcterms:W3CDTF">2026-06-26T23:42:34Z</dcterms:created>
  <dcterms:modified xsi:type="dcterms:W3CDTF">2026-06-26T23:42:34Z</dcterms:modified>
</cp:coreProperties>
</file>

<file path=docProps/custom.xml><?xml version="1.0" encoding="utf-8"?>
<Properties xmlns="http://schemas.openxmlformats.org/officeDocument/2006/custom-properties" xmlns:vt="http://schemas.openxmlformats.org/officeDocument/2006/docPropsVTypes"/>
</file>