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Application</w:t>
      </w:r>
      <w:r>
        <w:t xml:space="preserve"> </w:t>
      </w:r>
      <w:r>
        <w:t xml:space="preserve">for</w:t>
      </w:r>
      <w:r>
        <w:t xml:space="preserve"> </w:t>
      </w:r>
      <w:r>
        <w:t xml:space="preserve">Specific</w:t>
      </w:r>
      <w:r>
        <w:t xml:space="preserve"> </w:t>
      </w:r>
      <w:r>
        <w:t xml:space="preserve">License</w:t>
      </w:r>
      <w:r>
        <w:t xml:space="preserve"> </w:t>
      </w:r>
      <w:r>
        <w:t xml:space="preserve">—</w:t>
      </w:r>
      <w:r>
        <w:t xml:space="preserve"> </w:t>
      </w:r>
      <w:r>
        <w:t xml:space="preserve">Proposed</w:t>
      </w:r>
      <w:r>
        <w:t xml:space="preserve"> </w:t>
      </w:r>
      <w:r>
        <w:t xml:space="preserve">Export</w:t>
      </w:r>
      <w:r>
        <w:t xml:space="preserve"> </w:t>
      </w:r>
      <w:r>
        <w:t xml:space="preserve">of</w:t>
      </w:r>
      <w:r>
        <w:t xml:space="preserve"> </w:t>
      </w:r>
      <w:r>
        <w:t xml:space="preserve">Cancer</w:t>
      </w:r>
      <w:r>
        <w:t xml:space="preserve"> </w:t>
      </w:r>
      <w:r>
        <w:t xml:space="preserve">Diagnostic</w:t>
      </w:r>
      <w:r>
        <w:t xml:space="preserve"> </w:t>
      </w:r>
      <w:r>
        <w:t xml:space="preserve">Products</w:t>
      </w:r>
      <w:r>
        <w:t xml:space="preserve"> </w:t>
      </w:r>
      <w:r>
        <w:t xml:space="preserve">and</w:t>
      </w:r>
      <w:r>
        <w:t xml:space="preserve"> </w:t>
      </w:r>
      <w:r>
        <w:t xml:space="preserve">Related</w:t>
      </w:r>
      <w:r>
        <w:t xml:space="preserve"> </w:t>
      </w:r>
      <w:r>
        <w:t xml:space="preserve">Training</w:t>
      </w:r>
      <w:r>
        <w:t xml:space="preserve"> </w:t>
      </w:r>
      <w:r>
        <w:t xml:space="preserve">Services</w:t>
      </w:r>
      <w:r>
        <w:t xml:space="preserve"> </w:t>
      </w:r>
      <w:r>
        <w:t xml:space="preserve">to</w:t>
      </w:r>
      <w:r>
        <w:t xml:space="preserve"> </w:t>
      </w:r>
      <w:r>
        <w:t xml:space="preserve">Damascus</w:t>
      </w:r>
      <w:r>
        <w:t xml:space="preserve"> </w:t>
      </w:r>
      <w:r>
        <w:t xml:space="preserve">Central</w:t>
      </w:r>
      <w:r>
        <w:t xml:space="preserve"> </w:t>
      </w:r>
      <w:r>
        <w:t xml:space="preserve">University</w:t>
      </w:r>
      <w:r>
        <w:t xml:space="preserve"> </w:t>
      </w:r>
      <w:r>
        <w:t xml:space="preserve">Hospital,</w:t>
      </w:r>
      <w:r>
        <w:t xml:space="preserve"> </w:t>
      </w:r>
      <w:r>
        <w:t xml:space="preserve">Syria</w:t>
      </w:r>
    </w:p>
    <w:p>
      <w:pPr>
        <w:pStyle w:val="Subtitle"/>
      </w:pPr>
      <w:r>
        <w:t xml:space="preserve">Submitted</w:t>
      </w:r>
      <w:r>
        <w:t xml:space="preserve"> </w:t>
      </w:r>
      <w:r>
        <w:t xml:space="preserve">to</w:t>
      </w:r>
      <w:r>
        <w:t xml:space="preserve"> </w:t>
      </w:r>
      <w:r>
        <w:t xml:space="preserve">the</w:t>
      </w:r>
      <w:r>
        <w:t xml:space="preserve"> </w:t>
      </w:r>
      <w:r>
        <w:t xml:space="preserve">U.S.</w:t>
      </w:r>
      <w:r>
        <w:t xml:space="preserve"> </w:t>
      </w:r>
      <w:r>
        <w:t xml:space="preserve">Department</w:t>
      </w:r>
      <w:r>
        <w:t xml:space="preserve"> </w:t>
      </w:r>
      <w:r>
        <w:t xml:space="preserve">of</w:t>
      </w:r>
      <w:r>
        <w:t xml:space="preserve"> </w:t>
      </w:r>
      <w:r>
        <w:t xml:space="preserve">the</w:t>
      </w:r>
      <w:r>
        <w:t xml:space="preserve"> </w:t>
      </w:r>
      <w:r>
        <w:t xml:space="preserve">Treasury,</w:t>
      </w:r>
      <w:r>
        <w:t xml:space="preserve"> </w:t>
      </w:r>
      <w:r>
        <w:t xml:space="preserve">Office</w:t>
      </w:r>
      <w:r>
        <w:t xml:space="preserve"> </w:t>
      </w:r>
      <w:r>
        <w:t xml:space="preserve">of</w:t>
      </w:r>
      <w:r>
        <w:t xml:space="preserve"> </w:t>
      </w:r>
      <w:r>
        <w:t xml:space="preserve">Foreign</w:t>
      </w:r>
      <w:r>
        <w:t xml:space="preserve"> </w:t>
      </w:r>
      <w:r>
        <w:t xml:space="preserve">Assets</w:t>
      </w:r>
      <w:r>
        <w:t xml:space="preserve"> </w:t>
      </w:r>
      <w:r>
        <w:t xml:space="preserve">Control,</w:t>
      </w:r>
      <w:r>
        <w:t xml:space="preserve"> </w:t>
      </w:r>
      <w:r>
        <w:t xml:space="preserve">Licensing</w:t>
      </w:r>
      <w:r>
        <w:t xml:space="preserve"> </w:t>
      </w:r>
      <w:r>
        <w:t xml:space="preserve">Division</w:t>
      </w:r>
    </w:p>
    <w:bookmarkStart w:id="20" w:name="transmittal-letter"/>
    <w:p>
      <w:pPr>
        <w:pStyle w:val="Heading1"/>
      </w:pPr>
      <w:r>
        <w:t xml:space="preserve">TRANSMITTAL LETTER</w:t>
      </w:r>
    </w:p>
    <w:p>
      <w:pPr>
        <w:pStyle w:val="FirstParagraph"/>
      </w:pPr>
      <w:r>
        <w:rPr>
          <w:b/>
          <w:bCs/>
        </w:rPr>
        <w:t xml:space="preserve">Ashford &amp; Whitmore LLP</w:t>
      </w:r>
    </w:p>
    <w:p>
      <w:pPr>
        <w:pStyle w:val="BodyText"/>
      </w:pPr>
      <w:r>
        <w:t xml:space="preserve">1700 K Street NW, Suite 950</w:t>
      </w:r>
    </w:p>
    <w:p>
      <w:pPr>
        <w:pStyle w:val="BodyText"/>
      </w:pPr>
      <w:r>
        <w:t xml:space="preserve">Washington, DC 20006</w:t>
      </w:r>
    </w:p>
    <w:p>
      <w:pPr>
        <w:pStyle w:val="BodyText"/>
      </w:pPr>
      <w:r>
        <w:t xml:space="preserve">Tel: (202) 555-0200 · Fax: (202) 555-0201</w:t>
      </w:r>
    </w:p>
    <w:p>
      <w:pPr>
        <w:pStyle w:val="BodyText"/>
      </w:pPr>
      <w:r>
        <w:t xml:space="preserve">July 10, 2024</w:t>
      </w:r>
    </w:p>
    <w:p>
      <w:pPr>
        <w:pStyle w:val="BodyText"/>
      </w:pPr>
      <w:r>
        <w:rPr>
          <w:b/>
          <w:bCs/>
        </w:rPr>
        <w:t xml:space="preserve">VIA OFAC ELECTRONIC LICENSE APPLICATION PORTAL AND OVERNIGHT DELIVERY</w:t>
      </w:r>
    </w:p>
    <w:p>
      <w:pPr>
        <w:pStyle w:val="BodyText"/>
      </w:pPr>
      <w:r>
        <w:t xml:space="preserve">Director, Licensing Division</w:t>
      </w:r>
    </w:p>
    <w:p>
      <w:pPr>
        <w:pStyle w:val="BodyText"/>
      </w:pPr>
      <w:r>
        <w:t xml:space="preserve">Office of Foreign Assets Control</w:t>
      </w:r>
    </w:p>
    <w:p>
      <w:pPr>
        <w:pStyle w:val="BodyText"/>
      </w:pPr>
      <w:r>
        <w:t xml:space="preserve">U.S. Department of the Treasury</w:t>
      </w:r>
    </w:p>
    <w:p>
      <w:pPr>
        <w:pStyle w:val="BodyText"/>
      </w:pPr>
      <w:r>
        <w:t xml:space="preserve">1500 Pennsylvania Avenue NW</w:t>
      </w:r>
    </w:p>
    <w:p>
      <w:pPr>
        <w:pStyle w:val="BodyText"/>
      </w:pPr>
      <w:r>
        <w:t xml:space="preserve">Washington, DC 20220</w:t>
      </w:r>
    </w:p>
    <w:p>
      <w:pPr>
        <w:pStyle w:val="BodyText"/>
      </w:pPr>
      <w:r>
        <w:rPr>
          <w:b/>
          <w:bCs/>
        </w:rPr>
        <w:t xml:space="preserve">Re: Application for Specific License Under the Syrian Sanctions Regulations, 31 C.F.R. Part 542 — Proposed Export of CancerDetect RX-700 Reagent Kits, CalibPro 3100 Calibration Units, and Related Remote Training Services to Damascus Central University Hospital, Damascus, Syria</w:t>
      </w:r>
    </w:p>
    <w:p>
      <w:pPr>
        <w:pStyle w:val="BodyText"/>
      </w:pPr>
      <w:r>
        <w:t xml:space="preserve">Dear Director:</w:t>
      </w:r>
    </w:p>
    <w:p>
      <w:pPr>
        <w:pStyle w:val="BodyText"/>
      </w:pPr>
      <w:r>
        <w:t xml:space="preserve">Enclosed for the Office of Foreign Assets Control (</w:t>
      </w:r>
      <w:r>
        <w:t xml:space="preserve">“</w:t>
      </w:r>
      <w:r>
        <w:t xml:space="preserve">OFAC</w:t>
      </w:r>
      <w:r>
        <w:t xml:space="preserve">”</w:t>
      </w:r>
      <w:r>
        <w:t xml:space="preserve">) review and approval is an application, submitted on behalf of our client Meridian Biotech Solutions, Inc.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requesting a specific license pursuant to the Syrian Sanctions Regulations, 31 C.F.R. Part 542 (the</w:t>
      </w:r>
      <w:r>
        <w:t xml:space="preserve"> </w:t>
      </w:r>
      <w:r>
        <w:t xml:space="preserve">“</w:t>
      </w:r>
      <w:r>
        <w:t xml:space="preserve">Syrian Sanctions Regulations</w:t>
      </w:r>
      <w:r>
        <w:t xml:space="preserve">”</w:t>
      </w:r>
      <w:r>
        <w:t xml:space="preserve"> </w:t>
      </w:r>
      <w:r>
        <w:t xml:space="preserve">or</w:t>
      </w:r>
      <w:r>
        <w:t xml:space="preserve"> </w:t>
      </w:r>
      <w:r>
        <w:t xml:space="preserve">“</w:t>
      </w:r>
      <w:r>
        <w:t xml:space="preserve">SySR</w:t>
      </w:r>
      <w:r>
        <w:t xml:space="preserve">”</w:t>
      </w:r>
      <w:r>
        <w:t xml:space="preserve">), and the authority of Executive Order 13582 of August 17, 2011. The application seeks authorization for the export of cancer diagnostic reagent kits, companion calibration instruments, and related remote training services to Damascus Central University Hospital (</w:t>
      </w:r>
      <w:r>
        <w:t xml:space="preserve">“</w:t>
      </w:r>
      <w:r>
        <w:t xml:space="preserve">DCUH</w:t>
      </w:r>
      <w:r>
        <w:t xml:space="preserve">”</w:t>
      </w:r>
      <w:r>
        <w:t xml:space="preserve">) in Damascus, Syria, for exclusively humanitarian medical use in the diagnosis of breast and other cancers.</w:t>
      </w:r>
    </w:p>
    <w:p>
      <w:pPr>
        <w:pStyle w:val="BodyText"/>
      </w:pPr>
      <w:r>
        <w:t xml:space="preserve">The proposed transaction has an aggregate value of US$1,280,000 and involves the export of EAR99-classified in vitro diagnostic products that are FDA-cleared and that have no dual-use or military application. The goods are intended to address a critical, well-documented humanitarian gap in Syrian cancer diagnostics capacity, as identified by the World Health Organization Syria Country Office in its January 2024 Comprehensive Health Needs Assessment.</w:t>
      </w:r>
    </w:p>
    <w:p>
      <w:pPr>
        <w:pStyle w:val="BodyText"/>
      </w:pPr>
      <w:r>
        <w:t xml:space="preserve">The Applicant and its counsel have conducted comprehensive sanctions due diligence on all transaction parties. That diligence identified two matters that the Applicant brings to OFAC’s attention candidly and in full at the outset of this application: (i) the customs clearance agent designated by the end-user, Al-Rashid Medical Procurement Company (</w:t>
      </w:r>
      <w:r>
        <w:t xml:space="preserve">“</w:t>
      </w:r>
      <w:r>
        <w:t xml:space="preserve">ARMPC</w:t>
      </w:r>
      <w:r>
        <w:t xml:space="preserve">”</w:t>
      </w:r>
      <w:r>
        <w:t xml:space="preserve">), has a 30% shareholder who was added to the SDN List on April 15, 2024; and (ii) the purchase order designates the Central Bank of Calverley (</w:t>
      </w:r>
      <w:r>
        <w:t xml:space="preserve">“</w:t>
      </w:r>
      <w:r>
        <w:t xml:space="preserve">CBS</w:t>
      </w:r>
      <w:r>
        <w:t xml:space="preserve">”</w:t>
      </w:r>
      <w:r>
        <w:t xml:space="preserve">)—an SDN-listed entity—as the remitting bank. Neither matter is insurmountable. The Applicant proposes, and requests OFAC authorization for, a restructured transaction that eliminates the SDN payment nexus and either replaces ARMPC with a screened alternative or, in the alternative, authorizes ARMPC’s limited ministerial customs role subject to conditions ensuring no benefit to the SDN shareholder. These matters are addressed in detail in Sections VIII and IX below.</w:t>
      </w:r>
    </w:p>
    <w:p>
      <w:pPr>
        <w:pStyle w:val="BodyText"/>
      </w:pPr>
      <w:r>
        <w:t xml:space="preserve">The Applicant has a demonstrated track record of OFAC compliance, including the successful administration of Specific License No. SYR-2021-384712 (issued September 14, 2021; expired March 31, 2023), under which all authorized shipments to a Syrian public hospital were completed with no violations, late filings, or deviations from license terms. The Applicant maintains a sanctions compliance program that was independently audited in September 2023 and rated</w:t>
      </w:r>
      <w:r>
        <w:t xml:space="preserve"> </w:t>
      </w:r>
      <w:r>
        <w:t xml:space="preserve">“</w:t>
      </w:r>
      <w:r>
        <w:t xml:space="preserve">Satisfactory with Recommendations.</w:t>
      </w:r>
      <w:r>
        <w:t xml:space="preserve">”</w:t>
      </w:r>
    </w:p>
    <w:p>
      <w:pPr>
        <w:pStyle w:val="BodyText"/>
      </w:pPr>
      <w:r>
        <w:t xml:space="preserve">The Applicant respectfully requests that OFAC issue a specific license authorizing the transaction described herein, effective September 1, 2024 (or the date of issuance, if later), and expiring February 28, 2026. The Applicant is available to provide any additional information or documentation that OFAC may require and welcomes the opportunity to confer with the licensing analyst assigned to this matter.</w:t>
      </w:r>
    </w:p>
    <w:p>
      <w:pPr>
        <w:pStyle w:val="BodyText"/>
      </w:pPr>
      <w:r>
        <w:t xml:space="preserve">Respectfully submitted,</w:t>
      </w:r>
    </w:p>
    <w:p>
      <w:pPr>
        <w:pStyle w:val="BodyText"/>
      </w:pPr>
      <w:r>
        <w:br/>
      </w:r>
    </w:p>
    <w:p>
      <w:pPr>
        <w:pStyle w:val="BodyText"/>
      </w:pPr>
      <w:r>
        <w:rPr>
          <w:b/>
          <w:bCs/>
        </w:rPr>
        <w:t xml:space="preserve">Catherine R. Bellingham</w:t>
      </w:r>
    </w:p>
    <w:p>
      <w:pPr>
        <w:pStyle w:val="BodyText"/>
      </w:pPr>
      <w:r>
        <w:t xml:space="preserve">Partner, Ashford &amp; Whitmore LLP</w:t>
      </w:r>
    </w:p>
    <w:p>
      <w:pPr>
        <w:pStyle w:val="BodyText"/>
      </w:pPr>
      <w:r>
        <w:t xml:space="preserve">Counsel for the Applicant</w:t>
      </w:r>
    </w:p>
    <w:p>
      <w:pPr>
        <w:pStyle w:val="BodyText"/>
      </w:pPr>
      <w:r>
        <w:br/>
      </w:r>
    </w:p>
    <w:p>
      <w:pPr>
        <w:pStyle w:val="BodyText"/>
      </w:pPr>
      <w:r>
        <w:rPr>
          <w:b/>
          <w:bCs/>
        </w:rPr>
        <w:t xml:space="preserve">David Osei-Mensah</w:t>
      </w:r>
    </w:p>
    <w:p>
      <w:pPr>
        <w:pStyle w:val="BodyText"/>
      </w:pPr>
      <w:r>
        <w:t xml:space="preserve">Senior Associate, Ashford &amp; Whitmore LLP</w:t>
      </w:r>
    </w:p>
    <w:p>
      <w:pPr>
        <w:pStyle w:val="BodyText"/>
      </w:pPr>
      <w:r>
        <w:br/>
      </w:r>
    </w:p>
    <w:p>
      <w:pPr>
        <w:pStyle w:val="BodyText"/>
      </w:pPr>
      <w:r>
        <w:t xml:space="preserve">Enclosures: Application for Specific License and Exhibits A through I</w:t>
      </w:r>
    </w:p>
    <w:bookmarkEnd w:id="20"/>
    <w:bookmarkStart w:id="51" w:name="application-for-specific-license"/>
    <w:p>
      <w:pPr>
        <w:pStyle w:val="Heading1"/>
      </w:pPr>
      <w:r>
        <w:t xml:space="preserve">APPLICATION FOR SPECIFIC LICENSE</w:t>
      </w:r>
    </w:p>
    <w:p>
      <w:pPr>
        <w:pStyle w:val="FirstParagraph"/>
      </w:pPr>
      <w:r>
        <w:rPr>
          <w:b/>
          <w:bCs/>
        </w:rPr>
        <w:t xml:space="preserve">Applicant:</w:t>
      </w:r>
      <w:r>
        <w:t xml:space="preserve"> </w:t>
      </w:r>
      <w:r>
        <w:t xml:space="preserve">Meridian Biotech Solutions, Inc.</w:t>
      </w:r>
    </w:p>
    <w:p>
      <w:pPr>
        <w:pStyle w:val="BodyText"/>
      </w:pPr>
      <w:r>
        <w:rPr>
          <w:b/>
          <w:bCs/>
        </w:rPr>
        <w:t xml:space="preserve">Proposed Transaction:</w:t>
      </w:r>
      <w:r>
        <w:t xml:space="preserve"> </w:t>
      </w:r>
      <w:r>
        <w:t xml:space="preserve">Export of 500 CancerDetect RX-700 Reagent Kits, 4 CalibPro 3100 Calibration Units, and 40 hours of remote installation and calibration training services to Damascus Central University Hospital, Damascus, Syria</w:t>
      </w:r>
    </w:p>
    <w:p>
      <w:pPr>
        <w:pStyle w:val="BodyText"/>
      </w:pPr>
      <w:r>
        <w:rPr>
          <w:b/>
          <w:bCs/>
        </w:rPr>
        <w:t xml:space="preserve">Aggregate Transaction Value:</w:t>
      </w:r>
      <w:r>
        <w:t xml:space="preserve"> </w:t>
      </w:r>
      <w:r>
        <w:t xml:space="preserve">US$1,280,000</w:t>
      </w:r>
    </w:p>
    <w:p>
      <w:pPr>
        <w:pStyle w:val="BodyText"/>
      </w:pPr>
      <w:r>
        <w:rPr>
          <w:b/>
          <w:bCs/>
        </w:rPr>
        <w:t xml:space="preserve">Sanctions Program:</w:t>
      </w:r>
      <w:r>
        <w:t xml:space="preserve"> </w:t>
      </w:r>
      <w:r>
        <w:t xml:space="preserve">Syrian Sanctions Regulations, 31 C.F.R. Part 542; Executive Order 13582 (Aug. 17, 2011)</w:t>
      </w:r>
    </w:p>
    <w:p>
      <w:pPr>
        <w:pStyle w:val="BodyText"/>
      </w:pPr>
      <w:r>
        <w:rPr>
          <w:b/>
          <w:bCs/>
        </w:rPr>
        <w:t xml:space="preserve">Requested License Term:</w:t>
      </w:r>
      <w:r>
        <w:t xml:space="preserve"> </w:t>
      </w:r>
      <w:r>
        <w:t xml:space="preserve">September 1, 2024 through February 28, 2026 (18 months)</w:t>
      </w:r>
    </w:p>
    <w:p>
      <w:pPr>
        <w:pStyle w:val="BodyText"/>
      </w:pPr>
      <w:r>
        <w:rPr>
          <w:b/>
          <w:bCs/>
        </w:rPr>
        <w:t xml:space="preserve">Date of Application:</w:t>
      </w:r>
      <w:r>
        <w:t xml:space="preserve"> </w:t>
      </w:r>
      <w:r>
        <w:t xml:space="preserve">July 10, 2024</w:t>
      </w:r>
    </w:p>
    <w:bookmarkStart w:id="21" w:name="i.-applicant-information"/>
    <w:p>
      <w:pPr>
        <w:pStyle w:val="Heading2"/>
      </w:pPr>
      <w:r>
        <w:t xml:space="preserve">I.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Meridian Biotech Solutions, Inc.</w:t>
            </w:r>
          </w:p>
        </w:tc>
      </w:tr>
      <w:tr>
        <w:tc>
          <w:tcPr/>
          <w:p>
            <w:pPr>
              <w:pStyle w:val="Compact"/>
              <w:jc w:val="left"/>
            </w:pPr>
            <w:r>
              <w:rPr>
                <w:b/>
                <w:bCs/>
              </w:rPr>
              <w:t xml:space="preserve">Entity type / jurisdiction</w:t>
            </w:r>
          </w:p>
        </w:tc>
        <w:tc>
          <w:tcPr/>
          <w:p>
            <w:pPr>
              <w:pStyle w:val="Compact"/>
              <w:jc w:val="left"/>
            </w:pPr>
            <w:r>
              <w:t xml:space="preserve">Delaware C-Corporation</w:t>
            </w:r>
          </w:p>
        </w:tc>
      </w:tr>
      <w:tr>
        <w:tc>
          <w:tcPr/>
          <w:p>
            <w:pPr>
              <w:pStyle w:val="Compact"/>
              <w:jc w:val="left"/>
            </w:pPr>
            <w:r>
              <w:rPr>
                <w:b/>
                <w:bCs/>
              </w:rPr>
              <w:t xml:space="preserve">Principal place of business</w:t>
            </w:r>
          </w:p>
        </w:tc>
        <w:tc>
          <w:tcPr/>
          <w:p>
            <w:pPr>
              <w:pStyle w:val="Compact"/>
              <w:jc w:val="left"/>
            </w:pPr>
            <w:r>
              <w:t xml:space="preserve">4200 Lakeshore Boulevard, Suite 800, Cambridge, MA 02142</w:t>
            </w:r>
          </w:p>
        </w:tc>
      </w:tr>
      <w:tr>
        <w:tc>
          <w:tcPr/>
          <w:p>
            <w:pPr>
              <w:pStyle w:val="Compact"/>
              <w:jc w:val="left"/>
            </w:pPr>
            <w:r>
              <w:rPr>
                <w:b/>
                <w:bCs/>
              </w:rPr>
              <w:t xml:space="preserve">Employer Identification Number (EIN)</w:t>
            </w:r>
          </w:p>
        </w:tc>
        <w:tc>
          <w:tcPr/>
          <w:p>
            <w:pPr>
              <w:pStyle w:val="Compact"/>
              <w:jc w:val="left"/>
            </w:pPr>
            <w:r>
              <w:t xml:space="preserve">47-3928104</w:t>
            </w:r>
          </w:p>
        </w:tc>
      </w:tr>
      <w:tr>
        <w:tc>
          <w:tcPr/>
          <w:p>
            <w:pPr>
              <w:pStyle w:val="Compact"/>
              <w:jc w:val="left"/>
            </w:pPr>
            <w:r>
              <w:rPr>
                <w:b/>
                <w:bCs/>
              </w:rPr>
              <w:t xml:space="preserve">DUNS Number</w:t>
            </w:r>
          </w:p>
        </w:tc>
        <w:tc>
          <w:tcPr/>
          <w:p>
            <w:pPr>
              <w:pStyle w:val="Compact"/>
              <w:jc w:val="left"/>
            </w:pPr>
            <w:r>
              <w:t xml:space="preserve">08-471-3920</w:t>
            </w:r>
          </w:p>
        </w:tc>
      </w:tr>
      <w:tr>
        <w:tc>
          <w:tcPr/>
          <w:p>
            <w:pPr>
              <w:pStyle w:val="Compact"/>
              <w:jc w:val="left"/>
            </w:pPr>
            <w:r>
              <w:rPr>
                <w:b/>
                <w:bCs/>
              </w:rPr>
              <w:t xml:space="preserve">Business</w:t>
            </w:r>
          </w:p>
        </w:tc>
        <w:tc>
          <w:tcPr/>
          <w:p>
            <w:pPr>
              <w:pStyle w:val="Compact"/>
              <w:jc w:val="left"/>
            </w:pPr>
            <w:r>
              <w:t xml:space="preserve">Development and manufacture of in vitro diagnostic reagent kits, laboratory calibration instruments, and point-of-care testing platforms</w:t>
            </w:r>
          </w:p>
        </w:tc>
      </w:tr>
      <w:tr>
        <w:tc>
          <w:tcPr/>
          <w:p>
            <w:pPr>
              <w:pStyle w:val="Compact"/>
              <w:jc w:val="left"/>
            </w:pPr>
            <w:r>
              <w:rPr>
                <w:b/>
                <w:bCs/>
              </w:rPr>
              <w:t xml:space="preserve">Projected FY2024 revenue</w:t>
            </w:r>
          </w:p>
        </w:tc>
        <w:tc>
          <w:tcPr/>
          <w:p>
            <w:pPr>
              <w:pStyle w:val="Compact"/>
              <w:jc w:val="left"/>
            </w:pPr>
            <w:r>
              <w:t xml:space="preserve">Approximately US$482 million</w:t>
            </w:r>
          </w:p>
        </w:tc>
      </w:tr>
      <w:tr>
        <w:tc>
          <w:tcPr/>
          <w:p>
            <w:pPr>
              <w:pStyle w:val="Compact"/>
              <w:jc w:val="left"/>
            </w:pPr>
            <w:r>
              <w:rPr>
                <w:b/>
                <w:bCs/>
              </w:rPr>
              <w:t xml:space="preserve">Chief Executive Officer</w:t>
            </w:r>
          </w:p>
        </w:tc>
        <w:tc>
          <w:tcPr/>
          <w:p>
            <w:pPr>
              <w:pStyle w:val="Compact"/>
              <w:jc w:val="left"/>
            </w:pPr>
            <w:r>
              <w:t xml:space="preserve">Dr. Priya Ramaswamy</w:t>
            </w:r>
          </w:p>
        </w:tc>
      </w:tr>
      <w:tr>
        <w:tc>
          <w:tcPr/>
          <w:p>
            <w:pPr>
              <w:pStyle w:val="Compact"/>
              <w:jc w:val="left"/>
            </w:pPr>
            <w:r>
              <w:rPr>
                <w:b/>
                <w:bCs/>
              </w:rPr>
              <w:t xml:space="preserve">General Counsel / Primary Point of Contact</w:t>
            </w:r>
          </w:p>
        </w:tc>
        <w:tc>
          <w:tcPr/>
          <w:p>
            <w:pPr>
              <w:pStyle w:val="Compact"/>
              <w:jc w:val="left"/>
            </w:pPr>
            <w:r>
              <w:t xml:space="preserve">Jonathan D. Halsted, (617) 555-0193, jhalsted@meridianbiotech.com</w:t>
            </w:r>
          </w:p>
        </w:tc>
      </w:tr>
      <w:tr>
        <w:tc>
          <w:tcPr/>
          <w:p>
            <w:pPr>
              <w:pStyle w:val="Compact"/>
              <w:jc w:val="left"/>
            </w:pPr>
            <w:r>
              <w:rPr>
                <w:b/>
                <w:bCs/>
              </w:rPr>
              <w:t xml:space="preserve">Chief Compliance Officer</w:t>
            </w:r>
          </w:p>
        </w:tc>
        <w:tc>
          <w:tcPr/>
          <w:p>
            <w:pPr>
              <w:pStyle w:val="Compact"/>
              <w:jc w:val="left"/>
            </w:pPr>
            <w:r>
              <w:t xml:space="preserve">Margaret</w:t>
            </w:r>
            <w:r>
              <w:t xml:space="preserve"> </w:t>
            </w:r>
            <w:r>
              <w:t xml:space="preserve">“</w:t>
            </w:r>
            <w:r>
              <w:t xml:space="preserve">Peggy</w:t>
            </w:r>
            <w:r>
              <w:t xml:space="preserve">”</w:t>
            </w:r>
            <w:r>
              <w:t xml:space="preserve"> </w:t>
            </w:r>
            <w:r>
              <w:t xml:space="preserve">Dunleavy</w:t>
            </w:r>
          </w:p>
        </w:tc>
      </w:tr>
      <w:tr>
        <w:tc>
          <w:tcPr/>
          <w:p>
            <w:pPr>
              <w:pStyle w:val="Compact"/>
              <w:jc w:val="left"/>
            </w:pPr>
            <w:r>
              <w:rPr>
                <w:b/>
                <w:bCs/>
              </w:rPr>
              <w:t xml:space="preserve">OFAC compliance program established</w:t>
            </w:r>
          </w:p>
        </w:tc>
        <w:tc>
          <w:tcPr/>
          <w:p>
            <w:pPr>
              <w:pStyle w:val="Compact"/>
              <w:jc w:val="left"/>
            </w:pPr>
            <w:r>
              <w:t xml:space="preserve">2015</w:t>
            </w:r>
          </w:p>
        </w:tc>
      </w:tr>
    </w:tbl>
    <w:p>
      <w:pPr>
        <w:pStyle w:val="BodyText"/>
      </w:pPr>
      <w:r>
        <w:t xml:space="preserve">Meridian is a U.S. person within the meaning of 31 C.F.R. § 542.311 and is not listed on the SDN List or any other OFAC or U.S. Government restricted-party list. Meridian has no history of OFAC violations, civil monetary penalties, cautionary or warning letters, findings of violation, or voluntary self-disclosures.</w:t>
      </w:r>
    </w:p>
    <w:bookmarkEnd w:id="21"/>
    <w:bookmarkStart w:id="22" w:name="ii.-outside-counsel-and-representatives"/>
    <w:p>
      <w:pPr>
        <w:pStyle w:val="Heading2"/>
      </w:pPr>
      <w:r>
        <w:t xml:space="preserve">II. Outside Counsel and Representatives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Law firm</w:t>
            </w:r>
          </w:p>
        </w:tc>
        <w:tc>
          <w:tcPr/>
          <w:p>
            <w:pPr>
              <w:pStyle w:val="Compact"/>
              <w:jc w:val="left"/>
            </w:pPr>
            <w:r>
              <w:t xml:space="preserve">Ashford &amp; Whitmore LLP</w:t>
            </w:r>
          </w:p>
        </w:tc>
      </w:tr>
      <w:tr>
        <w:tc>
          <w:tcPr/>
          <w:p>
            <w:pPr>
              <w:pStyle w:val="Compact"/>
              <w:jc w:val="left"/>
            </w:pPr>
            <w:r>
              <w:rPr>
                <w:b/>
                <w:bCs/>
              </w:rPr>
              <w:t xml:space="preserve">Address</w:t>
            </w:r>
          </w:p>
        </w:tc>
        <w:tc>
          <w:tcPr/>
          <w:p>
            <w:pPr>
              <w:pStyle w:val="Compact"/>
              <w:jc w:val="left"/>
            </w:pPr>
            <w:r>
              <w:t xml:space="preserve">1700 K Street NW, Suite 950, Washington, DC 20006</w:t>
            </w:r>
          </w:p>
        </w:tc>
      </w:tr>
      <w:tr>
        <w:tc>
          <w:tcPr/>
          <w:p>
            <w:pPr>
              <w:pStyle w:val="Compact"/>
              <w:jc w:val="left"/>
            </w:pPr>
            <w:r>
              <w:rPr>
                <w:b/>
                <w:bCs/>
              </w:rPr>
              <w:t xml:space="preserve">Lead partner</w:t>
            </w:r>
          </w:p>
        </w:tc>
        <w:tc>
          <w:tcPr/>
          <w:p>
            <w:pPr>
              <w:pStyle w:val="Compact"/>
              <w:jc w:val="left"/>
            </w:pPr>
            <w:r>
              <w:t xml:space="preserve">Catherine R. Bellingham, Esq.</w:t>
            </w:r>
          </w:p>
        </w:tc>
      </w:tr>
      <w:tr>
        <w:tc>
          <w:tcPr/>
          <w:p>
            <w:pPr>
              <w:pStyle w:val="Compact"/>
              <w:jc w:val="left"/>
            </w:pPr>
            <w:r>
              <w:rPr>
                <w:b/>
                <w:bCs/>
              </w:rPr>
              <w:t xml:space="preserve">Senior associate</w:t>
            </w:r>
          </w:p>
        </w:tc>
        <w:tc>
          <w:tcPr/>
          <w:p>
            <w:pPr>
              <w:pStyle w:val="Compact"/>
              <w:jc w:val="left"/>
            </w:pPr>
            <w:r>
              <w:t xml:space="preserve">David Osei-Mensah, Esq.</w:t>
            </w:r>
          </w:p>
        </w:tc>
      </w:tr>
      <w:tr>
        <w:tc>
          <w:tcPr/>
          <w:p>
            <w:pPr>
              <w:pStyle w:val="Compact"/>
              <w:jc w:val="left"/>
            </w:pPr>
            <w:r>
              <w:rPr>
                <w:b/>
                <w:bCs/>
              </w:rPr>
              <w:t xml:space="preserve">Engagement</w:t>
            </w:r>
          </w:p>
        </w:tc>
        <w:tc>
          <w:tcPr/>
          <w:p>
            <w:pPr>
              <w:pStyle w:val="Compact"/>
              <w:jc w:val="left"/>
            </w:pPr>
            <w:r>
              <w:t xml:space="preserve">Retained by Meridian pursuant to engagement letter dated May 20, 2024 to prepare and submit this application</w:t>
            </w:r>
          </w:p>
        </w:tc>
      </w:tr>
    </w:tbl>
    <w:p>
      <w:pPr>
        <w:pStyle w:val="BodyText"/>
      </w:pPr>
      <w:r>
        <w:t xml:space="preserve">All communications and correspondence regarding this application should be directed to Catherine R. Bellingham and David Osei-Mensah at Ashford &amp; Whitmore LLP, with copies to Jonathan D. Halsted, General Counsel of Meridian.</w:t>
      </w:r>
    </w:p>
    <w:bookmarkEnd w:id="22"/>
    <w:bookmarkStart w:id="23" w:name="iii.-summary-of-the-request"/>
    <w:p>
      <w:pPr>
        <w:pStyle w:val="Heading2"/>
      </w:pPr>
      <w:r>
        <w:t xml:space="preserve">III. Summary of the Request</w:t>
      </w:r>
    </w:p>
    <w:p>
      <w:pPr>
        <w:pStyle w:val="FirstParagraph"/>
      </w:pPr>
      <w:r>
        <w:t xml:space="preserve">Meridian requests that OFAC issue a specific license authorizing the otherwise-prohibited export, and related transactions, of humanitarian cancer diagnostic products and companion training services from the United States to DCUH, a public teaching hospital in Damascus, Syria, for exclusively clinical diagnostic use. The proposed transaction would be prohibited absent authorization because (i) DCUH is an instrumentality of the Government of Syria, which is comprehensively sanctioned under Executive Order 13582 and the SySR; and (ii) the transaction, as originally structured by the end-user’s purchase order, implicated SDN-listed parties that the Applicant has restructured out of the transaction to the extent feasible and disclosed to OFAC where restructuring is not feasible.</w:t>
      </w:r>
    </w:p>
    <w:p>
      <w:pPr>
        <w:pStyle w:val="BodyText"/>
      </w:pPr>
      <w:r>
        <w:t xml:space="preserve">The Applicant has evaluated the general licenses available under the SySR, including 31 C.F.R. § 542.510 (exportation and reexportation of food, medicine, and medical devices), 31 C.F.R. § 542.521 (certain health-related commodities), and 31 C.F.R. § 542.522 (activities in support of certain humanitarian projects). As detailed in Section V, the Applicant respectfully submits that a specific license is required because the conditions of the available general licenses are not satisfied—most fundamentally because the transaction as presented involves SDN-listed parties (the remitting bank and a shareholder of the customs agent) and because the transaction includes the provision of remote training services involving technical data that warrants specific OFAC authorization. The Applicant therefore requests a specific license that comprehensively authorizes the goods, the services, the end-user, the shipping route, and the restructured payment channel described in this application.</w:t>
      </w:r>
    </w:p>
    <w:bookmarkEnd w:id="23"/>
    <w:bookmarkStart w:id="32" w:name="Xa0aa47d6373675876efd736bca2e9a492b2f298"/>
    <w:p>
      <w:pPr>
        <w:pStyle w:val="Heading2"/>
      </w:pPr>
      <w:r>
        <w:t xml:space="preserve">IV. Description of the Proposed Transaction</w:t>
      </w:r>
    </w:p>
    <w:bookmarkStart w:id="24" w:name="a.-authorized-goods"/>
    <w:p>
      <w:pPr>
        <w:pStyle w:val="Heading3"/>
      </w:pPr>
      <w:r>
        <w:t xml:space="preserve">A. Authorized Goods</w:t>
      </w:r>
    </w:p>
    <w:p>
      <w:pPr>
        <w:pStyle w:val="FirstParagraph"/>
      </w:pPr>
      <w:r>
        <w:t xml:space="preserve">The application seeks authorization to export the following goods, both manufactured by Meridian at its ISO 13485-certified facility in Cambridge, Massachusetts: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w:t>
            </w:r>
          </w:p>
        </w:tc>
        <w:tc>
          <w:tcPr/>
          <w:p>
            <w:pPr>
              <w:pStyle w:val="Compact"/>
              <w:jc w:val="left"/>
            </w:pPr>
            <w:r>
              <w:t xml:space="preserve">Unit Price (USD)</w:t>
            </w:r>
          </w:p>
        </w:tc>
        <w:tc>
          <w:tcPr/>
          <w:p>
            <w:pPr>
              <w:pStyle w:val="Compact"/>
              <w:jc w:val="left"/>
            </w:pPr>
            <w:r>
              <w:t xml:space="preserve">Total (USD)</w:t>
            </w:r>
          </w:p>
        </w:tc>
        <w:tc>
          <w:tcPr/>
          <w:p>
            <w:pPr>
              <w:pStyle w:val="Compact"/>
              <w:jc w:val="left"/>
            </w:pPr>
            <w:r>
              <w:t xml:space="preserve">ECCN</w:t>
            </w:r>
          </w:p>
        </w:tc>
        <w:tc>
          <w:tcPr/>
          <w:p>
            <w:pPr>
              <w:pStyle w:val="Compact"/>
              <w:jc w:val="left"/>
            </w:pPr>
            <w:r>
              <w:t xml:space="preserve">HTS Code</w:t>
            </w:r>
          </w:p>
        </w:tc>
      </w:tr>
      <w:tr>
        <w:tc>
          <w:tcPr/>
          <w:p>
            <w:pPr>
              <w:pStyle w:val="Compact"/>
              <w:jc w:val="left"/>
            </w:pPr>
            <w:r>
              <w:t xml:space="preserve">1</w:t>
            </w:r>
          </w:p>
        </w:tc>
        <w:tc>
          <w:tcPr/>
          <w:p>
            <w:pPr>
              <w:pStyle w:val="Compact"/>
              <w:jc w:val="left"/>
            </w:pPr>
            <w:r>
              <w:t xml:space="preserve">CancerDetect RX-700 Reagent Kit — in vitro diagnostic reagent kit for immunohistochemical (IHC) staining of formalin-fixed, paraffin-embedded tissue biopsies for breast cancer biomarkers (HER2, ER, PR). FDA 510(k) cleared (K213847). Validated for the Ventana BenchMark XT platform installed at DCUH. Cold-chain (2–8 °C); 18-month shelf life; approximately 10 tissue samples per kit.</w:t>
            </w:r>
          </w:p>
        </w:tc>
        <w:tc>
          <w:tcPr/>
          <w:p>
            <w:pPr>
              <w:pStyle w:val="Compact"/>
              <w:jc w:val="left"/>
            </w:pPr>
            <w:r>
              <w:t xml:space="preserve">500 kits</w:t>
            </w:r>
          </w:p>
        </w:tc>
        <w:tc>
          <w:tcPr/>
          <w:p>
            <w:pPr>
              <w:pStyle w:val="Compact"/>
              <w:jc w:val="left"/>
            </w:pPr>
            <w:r>
              <w:t xml:space="preserve">$2,340.00</w:t>
            </w:r>
          </w:p>
        </w:tc>
        <w:tc>
          <w:tcPr/>
          <w:p>
            <w:pPr>
              <w:pStyle w:val="Compact"/>
              <w:jc w:val="left"/>
            </w:pPr>
            <w:r>
              <w:t xml:space="preserve">$1,170,000.00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2</w:t>
            </w:r>
          </w:p>
        </w:tc>
        <w:tc>
          <w:tcPr/>
          <w:p>
            <w:pPr>
              <w:pStyle w:val="Compact"/>
              <w:jc w:val="left"/>
            </w:pPr>
            <w:r>
              <w:t xml:space="preserve">CalibPro 3100 Calibration Unit — benchtop laboratory calibration instrument used to validate CancerDetect RX-700 reagent kit performance prior to clinical use. 220V/50 Hz; 23 kg per unit; 7-inch touchscreen; USB 2.0 data export only (no wireless or network connectivity). Embedded firmware v4.2.1 (factory-installed, not user-modifiable); AES-128 encryption limited to internal data-integrity verification, below EAR de minimis thresholds for encryption items.</w:t>
            </w:r>
          </w:p>
        </w:tc>
        <w:tc>
          <w:tcPr/>
          <w:p>
            <w:pPr>
              <w:pStyle w:val="Compact"/>
              <w:jc w:val="left"/>
            </w:pPr>
            <w:r>
              <w:t xml:space="preserve">4 units</w:t>
            </w:r>
          </w:p>
        </w:tc>
        <w:tc>
          <w:tcPr/>
          <w:p>
            <w:pPr>
              <w:pStyle w:val="Compact"/>
              <w:jc w:val="left"/>
            </w:pPr>
            <w:r>
              <w:t xml:space="preserve">$18,750.00</w:t>
            </w:r>
          </w:p>
        </w:tc>
        <w:tc>
          <w:tcPr/>
          <w:p>
            <w:pPr>
              <w:pStyle w:val="Compact"/>
              <w:jc w:val="left"/>
            </w:pPr>
            <w:r>
              <w:t xml:space="preserve">$75,000.00</w:t>
            </w:r>
          </w:p>
        </w:tc>
        <w:tc>
          <w:tcPr/>
          <w:p>
            <w:pPr>
              <w:pStyle w:val="Compact"/>
              <w:jc w:val="left"/>
            </w:pPr>
            <w:r>
              <w:t xml:space="preserve">EAR99</w:t>
            </w:r>
          </w:p>
        </w:tc>
        <w:tc>
          <w:tcPr/>
          <w:p>
            <w:pPr>
              <w:pStyle w:val="Compact"/>
              <w:jc w:val="left"/>
            </w:pPr>
            <w:r>
              <w:t xml:space="preserve">9027.80.4530</w:t>
            </w:r>
          </w:p>
        </w:tc>
      </w:tr>
    </w:tbl>
    <w:p>
      <w:pPr>
        <w:pStyle w:val="BodyText"/>
      </w:pPr>
      <w:r>
        <w:t xml:space="preserve">Both items are classified EAR99 under the Commerce Control List. Neither item contains controlled technology or components that would warrant a higher classification, and neither has dual-use or military application. The CancerDetect RX-700 is the only FDA-cleared reagent kit validated for the Ventana BenchMark XT tissue processing system already installed at DCUH, meaning there is no functionally equivalent substitute product available to the end-user.</w:t>
      </w:r>
    </w:p>
    <w:bookmarkEnd w:id="24"/>
    <w:bookmarkStart w:id="25" w:name="b.-authorized-services-remote-training"/>
    <w:p>
      <w:pPr>
        <w:pStyle w:val="Heading3"/>
      </w:pPr>
      <w:r>
        <w:t xml:space="preserve">B. Authorized Services (Remote Training)</w:t>
      </w:r>
    </w:p>
    <w:p>
      <w:pPr>
        <w:pStyle w:val="FirstParagraph"/>
      </w:pPr>
      <w:r>
        <w:t xml:space="preserve">The application also seeks authorization for Meridian to provide approximately 40 hours of remote installation, calibration, and operator training, delivered over eight (8) weeks at approximately five hours per week, via secure video conferencing link from Meridian’s Field Applications Science team in Cambridge, Massachusetts. No Meridian personnel will travel to Syria or to any intermediary country. The flat fee for the training is US$35,000.</w:t>
      </w:r>
    </w:p>
    <w:p>
      <w:pPr>
        <w:pStyle w:val="BodyText"/>
      </w:pPr>
      <w:r>
        <w:t xml:space="preserve">The training curriculum comprises six modules: (1) system unpacking and physical setup; (2) instrument schematics review; (3) software diagnostic interface training; (4) reagent kit calibration protocol; (5) clinical workflow integration; and (6) ongoing maintenance and troubleshooting. Training will be delivered in English with Arabic-language summary handouts, to a minimum of two and maximum of six DCUH laboratory personnel holding qualifications in medical laboratory science or clinical pathology. Upon completion, participants receive a Meridian Certified Operator credential valid for two years.</w:t>
      </w:r>
    </w:p>
    <w:p>
      <w:pPr>
        <w:pStyle w:val="BodyText"/>
      </w:pPr>
      <w:r>
        <w:t xml:space="preserve">The training involves the transfer of certain technical data and documentation to DCUH personnel, including proprietary instrument schematics and engineering diagrams, the CalibPro 3100 Software Reference Manual (document MBS-SRM-3100-v4.2, 287 pages), and instruction on firmware diagnostic logs and calibration algorithm parameters. The Applicant addresses the technology-transfer dimensions of the training in Section IX below and requests that the specific license expressly authorize the provision of these training services and the associated technical data as part of the authorized humanitarian medical device transaction. No firmware updates, patches, or over-the-air technical support are included in or authorized by this application; the CalibPro 3100 units will be exported with factory-installed firmware version 4.2.1 only.</w:t>
      </w:r>
    </w:p>
    <w:bookmarkEnd w:id="25"/>
    <w:bookmarkStart w:id="26" w:name="c.-aggregate-transaction-value"/>
    <w:p>
      <w:pPr>
        <w:pStyle w:val="Heading3"/>
      </w:pPr>
      <w:r>
        <w:t xml:space="preserve">C. Aggregate Transaction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 (USD)</w:t>
            </w:r>
          </w:p>
        </w:tc>
      </w:tr>
      <w:tr>
        <w:tc>
          <w:tcPr/>
          <w:p>
            <w:pPr>
              <w:pStyle w:val="Compact"/>
              <w:jc w:val="left"/>
            </w:pPr>
            <w:r>
              <w:t xml:space="preserve">500 CancerDetect RX-700 Reagent Kits</w:t>
            </w:r>
          </w:p>
        </w:tc>
        <w:tc>
          <w:tcPr/>
          <w:p>
            <w:pPr>
              <w:pStyle w:val="Compact"/>
              <w:jc w:val="left"/>
            </w:pPr>
            <w:r>
              <w:t xml:space="preserve">$1,170,000.00</w:t>
            </w:r>
          </w:p>
        </w:tc>
      </w:tr>
      <w:tr>
        <w:tc>
          <w:tcPr/>
          <w:p>
            <w:pPr>
              <w:pStyle w:val="Compact"/>
              <w:jc w:val="left"/>
            </w:pPr>
            <w:r>
              <w:t xml:space="preserve">4 CalibPro 3100 Calibration Units</w:t>
            </w:r>
          </w:p>
        </w:tc>
        <w:tc>
          <w:tcPr/>
          <w:p>
            <w:pPr>
              <w:pStyle w:val="Compact"/>
              <w:jc w:val="left"/>
            </w:pPr>
            <w:r>
              <w:t xml:space="preserve">$75,000.00</w:t>
            </w:r>
          </w:p>
        </w:tc>
      </w:tr>
      <w:tr>
        <w:tc>
          <w:tcPr/>
          <w:p>
            <w:pPr>
              <w:pStyle w:val="Compact"/>
              <w:jc w:val="left"/>
            </w:pPr>
            <w:r>
              <w:t xml:space="preserve">Remote installation and calibration training (40 hours)</w:t>
            </w:r>
          </w:p>
        </w:tc>
        <w:tc>
          <w:tcPr/>
          <w:p>
            <w:pPr>
              <w:pStyle w:val="Compact"/>
              <w:jc w:val="left"/>
            </w:pPr>
            <w:r>
              <w:t xml:space="preserve">$35,000.00</w:t>
            </w:r>
          </w:p>
        </w:tc>
      </w:tr>
      <w:tr>
        <w:tc>
          <w:tcPr/>
          <w:p>
            <w:pPr>
              <w:pStyle w:val="Compact"/>
              <w:jc w:val="left"/>
            </w:pPr>
            <w:r>
              <w:rPr>
                <w:b/>
                <w:bCs/>
              </w:rPr>
              <w:t xml:space="preserve">Aggregate transaction value</w:t>
            </w:r>
          </w:p>
        </w:tc>
        <w:tc>
          <w:tcPr/>
          <w:p>
            <w:pPr>
              <w:pStyle w:val="Compact"/>
              <w:jc w:val="left"/>
            </w:pPr>
            <w:r>
              <w:rPr>
                <w:b/>
                <w:bCs/>
              </w:rPr>
              <w:t xml:space="preserve">$1,280,000.00</w:t>
            </w:r>
          </w:p>
        </w:tc>
      </w:tr>
    </w:tbl>
    <w:bookmarkEnd w:id="26"/>
    <w:bookmarkStart w:id="27" w:name="d.-end-user"/>
    <w:p>
      <w:pPr>
        <w:pStyle w:val="Heading3"/>
      </w:pPr>
      <w:r>
        <w:t xml:space="preserve">D. End-User</w:t>
      </w:r>
    </w:p>
    <w:p>
      <w:pPr>
        <w:pStyle w:val="FirstParagraph"/>
      </w:pPr>
      <w:r>
        <w:t xml:space="preserve">The end-user is Damascus Central University Hospital (</w:t>
      </w:r>
      <w:r>
        <w:t xml:space="preserve">“</w:t>
      </w:r>
      <w:r>
        <w:t xml:space="preserve">DCUH</w:t>
      </w:r>
      <w:r>
        <w:t xml:space="preserve">”</w:t>
      </w:r>
      <w:r>
        <w:t xml:space="preserve">), Al-Mazzeh Highway, Building 7, Damascus, Syrian Arab Republic, Attention: Dr. Faisal Kareem Al-Masri, Hospital Director. DCUH is a public teaching hospital affiliated with the University of Damascus, Faculty of Medicine, and operates under the administrative authority and budgetary oversight of the Syrian Ministry of Health. DCUH operates a 140-bed oncology ward and is the largest remaining oncology referral center in Syria, processing approximately 3,800 tissue biopsies per year. DCUH is not independently listed on the SDN List or any other restricted-party list. As a public hospital, DCUH is an instrumentality of the Government of Syria; the Applicant accordingly requests specific authorization to transact with DCUH for the humanitarian purposes described herein, consistent with OFAC’s prior authorization of the Applicant’s export to another Syrian public Ministry of Health hospital (see Section X).</w:t>
      </w:r>
    </w:p>
    <w:bookmarkEnd w:id="27"/>
    <w:bookmarkStart w:id="28" w:name="e.-end-use"/>
    <w:p>
      <w:pPr>
        <w:pStyle w:val="Heading3"/>
      </w:pPr>
      <w:r>
        <w:t xml:space="preserve">E. End-Use</w:t>
      </w:r>
    </w:p>
    <w:p>
      <w:pPr>
        <w:pStyle w:val="FirstParagraph"/>
      </w:pPr>
      <w:r>
        <w:t xml:space="preserve">The goods and services are intended exclusively for clinical diagnostic use within the Oncology Department of DCUH. The CancerDetect RX-700 Reagent Kits will be used for immunohistochemical staining of tissue biopsy samples to identify breast cancer biomarkers (HER2, ER, and PR) in patients referred to DCUH for oncological diagnosis. The CalibPro 3100 Calibration Units are required to validate and calibrate the reagent kits for use with the Ventana BenchMark XT equipment installed at the DCUH Oncology Laboratory. The training services will enable DCUH laboratory personnel to install, calibrate, and operate the equipment in accordance with manufacturer specifications.</w:t>
      </w:r>
    </w:p>
    <w:p>
      <w:pPr>
        <w:pStyle w:val="BodyText"/>
      </w:pPr>
      <w:r>
        <w:t xml:space="preserve">The requested quantity of 500 reagent kits is anticipated to meet DCUH’s diagnostic needs for approximately 15 months, based on the hospital’s annual biopsy volume. DCUH has confirmed in its purchase order that the goods will not be re-exported, diverted, or transferred to any third party without the prior written consent of the Applicant and in compliance with all applicable laws, and that the goods shall remain at all times within the custody and control of DCUH and be used solely for the clinical diagnostic purposes described above. The Applicant’s anti-diversion and end-use monitoring commitments are described in Section XII.</w:t>
      </w:r>
    </w:p>
    <w:bookmarkEnd w:id="28"/>
    <w:bookmarkStart w:id="29" w:name="f.-parties-to-the-transaction"/>
    <w:p>
      <w:pPr>
        <w:pStyle w:val="Heading3"/>
      </w:pPr>
      <w:r>
        <w:t xml:space="preserve">F. Parties to the Transaction</w:t>
      </w:r>
    </w:p>
    <w:p>
      <w:pPr>
        <w:pStyle w:val="FirstParagraph"/>
      </w:pPr>
      <w:r>
        <w:t xml:space="preserve">The Applicant has screened all parties to the transaction against the OFAC SDN List, the OFAC Consolidated Sanctions List (including the Non-SDN Menu-Based Sanctions List and the SSI List), the BIS Entity List, the BIS Denied Persons List, the BIS Unverified List, and the UN Consolidated Sanctions List, using an enhanced real-time beneficial ownership screening platform. Screening was completed on June 3, 2024. The results are summarized below and detailed in Section VII and Exhibit 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Location</w:t>
            </w:r>
          </w:p>
        </w:tc>
        <w:tc>
          <w:tcPr/>
          <w:p>
            <w:pPr>
              <w:pStyle w:val="Compact"/>
              <w:jc w:val="left"/>
            </w:pPr>
            <w:r>
              <w:t xml:space="preserve">Screening Result</w:t>
            </w:r>
          </w:p>
        </w:tc>
      </w:tr>
      <w:tr>
        <w:tc>
          <w:tcPr/>
          <w:p>
            <w:pPr>
              <w:pStyle w:val="Compact"/>
              <w:jc w:val="left"/>
            </w:pPr>
            <w:r>
              <w:t xml:space="preserve">Meridian Biotech Solutions, Inc.</w:t>
            </w:r>
          </w:p>
        </w:tc>
        <w:tc>
          <w:tcPr/>
          <w:p>
            <w:pPr>
              <w:pStyle w:val="Compact"/>
              <w:jc w:val="left"/>
            </w:pPr>
            <w:r>
              <w:t xml:space="preserve">Applicant / exporter / manufacturer</w:t>
            </w:r>
          </w:p>
        </w:tc>
        <w:tc>
          <w:tcPr/>
          <w:p>
            <w:pPr>
              <w:pStyle w:val="Compact"/>
              <w:jc w:val="left"/>
            </w:pPr>
            <w:r>
              <w:t xml:space="preserve">Cambridge, MA, USA</w:t>
            </w:r>
          </w:p>
        </w:tc>
        <w:tc>
          <w:tcPr/>
          <w:p>
            <w:pPr>
              <w:pStyle w:val="Compact"/>
              <w:jc w:val="left"/>
            </w:pPr>
            <w:r>
              <w:t xml:space="preserve">No match</w:t>
            </w:r>
          </w:p>
        </w:tc>
      </w:tr>
      <w:tr>
        <w:tc>
          <w:tcPr/>
          <w:p>
            <w:pPr>
              <w:pStyle w:val="Compact"/>
              <w:jc w:val="left"/>
            </w:pPr>
            <w:r>
              <w:t xml:space="preserve">Damascus Central University Hospital (DCUH)</w:t>
            </w:r>
          </w:p>
        </w:tc>
        <w:tc>
          <w:tcPr/>
          <w:p>
            <w:pPr>
              <w:pStyle w:val="Compact"/>
              <w:jc w:val="left"/>
            </w:pPr>
            <w:r>
              <w:t xml:space="preserve">End-user</w:t>
            </w:r>
          </w:p>
        </w:tc>
        <w:tc>
          <w:tcPr/>
          <w:p>
            <w:pPr>
              <w:pStyle w:val="Compact"/>
              <w:jc w:val="left"/>
            </w:pPr>
            <w:r>
              <w:t xml:space="preserve">Damascus, Syria</w:t>
            </w:r>
          </w:p>
        </w:tc>
        <w:tc>
          <w:tcPr/>
          <w:p>
            <w:pPr>
              <w:pStyle w:val="Compact"/>
              <w:jc w:val="left"/>
            </w:pPr>
            <w:r>
              <w:t xml:space="preserve">No independent listing (instrumentality of GoS)</w:t>
            </w:r>
          </w:p>
        </w:tc>
      </w:tr>
      <w:tr>
        <w:tc>
          <w:tcPr/>
          <w:p>
            <w:pPr>
              <w:pStyle w:val="Compact"/>
              <w:jc w:val="left"/>
            </w:pPr>
            <w:r>
              <w:t xml:space="preserve">Pinnacle Freight International, Inc.</w:t>
            </w:r>
          </w:p>
        </w:tc>
        <w:tc>
          <w:tcPr/>
          <w:p>
            <w:pPr>
              <w:pStyle w:val="Compact"/>
              <w:jc w:val="left"/>
            </w:pPr>
            <w:r>
              <w:t xml:space="preserve">U.S. freight forwarder</w:t>
            </w:r>
          </w:p>
        </w:tc>
        <w:tc>
          <w:tcPr/>
          <w:p>
            <w:pPr>
              <w:pStyle w:val="Compact"/>
              <w:jc w:val="left"/>
            </w:pPr>
            <w:r>
              <w:t xml:space="preserve">Newark, NJ, USA</w:t>
            </w:r>
          </w:p>
        </w:tc>
        <w:tc>
          <w:tcPr/>
          <w:p>
            <w:pPr>
              <w:pStyle w:val="Compact"/>
              <w:jc w:val="left"/>
            </w:pPr>
            <w:r>
              <w:t xml:space="preserve">No match</w:t>
            </w:r>
          </w:p>
        </w:tc>
      </w:tr>
      <w:tr>
        <w:tc>
          <w:tcPr/>
          <w:p>
            <w:pPr>
              <w:pStyle w:val="Compact"/>
              <w:jc w:val="left"/>
            </w:pPr>
            <w:r>
              <w:t xml:space="preserve">Ankara Medical Transit Warehouse LLC (AMTW)</w:t>
            </w:r>
          </w:p>
        </w:tc>
        <w:tc>
          <w:tcPr/>
          <w:p>
            <w:pPr>
              <w:pStyle w:val="Compact"/>
              <w:jc w:val="left"/>
            </w:pPr>
            <w:r>
              <w:t xml:space="preserve">Turkish transit warehouse / re-export logistics</w:t>
            </w:r>
          </w:p>
        </w:tc>
        <w:tc>
          <w:tcPr/>
          <w:p>
            <w:pPr>
              <w:pStyle w:val="Compact"/>
              <w:jc w:val="left"/>
            </w:pPr>
            <w:r>
              <w:t xml:space="preserve">Ankara, Turkey</w:t>
            </w:r>
          </w:p>
        </w:tc>
        <w:tc>
          <w:tcPr/>
          <w:p>
            <w:pPr>
              <w:pStyle w:val="Compact"/>
              <w:jc w:val="left"/>
            </w:pPr>
            <w:r>
              <w:t xml:space="preserve">No match</w:t>
            </w:r>
          </w:p>
        </w:tc>
      </w:tr>
      <w:tr>
        <w:tc>
          <w:tcPr/>
          <w:p>
            <w:pPr>
              <w:pStyle w:val="Compact"/>
              <w:jc w:val="left"/>
            </w:pPr>
            <w:r>
              <w:t xml:space="preserve">Al-Rashid Medical Procurement Company (ARMPC)</w:t>
            </w:r>
          </w:p>
        </w:tc>
        <w:tc>
          <w:tcPr/>
          <w:p>
            <w:pPr>
              <w:pStyle w:val="Compact"/>
              <w:jc w:val="left"/>
            </w:pPr>
            <w:r>
              <w:t xml:space="preserve">Syrian customs clearance / import logistics agent</w:t>
            </w:r>
          </w:p>
        </w:tc>
        <w:tc>
          <w:tcPr/>
          <w:p>
            <w:pPr>
              <w:pStyle w:val="Compact"/>
              <w:jc w:val="left"/>
            </w:pPr>
            <w:r>
              <w:t xml:space="preserve">Damascus, Syria</w:t>
            </w:r>
          </w:p>
        </w:tc>
        <w:tc>
          <w:tcPr/>
          <w:p>
            <w:pPr>
              <w:pStyle w:val="Compact"/>
              <w:jc w:val="left"/>
            </w:pPr>
            <w:r>
              <w:t xml:space="preserve">No entity match; 30% shareholder is SDN-listed (see Section VIII.A)</w:t>
            </w:r>
          </w:p>
        </w:tc>
      </w:tr>
      <w:tr>
        <w:tc>
          <w:tcPr/>
          <w:p>
            <w:pPr>
              <w:pStyle w:val="Compact"/>
              <w:jc w:val="left"/>
            </w:pPr>
            <w:r>
              <w:t xml:space="preserve">Harborview National Bank</w:t>
            </w:r>
          </w:p>
        </w:tc>
        <w:tc>
          <w:tcPr/>
          <w:p>
            <w:pPr>
              <w:pStyle w:val="Compact"/>
              <w:jc w:val="left"/>
            </w:pPr>
            <w:r>
              <w:t xml:space="preserve">Applicant’s U.S. receiving bank</w:t>
            </w:r>
          </w:p>
        </w:tc>
        <w:tc>
          <w:tcPr/>
          <w:p>
            <w:pPr>
              <w:pStyle w:val="Compact"/>
              <w:jc w:val="left"/>
            </w:pPr>
            <w:r>
              <w:t xml:space="preserve">Boston, MA, USA</w:t>
            </w:r>
          </w:p>
        </w:tc>
        <w:tc>
          <w:tcPr/>
          <w:p>
            <w:pPr>
              <w:pStyle w:val="Compact"/>
              <w:jc w:val="left"/>
            </w:pPr>
            <w:r>
              <w:t xml:space="preserve">No match</w:t>
            </w:r>
          </w:p>
        </w:tc>
      </w:tr>
      <w:tr>
        <w:tc>
          <w:tcPr/>
          <w:p>
            <w:pPr>
              <w:pStyle w:val="Compact"/>
              <w:jc w:val="left"/>
            </w:pPr>
            <w:r>
              <w:t xml:space="preserve">Central Bank of Calverley (CBS)</w:t>
            </w:r>
          </w:p>
        </w:tc>
        <w:tc>
          <w:tcPr/>
          <w:p>
            <w:pPr>
              <w:pStyle w:val="Compact"/>
              <w:jc w:val="left"/>
            </w:pPr>
            <w:r>
              <w:t xml:space="preserve">Remitting bank designated in purchase order</w:t>
            </w:r>
          </w:p>
        </w:tc>
        <w:tc>
          <w:tcPr/>
          <w:p>
            <w:pPr>
              <w:pStyle w:val="Compact"/>
              <w:jc w:val="left"/>
            </w:pPr>
            <w:r>
              <w:t xml:space="preserve">Damascus, Syria</w:t>
            </w:r>
          </w:p>
        </w:tc>
        <w:tc>
          <w:tcPr/>
          <w:p>
            <w:pPr>
              <w:pStyle w:val="Compact"/>
              <w:jc w:val="left"/>
            </w:pPr>
            <w:r>
              <w:rPr>
                <w:b/>
                <w:bCs/>
              </w:rPr>
              <w:t xml:space="preserve">SDN-listed</w:t>
            </w:r>
            <w:r>
              <w:t xml:space="preserve"> </w:t>
            </w:r>
            <w:r>
              <w:t xml:space="preserve">(see Section VIII.B)</w:t>
            </w:r>
          </w:p>
        </w:tc>
      </w:tr>
    </w:tbl>
    <w:bookmarkEnd w:id="29"/>
    <w:bookmarkStart w:id="30" w:name="g.-shipping-route-and-logistics"/>
    <w:p>
      <w:pPr>
        <w:pStyle w:val="Heading3"/>
      </w:pPr>
      <w:r>
        <w:t xml:space="preserve">G. Shipping Route and Logistics</w:t>
      </w:r>
    </w:p>
    <w:p>
      <w:pPr>
        <w:pStyle w:val="FirstParagraph"/>
      </w:pPr>
      <w:r>
        <w:t xml:space="preserve">Goods will be manufactured and shipped from Meridian’s facility in Cambridge, Massachusetts, via the following route, coordinated by Pinnacle Freight International, Inc.:</w:t>
      </w:r>
    </w:p>
    <w:p>
      <w:pPr>
        <w:pStyle w:val="Compact"/>
        <w:numPr>
          <w:ilvl w:val="0"/>
          <w:numId w:val="1001"/>
        </w:numPr>
      </w:pPr>
      <w:r>
        <w:rPr>
          <w:b/>
          <w:bCs/>
        </w:rPr>
        <w:t xml:space="preserve">Cambridge, MA → Port Newark, NJ</w:t>
      </w:r>
      <w:r>
        <w:t xml:space="preserve"> </w:t>
      </w:r>
      <w:r>
        <w:t xml:space="preserve">— domestic refrigerated truck transport (1–2 days).</w:t>
      </w:r>
    </w:p>
    <w:p>
      <w:pPr>
        <w:pStyle w:val="Compact"/>
        <w:numPr>
          <w:ilvl w:val="0"/>
          <w:numId w:val="1001"/>
        </w:numPr>
      </w:pPr>
      <w:r>
        <w:rPr>
          <w:b/>
          <w:bCs/>
        </w:rPr>
        <w:t xml:space="preserve">Port Newark, NJ → Mersin Port, Turkey</w:t>
      </w:r>
      <w:r>
        <w:t xml:space="preserve"> </w:t>
      </w:r>
      <w:r>
        <w:t xml:space="preserve">— ocean freight; reagent kits in a refrigerated (</w:t>
      </w:r>
      <w:r>
        <w:t xml:space="preserve">“</w:t>
      </w:r>
      <w:r>
        <w:t xml:space="preserve">reefer</w:t>
      </w:r>
      <w:r>
        <w:t xml:space="preserve">”</w:t>
      </w:r>
      <w:r>
        <w:t xml:space="preserve">) container set to 4 °C ± 2 °C; calibration units in standard container space (18–22 days).</w:t>
      </w:r>
    </w:p>
    <w:p>
      <w:pPr>
        <w:pStyle w:val="Compact"/>
        <w:numPr>
          <w:ilvl w:val="0"/>
          <w:numId w:val="1001"/>
        </w:numPr>
      </w:pPr>
      <w:r>
        <w:rPr>
          <w:b/>
          <w:bCs/>
        </w:rPr>
        <w:t xml:space="preserve">Mersin Port → Ankara, Turkey</w:t>
      </w:r>
      <w:r>
        <w:t xml:space="preserve"> </w:t>
      </w:r>
      <w:r>
        <w:t xml:space="preserve">— overland refrigerated transport to AMTW for temporary warehousing, inspection, and consolidation (7–12 days, including warehousing).</w:t>
      </w:r>
    </w:p>
    <w:p>
      <w:pPr>
        <w:pStyle w:val="Compact"/>
        <w:numPr>
          <w:ilvl w:val="0"/>
          <w:numId w:val="1001"/>
        </w:numPr>
      </w:pPr>
      <w:r>
        <w:rPr>
          <w:b/>
          <w:bCs/>
        </w:rPr>
        <w:t xml:space="preserve">Ankara → Bab al-Hawa border crossing</w:t>
      </w:r>
      <w:r>
        <w:t xml:space="preserve"> </w:t>
      </w:r>
      <w:r>
        <w:t xml:space="preserve">— overland refrigerated re-export from Turkey (2–3 days).</w:t>
      </w:r>
    </w:p>
    <w:p>
      <w:pPr>
        <w:pStyle w:val="Compact"/>
        <w:numPr>
          <w:ilvl w:val="0"/>
          <w:numId w:val="1001"/>
        </w:numPr>
      </w:pPr>
      <w:r>
        <w:rPr>
          <w:b/>
          <w:bCs/>
        </w:rPr>
        <w:t xml:space="preserve">Bab al-Hawa → Damascus, Syria</w:t>
      </w:r>
      <w:r>
        <w:t xml:space="preserve"> </w:t>
      </w:r>
      <w:r>
        <w:t xml:space="preserve">— overland transport and Syrian customs clearance, with final delivery to DCUH (2–3 days).</w:t>
      </w:r>
    </w:p>
    <w:p>
      <w:pPr>
        <w:pStyle w:val="FirstParagraph"/>
      </w:pPr>
      <w:r>
        <w:t xml:space="preserve">Estimated total transit time is six to eight (6–8) weeks. Delivery terms are DAP Damascus (Incoterms 2020). The CancerDetect RX-700 Reagent Kits require an uninterrupted 2–8 °C cold chain throughout transit; each shipping container will be equipped with a calibrated digital temperature data logger recording at 15-minute intervals, and all temperature logs will be compiled and retained. The CalibPro 3100 units require no cold-chain handling. The Applicant will provide OFAC with shipping documentation, including bills of lading, commercial invoices, packing lists, and certificates of origin, in accordance with the reporting conditions discussed in Section XIV.</w:t>
      </w:r>
    </w:p>
    <w:bookmarkEnd w:id="30"/>
    <w:bookmarkStart w:id="31" w:name="h.-payment-arrangements-restructured"/>
    <w:p>
      <w:pPr>
        <w:pStyle w:val="Heading3"/>
      </w:pPr>
      <w:r>
        <w:t xml:space="preserve">H. Payment Arrangements (Restructured)</w:t>
      </w:r>
    </w:p>
    <w:p>
      <w:pPr>
        <w:pStyle w:val="FirstParagraph"/>
      </w:pPr>
      <w:r>
        <w:t xml:space="preserve">The end-user’s purchase order (PO-DCUH-2024-0743, dated June 17, 2024) specifies 100% advance payment by international wire transfer, with the remitting bank identified as the Central Bank of Calverley (CBS). CBS is on the SDN List (added August 10, 2011, pursuant to E.O. 13582). Payment routed through CBS would constitute a prohibited transaction with a blocked person and is not authorized by this application.</w:t>
      </w:r>
    </w:p>
    <w:p>
      <w:pPr>
        <w:pStyle w:val="BodyText"/>
      </w:pPr>
      <w:r>
        <w:t xml:space="preserve">The Applicant has accordingly restructured the payment channel and requests OFAC authorization for the following payment arrangement in lieu of the purchase order’s original terms:</w:t>
      </w:r>
    </w:p>
    <w:p>
      <w:pPr>
        <w:pStyle w:val="Compact"/>
        <w:numPr>
          <w:ilvl w:val="0"/>
          <w:numId w:val="1002"/>
        </w:numPr>
      </w:pPr>
      <w:r>
        <w:rPr>
          <w:b/>
          <w:bCs/>
        </w:rPr>
        <w:t xml:space="preserve">Remitting bank (proposed):</w:t>
      </w:r>
      <w:r>
        <w:t xml:space="preserve"> </w:t>
      </w:r>
      <w:r>
        <w:t xml:space="preserve">A non-SDN-listed Syrian commercial bank, to be identified by DCUH and screened by the Applicant against all applicable OFAC and U.S. Government restricted-party lists prior to any payment, with the screening results provided to OFAC upon request. This approach is consistent with the payment authorization granted under the Applicant’s prior specific license (SYR-2021-384712), which authorized payment via a non-SDN-listed Syrian commercial bank and expressly prohibited routing through CBS.</w:t>
      </w:r>
    </w:p>
    <w:p>
      <w:pPr>
        <w:pStyle w:val="Compact"/>
        <w:numPr>
          <w:ilvl w:val="0"/>
          <w:numId w:val="1002"/>
        </w:numPr>
      </w:pPr>
      <w:r>
        <w:rPr>
          <w:b/>
          <w:bCs/>
        </w:rPr>
        <w:t xml:space="preserve">Receiving bank:</w:t>
      </w:r>
      <w:r>
        <w:t xml:space="preserve"> </w:t>
      </w:r>
      <w:r>
        <w:t xml:space="preserve">Harborview National Bank, Boston, Massachusetts (Applicant’s account no. 7821-4490-3361), which has been screened and returned no match.</w:t>
      </w:r>
    </w:p>
    <w:p>
      <w:pPr>
        <w:pStyle w:val="Compact"/>
        <w:numPr>
          <w:ilvl w:val="0"/>
          <w:numId w:val="1002"/>
        </w:numPr>
      </w:pPr>
      <w:r>
        <w:rPr>
          <w:b/>
          <w:bCs/>
        </w:rPr>
        <w:t xml:space="preserve">Amount and timing:</w:t>
      </w:r>
      <w:r>
        <w:t xml:space="preserve"> </w:t>
      </w:r>
      <w:r>
        <w:t xml:space="preserve">US$1,280,000, remitted in U.S. dollars by international wire transfer no later than 15 business days prior to the scheduled shipment date, consistent with the purchase order’s payment timing.</w:t>
      </w:r>
    </w:p>
    <w:p>
      <w:pPr>
        <w:pStyle w:val="FirstParagraph"/>
      </w:pPr>
      <w:r>
        <w:t xml:space="preserve">In the alternative, should DCUH be unable to effect payment through a non-SDN-listed Syrian commercial bank, the Applicant requests authorization for payment to be remitted through a non-SDN-listed third-country financial institution to be identified and screened in advance, with the institution’s identity and screening results provided to OFAC prior to receipt of any funds. Under no circumstances will the Applicant accept or process any payment routed, directly or indirectly, through CBS or any other SDN-listed or blocked financial institution. The Applicant requests that the license condition the authorization on the use of a screened, non-SDN remitting channel and require the Applicant to provide OFAC with the identity and screening results of the selected remitting institution prior to receipt of funds.</w:t>
      </w:r>
    </w:p>
    <w:bookmarkEnd w:id="31"/>
    <w:bookmarkEnd w:id="32"/>
    <w:bookmarkStart w:id="36" w:name="X22fe7281be29a4db4ad32f489722502b0a844b9"/>
    <w:p>
      <w:pPr>
        <w:pStyle w:val="Heading2"/>
      </w:pPr>
      <w:r>
        <w:t xml:space="preserve">V. Regulatory Framework and Need for a Specific License</w:t>
      </w:r>
    </w:p>
    <w:bookmarkStart w:id="33" w:name="a.-applicable-sanctions-authority"/>
    <w:p>
      <w:pPr>
        <w:pStyle w:val="Heading3"/>
      </w:pPr>
      <w:r>
        <w:t xml:space="preserve">A. Applicable Sanctions Authority</w:t>
      </w:r>
    </w:p>
    <w:p>
      <w:pPr>
        <w:pStyle w:val="FirstParagraph"/>
      </w:pPr>
      <w:r>
        <w:t xml:space="preserve">The Government of Syria is comprehensively sanctioned under Executive Order 13582 of August 17, 2011 (</w:t>
      </w:r>
      <w:r>
        <w:t xml:space="preserve">“</w:t>
      </w:r>
      <w:r>
        <w:t xml:space="preserve">Blocking Property of the Government of Syria and Prohibiting Certain Transactions With Respect to Syria</w:t>
      </w:r>
      <w:r>
        <w:t xml:space="preserve">”</w:t>
      </w:r>
      <w:r>
        <w:t xml:space="preserve">) and the Syrian Sanctions Regulations, 31 C.F.R. Part 542. Section 1 of E.O. 13582 blocks the property and interests in property of the Government of Syria and prohibits U.S. persons from engaging in transactions with the Government of Syria. 31 C.F.R. § 542.201 blocks the property and interests in property of the Government of Syria and persons determined to be owned or controlled by, or acting for or on behalf of, the Government of Syria. 31 C.F.R. § 542.206 prohibits the exportation, reexportation, sale, or supply of goods, services, or technology to Syria from the United States or by a U.S. person.</w:t>
      </w:r>
    </w:p>
    <w:p>
      <w:pPr>
        <w:pStyle w:val="BodyText"/>
      </w:pPr>
      <w:r>
        <w:t xml:space="preserve">Because DCUH is a public hospital operating under the Syrian Ministry of Health, it is an instrumentality of the Government of Syria, and the proposed export of goods, services, and technology to DCUH is prohibited absent OFAC authorization. In addition, the transaction as originally structured by the end-user implicated SDN-listed parties (CBS and a shareholder of ARMPC), the involvement of which is prohibited under 31 C.F.R. § 542.201 and OFAC’s 50 Percent Rule.</w:t>
      </w:r>
    </w:p>
    <w:bookmarkEnd w:id="33"/>
    <w:bookmarkStart w:id="34" w:name="Xb1940f8c5324681743bf4a5fb4fe32ee26863fc"/>
    <w:p>
      <w:pPr>
        <w:pStyle w:val="Heading3"/>
      </w:pPr>
      <w:r>
        <w:t xml:space="preserve">B. Why the Available General Licenses Are Insufficient</w:t>
      </w:r>
    </w:p>
    <w:p>
      <w:pPr>
        <w:pStyle w:val="FirstParagraph"/>
      </w:pPr>
      <w:r>
        <w:t xml:space="preserve">The Applicant has carefully evaluated the general licenses available under the SySR and respectfully submits that none is available to authorize the transaction as presented, for the following reasons:</w:t>
      </w:r>
    </w:p>
    <w:p>
      <w:pPr>
        <w:numPr>
          <w:ilvl w:val="0"/>
          <w:numId w:val="1003"/>
        </w:numPr>
      </w:pPr>
      <w:r>
        <w:rPr>
          <w:b/>
          <w:bCs/>
        </w:rPr>
        <w:t xml:space="preserve">31 C.F.R. § 542.510 (food, medicine, and medical devices).</w:t>
      </w:r>
      <w:r>
        <w:t xml:space="preserve"> </w:t>
      </w:r>
      <w:r>
        <w:t xml:space="preserve">This general license authorizes the exportation and reexportation of food, medicine, and medical devices to Syria, including, as amended, to the Government of Syria, subject to specified conditions. Those conditions include, among others, that the items be eligible for export or reexport under the Export Administration Regulations (i.e., not require a separate license from the U.S. Department of Commerce, Bureau of Industry and Security (</w:t>
      </w:r>
      <w:r>
        <w:t xml:space="preserve">“</w:t>
      </w:r>
      <w:r>
        <w:t xml:space="preserve">BIS</w:t>
      </w:r>
      <w:r>
        <w:t xml:space="preserve">”</w:t>
      </w:r>
      <w:r>
        <w:t xml:space="preserve">)), and that the transaction not involve persons whose property and interests in property are blocked under the SySR (other than the Government of Syria itself, as contemplated by the general license). The transaction as presented does not satisfy these conditions: (i) the end-user’s purchase order designated an SDN-listed remitting bank (CBS), and the customs clearance agent has an SDN-listed 30% shareholder, implicating blocked persons; and (ii) the transaction includes the provision of remote training services involving the transfer of technical data that is not squarely within the scope of a</w:t>
      </w:r>
      <w:r>
        <w:t xml:space="preserve"> </w:t>
      </w:r>
      <w:r>
        <w:t xml:space="preserve">“</w:t>
      </w:r>
      <w:r>
        <w:t xml:space="preserve">medical device</w:t>
      </w:r>
      <w:r>
        <w:t xml:space="preserve">”</w:t>
      </w:r>
      <w:r>
        <w:t xml:space="preserve"> </w:t>
      </w:r>
      <w:r>
        <w:t xml:space="preserve">export and that warrants specific authorization. The Applicant therefore cannot rely on § 542.510.</w:t>
      </w:r>
    </w:p>
    <w:p>
      <w:pPr>
        <w:numPr>
          <w:ilvl w:val="0"/>
          <w:numId w:val="1003"/>
        </w:numPr>
      </w:pPr>
      <w:r>
        <w:rPr>
          <w:b/>
          <w:bCs/>
        </w:rPr>
        <w:t xml:space="preserve">31 C.F.R. § 542.521 (certain health-related commodities) and § 542.522 (humanitarian projects).</w:t>
      </w:r>
      <w:r>
        <w:t xml:space="preserve"> </w:t>
      </w:r>
      <w:r>
        <w:t xml:space="preserve">These general licenses authorize certain health-related transactions and activities in support of qualifying humanitarian projects, respectively, but are likewise conditioned on the non-involvement of blocked persons and on compliance with the EAR, and do not, in the Applicant’s view, comfortably encompass the full scope of the proposed transaction—including the restructured payment channel, the customs clearance arrangement, and the technology-transfer components of the training—such that the Applicant could proceed with confidence under a general license alone.</w:t>
      </w:r>
    </w:p>
    <w:p>
      <w:pPr>
        <w:numPr>
          <w:ilvl w:val="0"/>
          <w:numId w:val="1003"/>
        </w:numPr>
      </w:pPr>
      <w:r>
        <w:rPr>
          <w:b/>
          <w:bCs/>
        </w:rPr>
        <w:t xml:space="preserve">Information and informational materials / personal communications general licenses.</w:t>
      </w:r>
      <w:r>
        <w:t xml:space="preserve"> </w:t>
      </w:r>
      <w:r>
        <w:t xml:space="preserve">The remote training involves the interactive provision of services and technical data, not merely the export of informational materials or personal communications, and therefore is not authorized by the general licenses at 31 C.F.R. §§ 542.512–542.513.</w:t>
      </w:r>
    </w:p>
    <w:p>
      <w:pPr>
        <w:pStyle w:val="FirstParagraph"/>
      </w:pPr>
      <w:r>
        <w:t xml:space="preserve">For these reasons, the Applicant respectfully submits that a specific license is the appropriate and necessary authorization pathway. The Applicant requests a specific license that comprehensively authorizes the export of the goods, the provision of the training services and associated technical data, the end-user relationship with DCUH, the shipping route, and the restructured non-SDN payment channel.</w:t>
      </w:r>
    </w:p>
    <w:bookmarkEnd w:id="34"/>
    <w:bookmarkStart w:id="35" w:name="c.-specific-license-requested"/>
    <w:p>
      <w:pPr>
        <w:pStyle w:val="Heading3"/>
      </w:pPr>
      <w:r>
        <w:t xml:space="preserve">C. Specific License Requested</w:t>
      </w:r>
    </w:p>
    <w:p>
      <w:pPr>
        <w:pStyle w:val="FirstParagraph"/>
      </w:pPr>
      <w:r>
        <w:t xml:space="preserve">The Applicant requests a specific license pursuant to 31 C.F.R. § 542.801 and the authority vested in the Secretary of the Treasury under the International Emergency Economic Powers Act, 50 U.S.C. §§ 1701–1706, E.O. 13582, and the SySR, authorizing the transaction described in this application in its entirety, subject to such conditions as OFAC deems appropriate.</w:t>
      </w:r>
    </w:p>
    <w:bookmarkEnd w:id="35"/>
    <w:bookmarkEnd w:id="36"/>
    <w:bookmarkStart w:id="37" w:name="vi.-humanitarian-justification"/>
    <w:p>
      <w:pPr>
        <w:pStyle w:val="Heading2"/>
      </w:pPr>
      <w:r>
        <w:t xml:space="preserve">VI. Humanitarian Justification</w:t>
      </w:r>
    </w:p>
    <w:p>
      <w:pPr>
        <w:pStyle w:val="FirstParagraph"/>
      </w:pPr>
      <w:r>
        <w:t xml:space="preserve">The proposed transaction addresses a critical and well-documented humanitarian need. The World Health Organization Syria Country Office, in its Comprehensive Health Needs Assessment: Syrian Arab Republic, 2024 Update (WHO Reference No. WHO-SYR/HNA/2024-01, January 2024), Section 4.7, has identified cancer diagnostics capacity as a critical gap in the Syrian health system, with the following findings:</w:t>
      </w:r>
    </w:p>
    <w:p>
      <w:pPr>
        <w:pStyle w:val="Compact"/>
        <w:numPr>
          <w:ilvl w:val="0"/>
          <w:numId w:val="1004"/>
        </w:numPr>
      </w:pPr>
      <w:r>
        <w:t xml:space="preserve">Cancer incidence in Syria is estimated at approximately 22,000–25,000 new cases per year. Breast cancer is the most prevalent malignancy among Syrian women, accounting for approximately 33% of all female cancer diagnoses.</w:t>
      </w:r>
    </w:p>
    <w:p>
      <w:pPr>
        <w:pStyle w:val="Compact"/>
        <w:numPr>
          <w:ilvl w:val="0"/>
          <w:numId w:val="1004"/>
        </w:numPr>
      </w:pPr>
      <w:r>
        <w:t xml:space="preserve">Of approximately 14 immunohistochemistry laboratories functioning in Syria prior to 2011, only three remain partially operational as of January 2024, and none at full pre-conflict capacity.</w:t>
      </w:r>
    </w:p>
    <w:p>
      <w:pPr>
        <w:pStyle w:val="Compact"/>
        <w:numPr>
          <w:ilvl w:val="0"/>
          <w:numId w:val="1004"/>
        </w:numPr>
      </w:pPr>
      <w:r>
        <w:t xml:space="preserve">DCUH has been identified by WHO as the largest and most important remaining oncology referral center in Syria, operating a 140-bed oncology ward and processing approximately 3,800 tissue biopsies per year.</w:t>
      </w:r>
    </w:p>
    <w:p>
      <w:pPr>
        <w:pStyle w:val="Compact"/>
        <w:numPr>
          <w:ilvl w:val="0"/>
          <w:numId w:val="1004"/>
        </w:numPr>
      </w:pPr>
      <w:r>
        <w:t xml:space="preserve">The current diagnostic backlog at DCUH exceeds 14 months, forcing treating oncologists in many cases to initiate empiric chemotherapy without biomarker confirmation, resulting in suboptimal treatment regimens, avoidable drug toxicity, and the inefficient use of scarce oncological resources.</w:t>
      </w:r>
    </w:p>
    <w:p>
      <w:pPr>
        <w:pStyle w:val="Compact"/>
        <w:numPr>
          <w:ilvl w:val="0"/>
          <w:numId w:val="1004"/>
        </w:numPr>
      </w:pPr>
      <w:r>
        <w:t xml:space="preserve">The estimated five-year survival rate for breast cancer in Syria has declined from approximately 62% prior to 2011 to approximately 38% at present, attributable in significant part to prolonged delays in histopathological diagnosis and the inability to perform biomarker-guided treatment selection.</w:t>
      </w:r>
    </w:p>
    <w:p>
      <w:pPr>
        <w:pStyle w:val="Compact"/>
        <w:numPr>
          <w:ilvl w:val="0"/>
          <w:numId w:val="1004"/>
        </w:numPr>
      </w:pPr>
      <w:r>
        <w:t xml:space="preserve">WHO specifically recommends the urgent procurement of validated IHC reagent kits (with priority for HER2, ER, and PR breast cancer biomarker panels), the replacement and provision of laboratory calibration instruments, and technical training support for laboratory personnel, and calls on the international community to ensure that sanctions frameworks do not impede the delivery of essential medical diagnostic supplies to the Syrian population.</w:t>
      </w:r>
    </w:p>
    <w:p>
      <w:pPr>
        <w:pStyle w:val="FirstParagraph"/>
      </w:pPr>
      <w:r>
        <w:t xml:space="preserve">The proposed transaction directly responds to each of these WHO recommendations. The CancerDetect RX-700 Reagent Kit is the only FDA-cleared kit validated for the Ventana BenchMark XT platform already installed at DCUH, eliminating any substitute and ensuring that the goods can be deployed immediately upon delivery. The CalibPro 3100 Calibration Units will restore the quality-assurance capacity that WHO identifies as essential to reliable diagnostic results. The remote training will build local capacity to operate and maintain the equipment. The goods are exclusively humanitarian medical diagnostics with no military or dual-use application, and the end-user is a civilian public hospital serving the general Syrian patient population.</w:t>
      </w:r>
    </w:p>
    <w:bookmarkEnd w:id="37"/>
    <w:bookmarkStart w:id="38" w:name="X5caa20630cd7e91bd3a4396610b1fe051560357"/>
    <w:p>
      <w:pPr>
        <w:pStyle w:val="Heading2"/>
      </w:pPr>
      <w:r>
        <w:t xml:space="preserve">VII. Sanctions Due Diligence and Screening</w:t>
      </w:r>
    </w:p>
    <w:p>
      <w:pPr>
        <w:pStyle w:val="FirstParagraph"/>
      </w:pPr>
      <w:r>
        <w:t xml:space="preserve">The Applicant’s Chief Compliance Officer conducted a comprehensive sanctions and restricted-party screening of all transaction parties, their directors, principals, officers, and—through publicly accessible corporate registries and commercial databases—their beneficial owners. Screening was completed on June 3, 2024, against the OFAC SDN List, the OFAC Consolidated Sanctions List (including the Non-SDN Menu-Based Sanctions List), the OFAC SSI List, the BIS Entity List, the BIS Denied Persons List, the BIS Unverified List, and the UN Consolidated Sanctions List. The screening was performed using the Applicant’s enhanced real-time beneficial ownership screening platform, implemented in January 2024 pursuant to the recommendations of an independent compliance program audit (see Section XI).</w:t>
      </w:r>
    </w:p>
    <w:p>
      <w:pPr>
        <w:pStyle w:val="BodyText"/>
      </w:pPr>
      <w:r>
        <w:t xml:space="preserve">The screening identified two positive SDN matches, both of which are disclosed and addressed in Section VIII. All other screened parties—including the Applicant, Pinnacle Freight International, AMTW and its managing director, Harborview National Bank, and the individual principals of each entity—returned no matches. The Applicant commits to re-screening all transaction parties at 90-day intervals during the pendency of this application and immediately prior to any shipment if the license is granted, and to promptly notify OFAC of any material change in the screening results.</w:t>
      </w:r>
    </w:p>
    <w:p>
      <w:pPr>
        <w:pStyle w:val="BodyText"/>
      </w:pPr>
      <w:r>
        <w:t xml:space="preserve">The complete screening memorandum is provided as Exhibit B.</w:t>
      </w:r>
    </w:p>
    <w:bookmarkEnd w:id="38"/>
    <w:bookmarkStart w:id="42" w:name="X874ccc1098046f4aa8eaa13a2518c88a9629607"/>
    <w:p>
      <w:pPr>
        <w:pStyle w:val="Heading2"/>
      </w:pPr>
      <w:r>
        <w:t xml:space="preserve">VIII. Disclosure of SDN-Related Issues and Proposed Mitigation</w:t>
      </w:r>
    </w:p>
    <w:p>
      <w:pPr>
        <w:pStyle w:val="FirstParagraph"/>
      </w:pPr>
      <w:r>
        <w:t xml:space="preserve">The Applicant believes that full and candid disclosure of the sanctions issues identified during due diligence is essential to this application and to the Applicant’s ongoing relationship with OFAC. The two SDN-related matters are addressed below.</w:t>
      </w:r>
    </w:p>
    <w:bookmarkStart w:id="39" w:name="Xde45d2e87d0efee96e955f557d53a1c3acb0124"/>
    <w:p>
      <w:pPr>
        <w:pStyle w:val="Heading3"/>
      </w:pPr>
      <w:r>
        <w:t xml:space="preserve">A. ARMPC and SDN-Listed Shareholder Samir Daoud Khoury</w:t>
      </w:r>
    </w:p>
    <w:p>
      <w:pPr>
        <w:pStyle w:val="FirstParagraph"/>
      </w:pPr>
      <w:r>
        <w:rPr>
          <w:b/>
          <w:bCs/>
        </w:rPr>
        <w:t xml:space="preserve">Facts.</w:t>
      </w:r>
      <w:r>
        <w:t xml:space="preserve"> </w:t>
      </w:r>
      <w:r>
        <w:t xml:space="preserve">ARMPC, located at 18 Barada Street, Floor 3, Damascus, Syria, is the customs clearance and import logistics agent designated by DCUH in the purchase order. ARMPC is managed by Tariq Nabil Hammoud. ARMPC itself is not listed on the SDN List or any other restricted-party list, and Mr. Hammoud was screened and returned no match. However, through the Applicant’s enhanced beneficial ownership screening, the Applicant identified that</w:t>
      </w:r>
      <w:r>
        <w:t xml:space="preserve"> </w:t>
      </w:r>
      <w:r>
        <w:rPr>
          <w:b/>
          <w:bCs/>
        </w:rPr>
        <w:t xml:space="preserve">Samir Daoud Khoury</w:t>
      </w:r>
      <w:r>
        <w:t xml:space="preserve"> </w:t>
      </w:r>
      <w:r>
        <w:t xml:space="preserve">holds a 30% ownership interest in ARMPC. Mr. Khoury is designated on the SDN List. The listing details are:</w:t>
      </w:r>
    </w:p>
    <w:p>
      <w:pPr>
        <w:pStyle w:val="Compact"/>
        <w:numPr>
          <w:ilvl w:val="0"/>
          <w:numId w:val="1005"/>
        </w:numPr>
      </w:pPr>
      <w:r>
        <w:rPr>
          <w:b/>
          <w:bCs/>
        </w:rPr>
        <w:t xml:space="preserve">Name:</w:t>
      </w:r>
      <w:r>
        <w:t xml:space="preserve"> </w:t>
      </w:r>
      <w:r>
        <w:t xml:space="preserve">Khoury, Samir Daoud</w:t>
      </w:r>
    </w:p>
    <w:p>
      <w:pPr>
        <w:pStyle w:val="Compact"/>
        <w:numPr>
          <w:ilvl w:val="0"/>
          <w:numId w:val="1005"/>
        </w:numPr>
      </w:pPr>
      <w:r>
        <w:rPr>
          <w:b/>
          <w:bCs/>
        </w:rPr>
        <w:t xml:space="preserve">Date of birth:</w:t>
      </w:r>
      <w:r>
        <w:t xml:space="preserve"> </w:t>
      </w:r>
      <w:r>
        <w:t xml:space="preserve">March 12, 1971</w:t>
      </w:r>
    </w:p>
    <w:p>
      <w:pPr>
        <w:pStyle w:val="Compact"/>
        <w:numPr>
          <w:ilvl w:val="0"/>
          <w:numId w:val="1005"/>
        </w:numPr>
      </w:pPr>
      <w:r>
        <w:rPr>
          <w:b/>
          <w:bCs/>
        </w:rPr>
        <w:t xml:space="preserve">Nationality:</w:t>
      </w:r>
      <w:r>
        <w:t xml:space="preserve"> </w:t>
      </w:r>
      <w:r>
        <w:t xml:space="preserve">Syria</w:t>
      </w:r>
    </w:p>
    <w:p>
      <w:pPr>
        <w:pStyle w:val="Compact"/>
        <w:numPr>
          <w:ilvl w:val="0"/>
          <w:numId w:val="1005"/>
        </w:numPr>
      </w:pPr>
      <w:r>
        <w:rPr>
          <w:b/>
          <w:bCs/>
        </w:rPr>
        <w:t xml:space="preserve">Passport No.:</w:t>
      </w:r>
      <w:r>
        <w:t xml:space="preserve"> </w:t>
      </w:r>
      <w:r>
        <w:t xml:space="preserve">S-0048712</w:t>
      </w:r>
    </w:p>
    <w:p>
      <w:pPr>
        <w:pStyle w:val="Compact"/>
        <w:numPr>
          <w:ilvl w:val="0"/>
          <w:numId w:val="1005"/>
        </w:numPr>
      </w:pPr>
      <w:r>
        <w:rPr>
          <w:b/>
          <w:bCs/>
        </w:rPr>
        <w:t xml:space="preserve">SDN List addition date:</w:t>
      </w:r>
      <w:r>
        <w:t xml:space="preserve"> </w:t>
      </w:r>
      <w:r>
        <w:t xml:space="preserve">April 15, 2024</w:t>
      </w:r>
    </w:p>
    <w:p>
      <w:pPr>
        <w:pStyle w:val="Compact"/>
        <w:numPr>
          <w:ilvl w:val="0"/>
          <w:numId w:val="1005"/>
        </w:numPr>
      </w:pPr>
      <w:r>
        <w:rPr>
          <w:b/>
          <w:bCs/>
        </w:rPr>
        <w:t xml:space="preserve">Basis for designation:</w:t>
      </w:r>
      <w:r>
        <w:t xml:space="preserve"> </w:t>
      </w:r>
      <w:r>
        <w:t xml:space="preserve">Acting on behalf of a sanctioned Syrian military procurement network</w:t>
      </w:r>
    </w:p>
    <w:p>
      <w:pPr>
        <w:pStyle w:val="FirstParagraph"/>
      </w:pPr>
      <w:r>
        <w:rPr>
          <w:b/>
          <w:bCs/>
        </w:rPr>
        <w:t xml:space="preserve">50 Percent Rule analysis.</w:t>
      </w:r>
      <w:r>
        <w:t xml:space="preserve"> </w:t>
      </w:r>
      <w:r>
        <w:t xml:space="preserve">Under OFAC’s 50 Percent Rule (see OFAC,</w:t>
      </w:r>
      <w:r>
        <w:t xml:space="preserve"> </w:t>
      </w:r>
      <w:r>
        <w:rPr>
          <w:i/>
          <w:iCs/>
        </w:rPr>
        <w:t xml:space="preserve">Revised Guidance on Entities Owned by Persons Whose Property and Interests in Property Are Blocked</w:t>
      </w:r>
      <w:r>
        <w:t xml:space="preserve"> </w:t>
      </w:r>
      <w:r>
        <w:t xml:space="preserve">(Aug. 13, 2014)), an entity is considered blocked only where one or more SDN-listed persons own, individually or in the aggregate, 50% or more of the entity. Mr. Khoury’s 30% ownership interest falls below this threshold, and ARMPC is therefore not automatically considered a blocked entity under the 50 Percent Rule. The Applicant does not rely on this analysis to minimize the significance of the finding; to the contrary, the Applicant discloses it fully and proposes mitigation.</w:t>
      </w:r>
    </w:p>
    <w:p>
      <w:pPr>
        <w:pStyle w:val="BodyText"/>
      </w:pPr>
      <w:r>
        <w:rPr>
          <w:b/>
          <w:bCs/>
        </w:rPr>
        <w:t xml:space="preserve">Proposed mitigation.</w:t>
      </w:r>
      <w:r>
        <w:t xml:space="preserve"> </w:t>
      </w:r>
      <w:r>
        <w:t xml:space="preserve">The Applicant proposes a two-track approach and requests OFAC’s guidance and authorization:</w:t>
      </w:r>
    </w:p>
    <w:p>
      <w:pPr>
        <w:numPr>
          <w:ilvl w:val="0"/>
          <w:numId w:val="1006"/>
        </w:numPr>
      </w:pPr>
      <w:r>
        <w:rPr>
          <w:b/>
          <w:bCs/>
        </w:rPr>
        <w:t xml:space="preserve">Primary approach — replacement of ARMPC.</w:t>
      </w:r>
      <w:r>
        <w:t xml:space="preserve"> </w:t>
      </w:r>
      <w:r>
        <w:t xml:space="preserve">The Applicant’s preferred course is to eliminate the SDN nexus entirely by replacing ARMPC with an alternative Syrian customs clearance and import logistics agent that has no SDN-listed ownership or principals. The Applicant is working with DCUH to identify and onboard such an alternative agent, which will be screened against all applicable restricted-party lists—including beneficial ownership screening—prior to engagement, with the results provided to OFAC upon request. The Applicant requests that the license authorize the customs clearance function to be performed by a screened, non-SDN agent to be identified prior to shipment.</w:t>
      </w:r>
    </w:p>
    <w:p>
      <w:pPr>
        <w:numPr>
          <w:ilvl w:val="0"/>
          <w:numId w:val="1006"/>
        </w:numPr>
      </w:pPr>
      <w:r>
        <w:rPr>
          <w:b/>
          <w:bCs/>
        </w:rPr>
        <w:t xml:space="preserve">Alternative approach — conditional authorization of ARMPC’s limited ministerial role.</w:t>
      </w:r>
      <w:r>
        <w:t xml:space="preserve"> </w:t>
      </w:r>
      <w:r>
        <w:t xml:space="preserve">In the event that DCUH is unable to substitute an alternative agent and ARMPC’s involvement is necessary to accomplish the humanitarian purpose of the transaction, the Applicant requests, in the alternative, specific OFAC authorization for ARMPC’s limited, ministerial role in Syrian customs clearance and in-country delivery, subject to conditions designed to ensure that no benefit accrues to Mr. Khoury, including: (i) all payments to ARMPC will be limited to reasonable, documented, arm’s-length fees for customs clearance services at prevailing market rates, with no premium or benefit attributable to Mr. Khoury’s ownership; (ii) the Applicant will not enter into any agreement, payment, or relationship with Mr. Khoury, and no funds will be transferred to or for the benefit of Mr. Khoury; (iii) the Applicant will obtain from ARMPC a written certification regarding its ownership structure and a commitment that no transaction proceeds will benefit Mr. Khoury; and (iv) the Applicant will conduct enhanced monitoring of ARMPC’s performance, as described in Section XII.</w:t>
      </w:r>
    </w:p>
    <w:p>
      <w:pPr>
        <w:pStyle w:val="FirstParagraph"/>
      </w:pPr>
      <w:r>
        <w:t xml:space="preserve">The Applicant respectfully requests that OFAC advise which approach it prefers and will conform the transaction structure to OFAC’s determination prior to shipment. The Applicant notes that Mr. Khoury’s designation basis—acting on behalf of a sanctioned Syrian military procurement network—is a matter of concern that the Applicant takes seriously, and the Applicant is prepared to remove ARMPC from the transaction entirely if OFAC so directs.</w:t>
      </w:r>
    </w:p>
    <w:bookmarkEnd w:id="39"/>
    <w:bookmarkStart w:id="40" w:name="X19d11708fe575c323737cf6aea6a0e9f9ce4ef2"/>
    <w:p>
      <w:pPr>
        <w:pStyle w:val="Heading3"/>
      </w:pPr>
      <w:r>
        <w:t xml:space="preserve">B. Central Bank of Calverley (CBS) — Payment Restructuring</w:t>
      </w:r>
    </w:p>
    <w:p>
      <w:pPr>
        <w:pStyle w:val="FirstParagraph"/>
      </w:pPr>
      <w:r>
        <w:rPr>
          <w:b/>
          <w:bCs/>
        </w:rPr>
        <w:t xml:space="preserve">Facts.</w:t>
      </w:r>
      <w:r>
        <w:t xml:space="preserve"> </w:t>
      </w:r>
      <w:r>
        <w:t xml:space="preserve">The end-user’s purchase order designates CBS, Damascus, as the remitting bank for the 100% advance payment. CBS is on the SDN List, having been added on August 10, 2011, pursuant to E.O. 13582. Payment routed through CBS would constitute a prohibited transaction with a blocked person under the SySR, and any such funds received by a U.S. person would be subject to blocking. No U.S. financial institution may process a funds transfer originating from CBS absent specific OFAC authorization.</w:t>
      </w:r>
    </w:p>
    <w:p>
      <w:pPr>
        <w:pStyle w:val="BodyText"/>
      </w:pPr>
      <w:r>
        <w:rPr>
          <w:b/>
          <w:bCs/>
        </w:rPr>
        <w:t xml:space="preserve">Proposed mitigation.</w:t>
      </w:r>
      <w:r>
        <w:t xml:space="preserve"> </w:t>
      </w:r>
      <w:r>
        <w:t xml:space="preserve">The Applicant will not accept or process any payment routed through CBS. As described in Section IV.H, the Applicant has restructured the payment channel to use a non-SDN-listed Syrian commercial bank (consistent with the Applicant’s prior specific license) or, in the alternative, a non-SDN-listed third-country financial institution, to be identified and screened in advance. The Applicant requests that the license expressly prohibit routing of any payment through CBS or any other SDN-listed or blocked financial institution and require the Applicant to provide OFAC with the identity and screening results of the selected remitting institution prior to receipt of funds. The Applicant’s Chief Compliance Officer is available to screen any alternative financial institution proposed for the payment flow.</w:t>
      </w:r>
    </w:p>
    <w:bookmarkEnd w:id="40"/>
    <w:bookmarkStart w:id="41" w:name="c.-governmental-end-user-dcuh"/>
    <w:p>
      <w:pPr>
        <w:pStyle w:val="Heading3"/>
      </w:pPr>
      <w:r>
        <w:t xml:space="preserve">C. Governmental End-User (DCUH)</w:t>
      </w:r>
    </w:p>
    <w:p>
      <w:pPr>
        <w:pStyle w:val="FirstParagraph"/>
      </w:pPr>
      <w:r>
        <w:rPr>
          <w:b/>
          <w:bCs/>
        </w:rPr>
        <w:t xml:space="preserve">Facts.</w:t>
      </w:r>
      <w:r>
        <w:t xml:space="preserve"> </w:t>
      </w:r>
      <w:r>
        <w:t xml:space="preserve">DCUH is an instrumentality of the Government of Syria by virtue of its status as a public teaching hospital under the Syrian Ministry of Health. The Government of Syria is comprehensively sanctioned under E.O. 13582 and the SySR.</w:t>
      </w:r>
    </w:p>
    <w:p>
      <w:pPr>
        <w:pStyle w:val="BodyText"/>
      </w:pPr>
      <w:r>
        <w:rPr>
          <w:b/>
          <w:bCs/>
        </w:rPr>
        <w:t xml:space="preserve">Proposed approach.</w:t>
      </w:r>
      <w:r>
        <w:t xml:space="preserve"> </w:t>
      </w:r>
      <w:r>
        <w:t xml:space="preserve">The Applicant requests specific authorization to transact with DCUH for the exclusively humanitarian medical purposes described in this application. The Applicant notes that OFAC has previously authorized the Applicant to export diagnostic kits to another Syrian public Ministry of Health hospital (Al-Mujtahid Hospital, Damascus) under Specific License SYR-2021-384712, and that the present transaction is materially analogous in its humanitarian character, end-user profile, and product classification. The Applicant submits that the humanitarian nature of the goods, the exclusively civilian clinical end-use, the documented humanitarian need, and the Applicant’s compliance track record support the issuance of a specific license authorizing the transaction with DCUH.</w:t>
      </w:r>
    </w:p>
    <w:bookmarkEnd w:id="41"/>
    <w:bookmarkEnd w:id="42"/>
    <w:bookmarkStart w:id="43" w:name="X0a1bc3e5474936146c0f54790c447f3bd826c87"/>
    <w:p>
      <w:pPr>
        <w:pStyle w:val="Heading2"/>
      </w:pPr>
      <w:r>
        <w:t xml:space="preserve">IX. Technology Transfer and Training Analysis</w:t>
      </w:r>
    </w:p>
    <w:p>
      <w:pPr>
        <w:pStyle w:val="FirstParagraph"/>
      </w:pPr>
      <w:r>
        <w:t xml:space="preserve">The remote training services involve the transfer of certain technical data and documentation to DCUH personnel, including proprietary instrument schematics and engineering diagrams, the CalibPro 3100 Software Reference Manual, and instruction on firmware diagnostic logs and calibration algorithm parameters. The Applicant has analyzed the technology-transfer dimensions of the training and requests that the specific license expressly authorize the provision of the training and the associated technical data as an integral part of the authorized humanitarian medical device transaction, on the following basis:</w:t>
      </w:r>
    </w:p>
    <w:p>
      <w:pPr>
        <w:pStyle w:val="Compact"/>
        <w:numPr>
          <w:ilvl w:val="0"/>
          <w:numId w:val="1007"/>
        </w:numPr>
      </w:pPr>
      <w:r>
        <w:t xml:space="preserve">The products are classified EAR99, and the embedded firmware (version 4.2.1) employs AES-128 encryption limited to internal data-integrity verification of calibration results, which does not exceed EAR de minimis thresholds for encryption items and does not alter the EAR99 classification. The CalibPro 3100 has no wireless or network connectivity; data export is by USB 2.0 only.</w:t>
      </w:r>
    </w:p>
    <w:p>
      <w:pPr>
        <w:pStyle w:val="Compact"/>
        <w:numPr>
          <w:ilvl w:val="0"/>
          <w:numId w:val="1007"/>
        </w:numPr>
      </w:pPr>
      <w:r>
        <w:t xml:space="preserve">The training is limited to the operation, calibration, and maintenance of the specific humanitarian medical devices being exported, and does not involve the transfer of controlled technology, source code, or design/manufacturing know-how. The firmware is not user-modifiable, and no firmware updates, patches, or over-the-air support are included in or authorized by this application.</w:t>
      </w:r>
    </w:p>
    <w:p>
      <w:pPr>
        <w:pStyle w:val="Compact"/>
        <w:numPr>
          <w:ilvl w:val="0"/>
          <w:numId w:val="1007"/>
        </w:numPr>
      </w:pPr>
      <w:r>
        <w:t xml:space="preserve">No Meridian personnel will travel to Syria; all training is delivered remotely via secure video link from the United States.</w:t>
      </w:r>
    </w:p>
    <w:p>
      <w:pPr>
        <w:pStyle w:val="FirstParagraph"/>
      </w:pPr>
      <w:r>
        <w:t xml:space="preserve">The Applicant acknowledges that the provision of technical data and services to a sanctioned jurisdiction may raise separate considerations under the Export Administration Regulations, 15 C.F.R. Parts 730–774, administered by BIS. The Applicant has confirmed that the goods are classified EAR99 and has assessed the embedded firmware and encryption functionality as not altering that classification. To the extent that any separate BIS authorization is determined to be required for the export of the goods or the provision of the training or technical data to Syria, the Applicant will obtain such authorization and will not proceed with any shipment or training until all required U.S. Government authorizations are in place. The Applicant respectfully requests that OFAC coordinate with BIS as appropriate in connection with this application. The product technical data sheets are provided as Exhibit D.</w:t>
      </w:r>
    </w:p>
    <w:bookmarkEnd w:id="43"/>
    <w:bookmarkStart w:id="44" w:name="x.-prior-ofac-licensing-history"/>
    <w:p>
      <w:pPr>
        <w:pStyle w:val="Heading2"/>
      </w:pPr>
      <w:r>
        <w:t xml:space="preserve">X. Prior OFAC Licensing History</w:t>
      </w:r>
    </w:p>
    <w:p>
      <w:pPr>
        <w:pStyle w:val="FirstParagraph"/>
      </w:pPr>
      <w:r>
        <w:t xml:space="preserve">The Applicant previously held OFAC Specific License No. SYR-2021-384712, issued September 14, 2021, and expiring March 31, 2023. That license authorized the export of 200 TBDetect Pro-200 tuberculosis diagnostic reagent kits (total value US$340,000; EAR99; HTS 3822.19.5000) to Al-Mujtahid Hospital, Damascus, a public hospital affiliated with the Syrian Ministry of Health, for humanitarian medical use. Key features of that license and the Applicant’s performance under it include:</w:t>
      </w:r>
    </w:p>
    <w:p>
      <w:pPr>
        <w:pStyle w:val="Compact"/>
        <w:numPr>
          <w:ilvl w:val="0"/>
          <w:numId w:val="1008"/>
        </w:numPr>
      </w:pPr>
      <w:r>
        <w:t xml:space="preserve">All authorized shipments were completed by January 2023, approximately two months before license expiration.</w:t>
      </w:r>
    </w:p>
    <w:p>
      <w:pPr>
        <w:pStyle w:val="Compact"/>
        <w:numPr>
          <w:ilvl w:val="0"/>
          <w:numId w:val="1008"/>
        </w:numPr>
      </w:pPr>
      <w:r>
        <w:t xml:space="preserve">Payment was authorized via wire transfer from a non-SDN-listed Syrian commercial bank to the Applicant’s account at Harborview National Bank, and was expressly</w:t>
      </w:r>
      <w:r>
        <w:t xml:space="preserve"> </w:t>
      </w:r>
      <w:r>
        <w:rPr>
          <w:b/>
          <w:bCs/>
        </w:rPr>
        <w:t xml:space="preserve">not</w:t>
      </w:r>
      <w:r>
        <w:t xml:space="preserve"> </w:t>
      </w:r>
      <w:r>
        <w:t xml:space="preserve">permitted to be routed through the Central Bank of Calverley or any SDN-listed institution.</w:t>
      </w:r>
    </w:p>
    <w:p>
      <w:pPr>
        <w:pStyle w:val="Compact"/>
        <w:numPr>
          <w:ilvl w:val="0"/>
          <w:numId w:val="1008"/>
        </w:numPr>
      </w:pPr>
      <w:r>
        <w:t xml:space="preserve">No procurement intermediary, distributor, or other intermediary was authorized; goods shipped directly to the end-user via authorized freight channels.</w:t>
      </w:r>
    </w:p>
    <w:p>
      <w:pPr>
        <w:pStyle w:val="Compact"/>
        <w:numPr>
          <w:ilvl w:val="0"/>
          <w:numId w:val="1008"/>
        </w:numPr>
      </w:pPr>
      <w:r>
        <w:t xml:space="preserve">The Applicant satisfied all reporting conditions, including submission of written reports to OFAC within 30 days of completion of each shipment, with proof of delivery, shipping documents, and confirmation of end-user receipt.</w:t>
      </w:r>
    </w:p>
    <w:p>
      <w:pPr>
        <w:pStyle w:val="Compact"/>
        <w:numPr>
          <w:ilvl w:val="0"/>
          <w:numId w:val="1008"/>
        </w:numPr>
      </w:pPr>
      <w:r>
        <w:t xml:space="preserve">The Applicant maintained records for not less than five years in accordance with 31 C.F.R. § 501.601.</w:t>
      </w:r>
    </w:p>
    <w:p>
      <w:pPr>
        <w:pStyle w:val="Compact"/>
        <w:numPr>
          <w:ilvl w:val="0"/>
          <w:numId w:val="1008"/>
        </w:numPr>
      </w:pPr>
      <w:r>
        <w:t xml:space="preserve">No violations, late filings, deviations from license terms, civil monetary penalties, or enforcement actions occurred.</w:t>
      </w:r>
    </w:p>
    <w:p>
      <w:pPr>
        <w:pStyle w:val="FirstParagraph"/>
      </w:pPr>
      <w:r>
        <w:t xml:space="preserve">The Applicant submits that this prior licensing history demonstrates its capacity and commitment to administer OFAC-licensed transactions in comprehensively sanctioned jurisdictions in full compliance with all license conditions and reporting requirements. A copy of the prior license is provided as Exhibit E.</w:t>
      </w:r>
    </w:p>
    <w:bookmarkEnd w:id="44"/>
    <w:bookmarkStart w:id="45" w:name="xi.-compliance-program"/>
    <w:p>
      <w:pPr>
        <w:pStyle w:val="Heading2"/>
      </w:pPr>
      <w:r>
        <w:t xml:space="preserve">XI. Compliance Program</w:t>
      </w:r>
    </w:p>
    <w:p>
      <w:pPr>
        <w:pStyle w:val="FirstParagraph"/>
      </w:pPr>
      <w:r>
        <w:t xml:space="preserve">The Applicant maintains a sanctions compliance program that has been in place since 2015 and that is designed to meet the expectations set forth in OFAC’s</w:t>
      </w:r>
      <w:r>
        <w:t xml:space="preserve"> </w:t>
      </w:r>
      <w:r>
        <w:t xml:space="preserve">“</w:t>
      </w:r>
      <w:r>
        <w:t xml:space="preserve">A Framework for OFAC Compliance Commitments</w:t>
      </w:r>
      <w:r>
        <w:t xml:space="preserve">”</w:t>
      </w:r>
      <w:r>
        <w:t xml:space="preserve"> </w:t>
      </w:r>
      <w:r>
        <w:t xml:space="preserve">(May 2019). The program was independently audited in September 2023 by Graystone Compliance Partners LLC, which assigned the program an overall rating of</w:t>
      </w:r>
      <w:r>
        <w:t xml:space="preserve"> </w:t>
      </w:r>
      <w:r>
        <w:t xml:space="preserve">“</w:t>
      </w:r>
      <w:r>
        <w:t xml:space="preserve">Satisfactory with Recommendations.</w:t>
      </w:r>
      <w:r>
        <w:t xml:space="preserve">”</w:t>
      </w:r>
      <w:r>
        <w:t xml:space="preserve"> </w:t>
      </w:r>
      <w:r>
        <w:t xml:space="preserve">The program’s principal features include:</w:t>
      </w:r>
    </w:p>
    <w:p>
      <w:pPr>
        <w:pStyle w:val="Compact"/>
        <w:numPr>
          <w:ilvl w:val="0"/>
          <w:numId w:val="1009"/>
        </w:numPr>
      </w:pPr>
      <w:r>
        <w:rPr>
          <w:b/>
          <w:bCs/>
        </w:rPr>
        <w:t xml:space="preserve">Management commitment.</w:t>
      </w:r>
      <w:r>
        <w:t xml:space="preserve"> </w:t>
      </w:r>
      <w:r>
        <w:t xml:space="preserve">Visible executive support from the CEO and General Counsel; the Chief Compliance Officer reports to the General Counsel and maintains a standing quarterly briefing to the Board of Directors’ Audit Committee.</w:t>
      </w:r>
    </w:p>
    <w:p>
      <w:pPr>
        <w:pStyle w:val="Compact"/>
        <w:numPr>
          <w:ilvl w:val="0"/>
          <w:numId w:val="1009"/>
        </w:numPr>
      </w:pPr>
      <w:r>
        <w:rPr>
          <w:b/>
          <w:bCs/>
        </w:rPr>
        <w:t xml:space="preserve">Written policies and procedures.</w:t>
      </w:r>
      <w:r>
        <w:t xml:space="preserve"> </w:t>
      </w:r>
      <w:r>
        <w:t xml:space="preserve">A comprehensive Sanctions Compliance Manual (last updated March 2023) covering OFAC, BIS/EAR, and anti-boycott requirements, including the export of physical goods and the provision of remote technical services, with clear escalation procedures.</w:t>
      </w:r>
    </w:p>
    <w:p>
      <w:pPr>
        <w:pStyle w:val="Compact"/>
        <w:numPr>
          <w:ilvl w:val="0"/>
          <w:numId w:val="1009"/>
        </w:numPr>
      </w:pPr>
      <w:r>
        <w:rPr>
          <w:b/>
          <w:bCs/>
        </w:rPr>
        <w:t xml:space="preserve">Screening protocols.</w:t>
      </w:r>
      <w:r>
        <w:t xml:space="preserve"> </w:t>
      </w:r>
      <w:r>
        <w:t xml:space="preserve">Automated screening of all counterparties, end-users, intermediaries, freight forwarders, and financial institutions against the SDN List, the Consolidated Screening List, EU sanctions lists, and UN sanctions lists, conducted at transaction initiation and at each material milestone. In January 2024, the Applicant implemented enhanced real-time beneficial ownership screening pursuant to the audit’s high-priority recommendation—the enhancement that identified the SDN-listed shareholder of ARMPC in this transaction.</w:t>
      </w:r>
    </w:p>
    <w:p>
      <w:pPr>
        <w:pStyle w:val="Compact"/>
        <w:numPr>
          <w:ilvl w:val="0"/>
          <w:numId w:val="1009"/>
        </w:numPr>
      </w:pPr>
      <w:r>
        <w:rPr>
          <w:b/>
          <w:bCs/>
        </w:rPr>
        <w:t xml:space="preserve">Training.</w:t>
      </w:r>
      <w:r>
        <w:t xml:space="preserve"> </w:t>
      </w:r>
      <w:r>
        <w:t xml:space="preserve">Annual OFAC and sanctions compliance training completed by 97% of relevant personnel in fiscal year 2023, with targeted supplemental training for international sales, logistics, and finance teams.</w:t>
      </w:r>
    </w:p>
    <w:p>
      <w:pPr>
        <w:pStyle w:val="Compact"/>
        <w:numPr>
          <w:ilvl w:val="0"/>
          <w:numId w:val="1009"/>
        </w:numPr>
      </w:pPr>
      <w:r>
        <w:rPr>
          <w:b/>
          <w:bCs/>
        </w:rPr>
        <w:t xml:space="preserve">Record-keeping.</w:t>
      </w:r>
      <w:r>
        <w:t xml:space="preserve"> </w:t>
      </w:r>
      <w:r>
        <w:t xml:space="preserve">Transaction files maintained for a minimum of five years in accordance with 31 C.F.R. § 501.601, with electronic backup and indexing for rapid retrieval.</w:t>
      </w:r>
    </w:p>
    <w:p>
      <w:pPr>
        <w:pStyle w:val="Compact"/>
        <w:numPr>
          <w:ilvl w:val="0"/>
          <w:numId w:val="1009"/>
        </w:numPr>
      </w:pPr>
      <w:r>
        <w:rPr>
          <w:b/>
          <w:bCs/>
        </w:rPr>
        <w:t xml:space="preserve">No enforcement history.</w:t>
      </w:r>
      <w:r>
        <w:t xml:space="preserve"> </w:t>
      </w:r>
      <w:r>
        <w:t xml:space="preserve">No OFAC violations, civil monetary penalties, cautionary or warning letters, findings of violation, or voluntary self-disclosures.</w:t>
      </w:r>
    </w:p>
    <w:p>
      <w:pPr>
        <w:pStyle w:val="FirstParagraph"/>
      </w:pPr>
      <w:r>
        <w:t xml:space="preserve">The Applicant has implemented, or is implementing, the three recommendations from the September 2023 audit, including the high-priority recommendation to enhance real-time beneficial ownership screening (implemented January 2024), the development of a written end-use monitoring plan for licensed transactions in sanctioned jurisdictions (being implemented in connection with this application, as described in Section XII), and the updating of the sanctions risk assessment template to address embedded software, firmware, and encryption considerations. The Graystone audit executive summary is provided as Exhibit F.</w:t>
      </w:r>
    </w:p>
    <w:bookmarkEnd w:id="45"/>
    <w:bookmarkStart w:id="46" w:name="X5dd8390e233097bbb9fd0cc998c2ac7459e537c"/>
    <w:p>
      <w:pPr>
        <w:pStyle w:val="Heading2"/>
      </w:pPr>
      <w:r>
        <w:t xml:space="preserve">XII. End-Use Monitoring and Anti-Diversion Controls</w:t>
      </w:r>
    </w:p>
    <w:p>
      <w:pPr>
        <w:pStyle w:val="FirstParagraph"/>
      </w:pPr>
      <w:r>
        <w:t xml:space="preserve">Consistent with OFAC’s expectations for licensees operating in comprehensively sanctioned jurisdictions and with the recommendations of the Applicant’s independent compliance audit, the Applicant will implement a written end-use monitoring and anti-diversion plan for this transaction, including the following measures:</w:t>
      </w:r>
    </w:p>
    <w:p>
      <w:pPr>
        <w:pStyle w:val="Compact"/>
        <w:numPr>
          <w:ilvl w:val="0"/>
          <w:numId w:val="1010"/>
        </w:numPr>
      </w:pPr>
      <w:r>
        <w:rPr>
          <w:b/>
          <w:bCs/>
        </w:rPr>
        <w:t xml:space="preserve">End-user certificate and non-diversion commitment.</w:t>
      </w:r>
      <w:r>
        <w:t xml:space="preserve"> </w:t>
      </w:r>
      <w:r>
        <w:t xml:space="preserve">The Applicant will obtain from DCUH, prior to shipment, a written end-user certificate and non-diversion commitment confirming that the goods will be used solely for clinical diagnostic purposes within DCUH’s Oncology Department, will not be re-exported, diverted, or transferred to any third party, and will remain within DCUH’s custody and control. The purchase order already contains DCUH’s non-diversion and no-re-export commitment.</w:t>
      </w:r>
    </w:p>
    <w:p>
      <w:pPr>
        <w:pStyle w:val="Compact"/>
        <w:numPr>
          <w:ilvl w:val="0"/>
          <w:numId w:val="1010"/>
        </w:numPr>
      </w:pPr>
      <w:r>
        <w:rPr>
          <w:b/>
          <w:bCs/>
        </w:rPr>
        <w:t xml:space="preserve">Delivery confirmation with documentary and photographic evidence.</w:t>
      </w:r>
      <w:r>
        <w:t xml:space="preserve"> </w:t>
      </w:r>
      <w:r>
        <w:t xml:space="preserve">The Applicant will obtain proof of delivery to DCUH, including signed delivery receipts, photographic evidence of the goods at the DCUH facility, and cold-chain temperature data logs compiled across all transit legs.</w:t>
      </w:r>
    </w:p>
    <w:p>
      <w:pPr>
        <w:pStyle w:val="Compact"/>
        <w:numPr>
          <w:ilvl w:val="0"/>
          <w:numId w:val="1010"/>
        </w:numPr>
      </w:pPr>
      <w:r>
        <w:rPr>
          <w:b/>
          <w:bCs/>
        </w:rPr>
        <w:t xml:space="preserve">Periodic usage reporting.</w:t>
      </w:r>
      <w:r>
        <w:t xml:space="preserve"> </w:t>
      </w:r>
      <w:r>
        <w:t xml:space="preserve">The Applicant will request from DCUH, at annual intervals during the license period, written reports confirming the location, condition, and use of the goods, including the number of reagent kits consumed and the operational status of the calibration units.</w:t>
      </w:r>
    </w:p>
    <w:p>
      <w:pPr>
        <w:pStyle w:val="Compact"/>
        <w:numPr>
          <w:ilvl w:val="0"/>
          <w:numId w:val="1010"/>
        </w:numPr>
      </w:pPr>
      <w:r>
        <w:rPr>
          <w:b/>
          <w:bCs/>
        </w:rPr>
        <w:t xml:space="preserve">Site verification.</w:t>
      </w:r>
      <w:r>
        <w:t xml:space="preserve"> </w:t>
      </w:r>
      <w:r>
        <w:t xml:space="preserve">The Applicant will seek to verify end-use through remote means (e.g., video confirmation of equipment location and operation by trained DCUH personnel) to the extent feasible given access constraints, and will consider in-person verification if conditions permit.</w:t>
      </w:r>
    </w:p>
    <w:p>
      <w:pPr>
        <w:pStyle w:val="Compact"/>
        <w:numPr>
          <w:ilvl w:val="0"/>
          <w:numId w:val="1010"/>
        </w:numPr>
      </w:pPr>
      <w:r>
        <w:rPr>
          <w:b/>
          <w:bCs/>
        </w:rPr>
        <w:t xml:space="preserve">Enhanced monitoring of the customs clearance agent.</w:t>
      </w:r>
      <w:r>
        <w:t xml:space="preserve"> </w:t>
      </w:r>
      <w:r>
        <w:t xml:space="preserve">If ARMPC is authorized to perform the customs clearance function, the Applicant will conduct enhanced monitoring of ARMPC’s performance, including review of customs documentation, confirmation that goods are delivered to DCUH and not diverted, and verification that all fees paid to ARMPC are reasonable, documented, and arm’s-length, with no benefit to the SDN-listed shareholder.</w:t>
      </w:r>
    </w:p>
    <w:p>
      <w:pPr>
        <w:pStyle w:val="Compact"/>
        <w:numPr>
          <w:ilvl w:val="0"/>
          <w:numId w:val="1010"/>
        </w:numPr>
      </w:pPr>
      <w:r>
        <w:rPr>
          <w:b/>
          <w:bCs/>
        </w:rPr>
        <w:t xml:space="preserve">Cold-chain integrity.</w:t>
      </w:r>
      <w:r>
        <w:t xml:space="preserve"> </w:t>
      </w:r>
      <w:r>
        <w:t xml:space="preserve">The Applicant will maintain cold-chain integrity for the reagent kits throughout transit and will confirm, prior to shipment, that DCUH possesses adequate refrigerated storage capacity to receive and maintain the full shipment volume upon arrival.</w:t>
      </w:r>
    </w:p>
    <w:p>
      <w:pPr>
        <w:pStyle w:val="Compact"/>
        <w:numPr>
          <w:ilvl w:val="0"/>
          <w:numId w:val="1010"/>
        </w:numPr>
      </w:pPr>
      <w:r>
        <w:rPr>
          <w:b/>
          <w:bCs/>
        </w:rPr>
        <w:t xml:space="preserve">Re-screening.</w:t>
      </w:r>
      <w:r>
        <w:t xml:space="preserve"> </w:t>
      </w:r>
      <w:r>
        <w:t xml:space="preserve">The Applicant will re-screen all transaction parties immediately prior to shipment and will not ship if any party has become a blocked or designated person.</w:t>
      </w:r>
    </w:p>
    <w:p>
      <w:pPr>
        <w:pStyle w:val="FirstParagraph"/>
      </w:pPr>
      <w:r>
        <w:t xml:space="preserve">The Applicant will retain all records relating to end-use monitoring for not less than five years and will make them available to OFAC upon request.</w:t>
      </w:r>
    </w:p>
    <w:bookmarkEnd w:id="46"/>
    <w:bookmarkStart w:id="47" w:name="X55cf884e447e834a35455b87a33832c8c6c61f5"/>
    <w:p>
      <w:pPr>
        <w:pStyle w:val="Heading2"/>
      </w:pPr>
      <w:r>
        <w:t xml:space="preserve">XIII. Requested License Term and Conditions</w:t>
      </w:r>
    </w:p>
    <w:p>
      <w:pPr>
        <w:pStyle w:val="FirstParagraph"/>
      </w:pPr>
      <w:r>
        <w:t xml:space="preserve">The Applicant requests a specific license with the following term and conditions:</w:t>
      </w:r>
    </w:p>
    <w:p>
      <w:pPr>
        <w:pStyle w:val="Compact"/>
        <w:numPr>
          <w:ilvl w:val="0"/>
          <w:numId w:val="1011"/>
        </w:numPr>
      </w:pPr>
      <w:r>
        <w:rPr>
          <w:b/>
          <w:bCs/>
        </w:rPr>
        <w:t xml:space="preserve">Effective date:</w:t>
      </w:r>
      <w:r>
        <w:t xml:space="preserve"> </w:t>
      </w:r>
      <w:r>
        <w:t xml:space="preserve">September 1, 2024 (or the date of issuance, if later).</w:t>
      </w:r>
    </w:p>
    <w:p>
      <w:pPr>
        <w:pStyle w:val="Compact"/>
        <w:numPr>
          <w:ilvl w:val="0"/>
          <w:numId w:val="1011"/>
        </w:numPr>
      </w:pPr>
      <w:r>
        <w:rPr>
          <w:b/>
          <w:bCs/>
        </w:rPr>
        <w:t xml:space="preserve">Expiration date:</w:t>
      </w:r>
      <w:r>
        <w:t xml:space="preserve"> </w:t>
      </w:r>
      <w:r>
        <w:t xml:space="preserve">February 28, 2026, providing an 18-month window to complete all authorized shipments and training. If issuance occurs after September 1, 2024, the Applicant respectfully requests an 18-month term measured from the date of issuance.</w:t>
      </w:r>
    </w:p>
    <w:p>
      <w:pPr>
        <w:pStyle w:val="Compact"/>
        <w:numPr>
          <w:ilvl w:val="0"/>
          <w:numId w:val="1011"/>
        </w:numPr>
      </w:pPr>
      <w:r>
        <w:rPr>
          <w:b/>
          <w:bCs/>
        </w:rPr>
        <w:t xml:space="preserve">Authorized parties:</w:t>
      </w:r>
      <w:r>
        <w:t xml:space="preserve"> </w:t>
      </w:r>
      <w:r>
        <w:t xml:space="preserve">Meridian Biotech Solutions, Inc. (licensee); DCUH (end-user); Pinnacle Freight International, Inc. (U.S. freight forwarder); AMTW (Turkish transit warehouse); and a screened, non-SDN Syrian customs clearance agent (to be identified), or, if specifically authorized by OFAC, ARMPC subject to the conditions in Section VIII.A.</w:t>
      </w:r>
    </w:p>
    <w:p>
      <w:pPr>
        <w:pStyle w:val="Compact"/>
        <w:numPr>
          <w:ilvl w:val="0"/>
          <w:numId w:val="1011"/>
        </w:numPr>
      </w:pPr>
      <w:r>
        <w:rPr>
          <w:b/>
          <w:bCs/>
        </w:rPr>
        <w:t xml:space="preserve">Authorized goods and services:</w:t>
      </w:r>
      <w:r>
        <w:t xml:space="preserve"> </w:t>
      </w:r>
      <w:r>
        <w:t xml:space="preserve">500 CancerDetect RX-700 Reagent Kits; 4 CalibPro 3100 Calibration Units; and 40 hours of remote installation and calibration training services and associated technical data, as described in Sections IV.A and IV.B.</w:t>
      </w:r>
    </w:p>
    <w:p>
      <w:pPr>
        <w:pStyle w:val="Compact"/>
        <w:numPr>
          <w:ilvl w:val="0"/>
          <w:numId w:val="1011"/>
        </w:numPr>
      </w:pPr>
      <w:r>
        <w:rPr>
          <w:b/>
          <w:bCs/>
        </w:rPr>
        <w:t xml:space="preserve">Authorized shipping route:</w:t>
      </w:r>
      <w:r>
        <w:t xml:space="preserve"> </w:t>
      </w:r>
      <w:r>
        <w:t xml:space="preserve">As described in Section IV.G.</w:t>
      </w:r>
    </w:p>
    <w:p>
      <w:pPr>
        <w:pStyle w:val="Compact"/>
        <w:numPr>
          <w:ilvl w:val="0"/>
          <w:numId w:val="1011"/>
        </w:numPr>
      </w:pPr>
      <w:r>
        <w:rPr>
          <w:b/>
          <w:bCs/>
        </w:rPr>
        <w:t xml:space="preserve">Authorized payment channel:</w:t>
      </w:r>
      <w:r>
        <w:t xml:space="preserve"> </w:t>
      </w:r>
      <w:r>
        <w:t xml:space="preserve">Non-SDN-listed Syrian commercial bank or non-SDN-listed third-country financial institution to the Applicant’s account at Harborview National Bank, as described in Section IV.H; no routing through CBS or any SDN-listed or blocked institution.</w:t>
      </w:r>
    </w:p>
    <w:p>
      <w:pPr>
        <w:pStyle w:val="Compact"/>
        <w:numPr>
          <w:ilvl w:val="0"/>
          <w:numId w:val="1011"/>
        </w:numPr>
      </w:pPr>
      <w:r>
        <w:rPr>
          <w:b/>
          <w:bCs/>
        </w:rPr>
        <w:t xml:space="preserve">Prohibited parties:</w:t>
      </w:r>
      <w:r>
        <w:t xml:space="preserve"> </w:t>
      </w:r>
      <w:r>
        <w:t xml:space="preserve">No transaction involving any person on the SDN List or any entity in which an SDN-listed person holds a 50% or greater ownership interest, other than as specifically authorized by the license.</w:t>
      </w:r>
    </w:p>
    <w:p>
      <w:pPr>
        <w:pStyle w:val="Compact"/>
        <w:numPr>
          <w:ilvl w:val="0"/>
          <w:numId w:val="1011"/>
        </w:numPr>
      </w:pPr>
      <w:r>
        <w:rPr>
          <w:b/>
          <w:bCs/>
        </w:rPr>
        <w:t xml:space="preserve">No diversion:</w:t>
      </w:r>
      <w:r>
        <w:t xml:space="preserve"> </w:t>
      </w:r>
      <w:r>
        <w:t xml:space="preserve">Goods to be delivered solely to DCUH and not diverted, re-exported, or transferred to any other party without prior written OFAC authorization.</w:t>
      </w:r>
    </w:p>
    <w:p>
      <w:pPr>
        <w:pStyle w:val="Compact"/>
        <w:numPr>
          <w:ilvl w:val="0"/>
          <w:numId w:val="1011"/>
        </w:numPr>
      </w:pPr>
      <w:r>
        <w:rPr>
          <w:b/>
          <w:bCs/>
        </w:rPr>
        <w:t xml:space="preserve">Reporting:</w:t>
      </w:r>
      <w:r>
        <w:t xml:space="preserve"> </w:t>
      </w:r>
      <w:r>
        <w:t xml:space="preserve">Written reports to OFAC within 30 days of completion of each shipment, including proof of delivery, shipping documents, and confirmation of end-user receipt; and a final report upon completion of all authorized transactions.</w:t>
      </w:r>
    </w:p>
    <w:p>
      <w:pPr>
        <w:pStyle w:val="Compact"/>
        <w:numPr>
          <w:ilvl w:val="0"/>
          <w:numId w:val="1011"/>
        </w:numPr>
      </w:pPr>
      <w:r>
        <w:rPr>
          <w:b/>
          <w:bCs/>
        </w:rPr>
        <w:t xml:space="preserve">Record-keeping:</w:t>
      </w:r>
      <w:r>
        <w:t xml:space="preserve"> </w:t>
      </w:r>
      <w:r>
        <w:t xml:space="preserve">Records maintained for not less than five years in accordance with 31 C.F.R. § 501.601.</w:t>
      </w:r>
    </w:p>
    <w:p>
      <w:pPr>
        <w:pStyle w:val="Compact"/>
        <w:numPr>
          <w:ilvl w:val="0"/>
          <w:numId w:val="1011"/>
        </w:numPr>
      </w:pPr>
      <w:r>
        <w:rPr>
          <w:b/>
          <w:bCs/>
        </w:rPr>
        <w:t xml:space="preserve">EAR:</w:t>
      </w:r>
      <w:r>
        <w:t xml:space="preserve"> </w:t>
      </w:r>
      <w:r>
        <w:t xml:space="preserve">The license does not relieve the Applicant of any obligations under the EAR; the Applicant will obtain any required BIS authorization.</w:t>
      </w:r>
    </w:p>
    <w:p>
      <w:pPr>
        <w:pStyle w:val="Compact"/>
        <w:numPr>
          <w:ilvl w:val="0"/>
          <w:numId w:val="1011"/>
        </w:numPr>
      </w:pPr>
      <w:r>
        <w:rPr>
          <w:b/>
          <w:bCs/>
        </w:rPr>
        <w:t xml:space="preserve">Material changes:</w:t>
      </w:r>
      <w:r>
        <w:t xml:space="preserve"> </w:t>
      </w:r>
      <w:r>
        <w:t xml:space="preserve">Any material change in the facts or circumstances described in the application will be reported to OFAC promptly and may require amendment or reissuance of the license.</w:t>
      </w:r>
    </w:p>
    <w:bookmarkEnd w:id="47"/>
    <w:bookmarkStart w:id="48" w:name="X273706728d61816c57ddc209e8d352dcb16b8ea"/>
    <w:p>
      <w:pPr>
        <w:pStyle w:val="Heading2"/>
      </w:pPr>
      <w:r>
        <w:t xml:space="preserve">XIV. Reporting and Recordkeeping Commitments</w:t>
      </w:r>
    </w:p>
    <w:p>
      <w:pPr>
        <w:pStyle w:val="FirstParagraph"/>
      </w:pPr>
      <w:r>
        <w:t xml:space="preserve">The Applicant commits to comply with all reporting and recordkeeping conditions imposed by the license and with 31 C.F.R. § 501.601, including:</w:t>
      </w:r>
    </w:p>
    <w:p>
      <w:pPr>
        <w:pStyle w:val="Compact"/>
        <w:numPr>
          <w:ilvl w:val="0"/>
          <w:numId w:val="1012"/>
        </w:numPr>
      </w:pPr>
      <w:r>
        <w:t xml:space="preserve">Submission of a written report to OFAC within 30 days of the completion of each shipment, including proof of delivery, copies of shipping documents (bill of lading, commercial invoice, packing list, certificate of origin), cold-chain temperature data logs, and confirmation of end-user receipt.</w:t>
      </w:r>
    </w:p>
    <w:p>
      <w:pPr>
        <w:pStyle w:val="Compact"/>
        <w:numPr>
          <w:ilvl w:val="0"/>
          <w:numId w:val="1012"/>
        </w:numPr>
      </w:pPr>
      <w:r>
        <w:t xml:space="preserve">Submission of a report upon completion of the training services, including the names and qualifications of participating DCUH personnel and confirmation of curriculum delivery.</w:t>
      </w:r>
    </w:p>
    <w:p>
      <w:pPr>
        <w:pStyle w:val="Compact"/>
        <w:numPr>
          <w:ilvl w:val="0"/>
          <w:numId w:val="1012"/>
        </w:numPr>
      </w:pPr>
      <w:r>
        <w:t xml:space="preserve">Submission of a final report upon completion of all authorized transactions under the license.</w:t>
      </w:r>
    </w:p>
    <w:p>
      <w:pPr>
        <w:pStyle w:val="Compact"/>
        <w:numPr>
          <w:ilvl w:val="0"/>
          <w:numId w:val="1012"/>
        </w:numPr>
      </w:pPr>
      <w:r>
        <w:t xml:space="preserve">Maintenance of complete records of all transactions conducted pursuant to the license for not less than five years from the date of the last transaction.</w:t>
      </w:r>
    </w:p>
    <w:p>
      <w:pPr>
        <w:pStyle w:val="Compact"/>
        <w:numPr>
          <w:ilvl w:val="0"/>
          <w:numId w:val="1012"/>
        </w:numPr>
      </w:pPr>
      <w:r>
        <w:t xml:space="preserve">Prompt notification to OFAC of any material change in the facts or circumstances described in the application, including any change in the screening status of any transaction party.</w:t>
      </w:r>
    </w:p>
    <w:bookmarkEnd w:id="48"/>
    <w:bookmarkStart w:id="49" w:name="X5c5c3ef842c37d24e37c17860212c6096e05762"/>
    <w:p>
      <w:pPr>
        <w:pStyle w:val="Heading2"/>
      </w:pPr>
      <w:r>
        <w:t xml:space="preserve">XV. Exhibits and Supporting Documentation</w:t>
      </w:r>
    </w:p>
    <w:p>
      <w:pPr>
        <w:pStyle w:val="FirstParagraph"/>
      </w:pPr>
      <w:r>
        <w:t xml:space="preserve">The following exhibits are submitted in support of this application:</w:t>
      </w:r>
    </w:p>
    <w:p>
      <w:pPr>
        <w:pStyle w:val="Compact"/>
        <w:numPr>
          <w:ilvl w:val="0"/>
          <w:numId w:val="1013"/>
        </w:numPr>
      </w:pPr>
      <w:r>
        <w:rPr>
          <w:b/>
          <w:bCs/>
        </w:rPr>
        <w:t xml:space="preserve">Exhibit A</w:t>
      </w:r>
      <w:r>
        <w:t xml:space="preserve"> </w:t>
      </w:r>
      <w:r>
        <w:t xml:space="preserve">— End-user purchase order (PO-DCUH-2024-0743, dated June 17, 2024).</w:t>
      </w:r>
    </w:p>
    <w:p>
      <w:pPr>
        <w:pStyle w:val="Compact"/>
        <w:numPr>
          <w:ilvl w:val="0"/>
          <w:numId w:val="1013"/>
        </w:numPr>
      </w:pPr>
      <w:r>
        <w:rPr>
          <w:b/>
          <w:bCs/>
        </w:rPr>
        <w:t xml:space="preserve">Exhibit B</w:t>
      </w:r>
      <w:r>
        <w:t xml:space="preserve"> </w:t>
      </w:r>
      <w:r>
        <w:t xml:space="preserve">— Compliance screening memorandum (Margaret Dunleavy, Chief Compliance Officer, dated June 10, 2024).</w:t>
      </w:r>
    </w:p>
    <w:p>
      <w:pPr>
        <w:pStyle w:val="Compact"/>
        <w:numPr>
          <w:ilvl w:val="0"/>
          <w:numId w:val="1013"/>
        </w:numPr>
      </w:pPr>
      <w:r>
        <w:rPr>
          <w:b/>
          <w:bCs/>
        </w:rPr>
        <w:t xml:space="preserve">Exhibit C</w:t>
      </w:r>
      <w:r>
        <w:t xml:space="preserve"> </w:t>
      </w:r>
      <w:r>
        <w:t xml:space="preserve">— Shipping and logistics plan (Pinnacle Freight International, Inc., dated June 25, 2024).</w:t>
      </w:r>
    </w:p>
    <w:p>
      <w:pPr>
        <w:pStyle w:val="Compact"/>
        <w:numPr>
          <w:ilvl w:val="0"/>
          <w:numId w:val="1013"/>
        </w:numPr>
      </w:pPr>
      <w:r>
        <w:rPr>
          <w:b/>
          <w:bCs/>
        </w:rPr>
        <w:t xml:space="preserve">Exhibit D</w:t>
      </w:r>
      <w:r>
        <w:t xml:space="preserve"> </w:t>
      </w:r>
      <w:r>
        <w:t xml:space="preserve">— Product technical data sheets (CancerDetect RX-700 and CalibPro 3100; TDS-2024-0347, Rev. 03/2024).</w:t>
      </w:r>
    </w:p>
    <w:p>
      <w:pPr>
        <w:pStyle w:val="Compact"/>
        <w:numPr>
          <w:ilvl w:val="0"/>
          <w:numId w:val="1013"/>
        </w:numPr>
      </w:pPr>
      <w:r>
        <w:rPr>
          <w:b/>
          <w:bCs/>
        </w:rPr>
        <w:t xml:space="preserve">Exhibit E</w:t>
      </w:r>
      <w:r>
        <w:t xml:space="preserve"> </w:t>
      </w:r>
      <w:r>
        <w:t xml:space="preserve">— Prior OFAC Specific License No. SYR-2021-384712 (issued September 14, 2021).</w:t>
      </w:r>
    </w:p>
    <w:p>
      <w:pPr>
        <w:pStyle w:val="Compact"/>
        <w:numPr>
          <w:ilvl w:val="0"/>
          <w:numId w:val="1013"/>
        </w:numPr>
      </w:pPr>
      <w:r>
        <w:rPr>
          <w:b/>
          <w:bCs/>
        </w:rPr>
        <w:t xml:space="preserve">Exhibit F</w:t>
      </w:r>
      <w:r>
        <w:t xml:space="preserve"> </w:t>
      </w:r>
      <w:r>
        <w:t xml:space="preserve">— Graystone Compliance Partners LLC, OFAC Sanctions Compliance Program Audit, Executive Summary (September 29, 2023).</w:t>
      </w:r>
    </w:p>
    <w:p>
      <w:pPr>
        <w:pStyle w:val="Compact"/>
        <w:numPr>
          <w:ilvl w:val="0"/>
          <w:numId w:val="1013"/>
        </w:numPr>
      </w:pPr>
      <w:r>
        <w:rPr>
          <w:b/>
          <w:bCs/>
        </w:rPr>
        <w:t xml:space="preserve">Exhibit G</w:t>
      </w:r>
      <w:r>
        <w:t xml:space="preserve"> </w:t>
      </w:r>
      <w:r>
        <w:t xml:space="preserve">— WHO Syria Country Office, Comprehensive Health Needs Assessment: Syrian Arab Republic, 2024 Update, Section 4.7 (WHO-SYR/HNA/2024-01, January 2024).</w:t>
      </w:r>
    </w:p>
    <w:p>
      <w:pPr>
        <w:pStyle w:val="Compact"/>
        <w:numPr>
          <w:ilvl w:val="0"/>
          <w:numId w:val="1013"/>
        </w:numPr>
      </w:pPr>
      <w:r>
        <w:rPr>
          <w:b/>
          <w:bCs/>
        </w:rPr>
        <w:t xml:space="preserve">Exhibit H</w:t>
      </w:r>
      <w:r>
        <w:t xml:space="preserve"> </w:t>
      </w:r>
      <w:r>
        <w:t xml:space="preserve">— End-user certificate and non-diversion commitment (to be provided prior to shipment).</w:t>
      </w:r>
    </w:p>
    <w:p>
      <w:pPr>
        <w:pStyle w:val="Compact"/>
        <w:numPr>
          <w:ilvl w:val="0"/>
          <w:numId w:val="1013"/>
        </w:numPr>
      </w:pPr>
      <w:r>
        <w:rPr>
          <w:b/>
          <w:bCs/>
        </w:rPr>
        <w:t xml:space="preserve">Exhibit I</w:t>
      </w:r>
      <w:r>
        <w:t xml:space="preserve"> </w:t>
      </w:r>
      <w:r>
        <w:t xml:space="preserve">— Identification and screening results of the selected non-SDN remitting financial institution and (if applicable) the alternative customs clearance agent (to be provided prior to shipment).</w:t>
      </w:r>
    </w:p>
    <w:bookmarkEnd w:id="49"/>
    <w:bookmarkStart w:id="50" w:name="xvi.-certification-and-signature"/>
    <w:p>
      <w:pPr>
        <w:pStyle w:val="Heading2"/>
      </w:pPr>
      <w:r>
        <w:t xml:space="preserve">XVI. Certification and Signature</w:t>
      </w:r>
    </w:p>
    <w:p>
      <w:pPr>
        <w:pStyle w:val="FirstParagraph"/>
      </w:pPr>
      <w:r>
        <w:t xml:space="preserve">The Applicant certifies that the information set forth in this application is true, accurate, and complete to the best of the Applicant’s knowledge and belief, and that the Applicant will conduct the proposed transaction in accordance with the terms of any license issued by OFAC and with all applicable U.S. laws and regulations, including the Syrian Sanctions Regulations and the Export Administration Regulations. The Applicant understands that any false, incomplete, or misleading statement in this application may result in denial of the application, revocation of any license issued, and the imposition of civil or criminal penalties.</w:t>
      </w:r>
    </w:p>
    <w:p>
      <w:pPr>
        <w:pStyle w:val="BodyText"/>
      </w:pPr>
      <w:r>
        <w:br/>
      </w:r>
    </w:p>
    <w:p>
      <w:pPr>
        <w:pStyle w:val="BodyText"/>
      </w:pPr>
      <w:r>
        <w:rPr>
          <w:b/>
          <w:bCs/>
        </w:rPr>
        <w:t xml:space="preserve">MERIDIAN BIOTECH SOLUTIONS, INC.</w:t>
      </w:r>
    </w:p>
    <w:p>
      <w:pPr>
        <w:pStyle w:val="BodyText"/>
      </w:pPr>
      <w:r>
        <w:br/>
      </w:r>
    </w:p>
    <w:p>
      <w:pPr>
        <w:pStyle w:val="BodyText"/>
      </w:pPr>
      <w:r>
        <w:t xml:space="preserve">By: ___________________________</w:t>
      </w:r>
    </w:p>
    <w:p>
      <w:pPr>
        <w:pStyle w:val="BodyText"/>
      </w:pPr>
      <w:r>
        <w:t xml:space="preserve">Name: Jonathan D. Halsted</w:t>
      </w:r>
    </w:p>
    <w:p>
      <w:pPr>
        <w:pStyle w:val="BodyText"/>
      </w:pPr>
      <w:r>
        <w:t xml:space="preserve">Title: General Counsel</w:t>
      </w:r>
    </w:p>
    <w:p>
      <w:pPr>
        <w:pStyle w:val="BodyText"/>
      </w:pPr>
      <w:r>
        <w:t xml:space="preserve">Date: July 10, 2024</w:t>
      </w:r>
    </w:p>
    <w:p>
      <w:pPr>
        <w:pStyle w:val="BodyText"/>
      </w:pPr>
      <w:r>
        <w:br/>
      </w:r>
    </w:p>
    <w:p>
      <w:pPr>
        <w:pStyle w:val="BodyText"/>
      </w:pPr>
      <w:r>
        <w:rPr>
          <w:b/>
          <w:bCs/>
        </w:rPr>
        <w:t xml:space="preserve">Counsel for the Applicant:</w:t>
      </w:r>
    </w:p>
    <w:p>
      <w:pPr>
        <w:pStyle w:val="BodyText"/>
      </w:pPr>
      <w:r>
        <w:br/>
      </w:r>
    </w:p>
    <w:p>
      <w:pPr>
        <w:pStyle w:val="BodyText"/>
      </w:pPr>
      <w:r>
        <w:t xml:space="preserve">___________________________</w:t>
      </w:r>
    </w:p>
    <w:p>
      <w:pPr>
        <w:pStyle w:val="BodyText"/>
      </w:pPr>
      <w:r>
        <w:t xml:space="preserve">Catherine R. Bellingham, Partner</w:t>
      </w:r>
    </w:p>
    <w:p>
      <w:pPr>
        <w:pStyle w:val="BodyText"/>
      </w:pPr>
      <w:r>
        <w:t xml:space="preserve">Ashford &amp; Whitmore LLP</w:t>
      </w:r>
    </w:p>
    <w:p>
      <w:pPr>
        <w:pStyle w:val="BodyText"/>
      </w:pPr>
      <w:r>
        <w:br/>
      </w:r>
    </w:p>
    <w:p>
      <w:pPr>
        <w:pStyle w:val="BodyText"/>
      </w:pPr>
      <w:r>
        <w:t xml:space="preserve">___________________________</w:t>
      </w:r>
    </w:p>
    <w:p>
      <w:pPr>
        <w:pStyle w:val="BodyText"/>
      </w:pPr>
      <w:r>
        <w:t xml:space="preserve">David Osei-Mensah, Senior Associate</w:t>
      </w:r>
    </w:p>
    <w:p>
      <w:pPr>
        <w:pStyle w:val="BodyText"/>
      </w:pPr>
      <w:r>
        <w:t xml:space="preserve">Ashford &amp; Whitmore LLP</w:t>
      </w:r>
    </w:p>
    <w:p>
      <w:pPr>
        <w:pStyle w:val="BodyText"/>
      </w:pPr>
      <w:r>
        <w:br/>
      </w:r>
    </w:p>
    <w:p>
      <w:pPr>
        <w:pStyle w:val="BodyText"/>
      </w:pPr>
      <w:r>
        <w:rPr>
          <w:i/>
          <w:iCs/>
        </w:rPr>
        <w:t xml:space="preserve">This application is submitted on behalf of Meridian Biotech Solutions, Inc. by Ashford &amp; Whitmore LLP. Communications regarding this application should be directed to Catherine R. Bellingham or David Osei-Mensah, Ashford &amp; Whitmore LLP, 1700 K Street NW, Suite 950, Washington, DC 20006.</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Specific License — Proposed Export of Cancer Diagnostic Products and Related Training Services to Damascus Central University Hospital, Syria</dc:title>
  <dc:creator/>
  <cp:keywords/>
  <dcterms:created xsi:type="dcterms:W3CDTF">2026-06-26T23:42:34Z</dcterms:created>
  <dcterms:modified xsi:type="dcterms:W3CDTF">2026-06-26T23:42:34Z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Submitted to the U.S. Department of the Treasury, Office of Foreign Assets Control, Licensing Division</vt:lpwstr>
  </property>
</Properties>
</file>