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Jonathan D. Halsted, General Counsel, Meridian Biotech Solutions, Inc.</w:t>
      </w:r>
      <w:r>
        <w:t xml:space="preserve"> </w:t>
      </w:r>
      <w:r>
        <w:t xml:space="preserve">Margaret</w:t>
      </w:r>
      <w:r>
        <w:t xml:space="preserve"> </w:t>
      </w:r>
      <w:r>
        <w:t xml:space="preserve">“</w:t>
      </w:r>
      <w:r>
        <w:t xml:space="preserve">Peggy</w:t>
      </w:r>
      <w:r>
        <w:t xml:space="preserve">”</w:t>
      </w:r>
      <w:r>
        <w:t xml:space="preserve"> </w:t>
      </w:r>
      <w:r>
        <w:t xml:space="preserve">Dunleavy, Chief Compliance Officer, Meridian Biotech Solutions, Inc.</w:t>
      </w:r>
    </w:p>
    <w:p>
      <w:pPr>
        <w:pStyle w:val="BodyText"/>
      </w:pPr>
      <w:r>
        <w:rPr>
          <w:b/>
          <w:bCs/>
        </w:rPr>
        <w:t xml:space="preserve">FROM:</w:t>
      </w:r>
      <w:r>
        <w:t xml:space="preserve"> </w:t>
      </w:r>
      <w:r>
        <w:t xml:space="preserve">Catherine R. Bellingham, Partner</w:t>
      </w:r>
      <w:r>
        <w:t xml:space="preserve"> </w:t>
      </w:r>
      <w:r>
        <w:t xml:space="preserve">David Osei-Mensah, Senior Associate</w:t>
      </w:r>
      <w:r>
        <w:t xml:space="preserve"> </w:t>
      </w:r>
      <w:r>
        <w:t xml:space="preserve">Ashford &amp; Whitmore LLP</w:t>
      </w:r>
    </w:p>
    <w:p>
      <w:pPr>
        <w:pStyle w:val="BodyText"/>
      </w:pPr>
      <w:r>
        <w:rPr>
          <w:b/>
          <w:bCs/>
        </w:rPr>
        <w:t xml:space="preserve">DATE:</w:t>
      </w:r>
      <w:r>
        <w:t xml:space="preserve"> </w:t>
      </w:r>
      <w:r>
        <w:t xml:space="preserve">June 28, 2024</w:t>
      </w:r>
    </w:p>
    <w:p>
      <w:pPr>
        <w:pStyle w:val="BodyText"/>
      </w:pPr>
      <w:r>
        <w:rPr>
          <w:b/>
          <w:bCs/>
        </w:rPr>
        <w:t xml:space="preserve">RE:</w:t>
      </w:r>
      <w:r>
        <w:t xml:space="preserve"> </w:t>
      </w:r>
      <w:r>
        <w:t xml:space="preserve">Issues Analysis — Proposed OFAC Specific License Application for Export of CancerDetect RX-700 Reagent Kits, CalibPro 3100 Calibration Units, and Remote Training Services to Damascus Central University Hospital, Damascus, Syria</w:t>
      </w:r>
    </w:p>
    <w:p>
      <w:pPr>
        <w:pStyle w:val="BodyText"/>
      </w:pPr>
      <w:r>
        <w:rPr>
          <w:b/>
          <w:bCs/>
        </w:rPr>
        <w:t xml:space="preserve">PRIVILEGE NOTE:</w:t>
      </w:r>
      <w:r>
        <w:t xml:space="preserve"> </w:t>
      </w:r>
      <w:r>
        <w:t xml:space="preserve">This memorandum is prepared by outside counsel in anticipation of providing legal advice and is protected by the attorney-client privilege and the attorney work product doctrine. It should not be distributed outside the named recipients without the prior written consent of Ashford &amp; Whitmore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You have asked us to analyze the proposed export by Meridian Biotech Solutions, Inc. (</w:t>
      </w:r>
      <w:r>
        <w:t xml:space="preserve">“</w:t>
      </w:r>
      <w:r>
        <w:t xml:space="preserve">Meridian</w:t>
      </w:r>
      <w:r>
        <w:t xml:space="preserve">”</w:t>
      </w:r>
      <w:r>
        <w:t xml:space="preserve">) of cancer diagnostic supplies and related training services to Damascus Central University Hospital (</w:t>
      </w:r>
      <w:r>
        <w:t xml:space="preserve">“</w:t>
      </w:r>
      <w:r>
        <w:t xml:space="preserve">DCUH</w:t>
      </w:r>
      <w:r>
        <w:t xml:space="preserve">”</w:t>
      </w:r>
      <w:r>
        <w:t xml:space="preserve">) in Damascus, Syria, and to prepare an OFAC specific license application. The transaction is humanitarian in character and is supported by a strong factual record, including a January 2024 World Health Organization needs assessment that identifies cancer diagnostics as a critical gap and names DCUH specifically, and Meridian’s successful prior administration of OFAC Specific License SYR-2021-384712.</w:t>
      </w:r>
    </w:p>
    <w:p>
      <w:pPr>
        <w:pStyle w:val="BodyText"/>
      </w:pPr>
      <w:r>
        <w:t xml:space="preserve">The transaction is, however, more complex than the client’s June 24, 2024 summary email suggests. Meridian’s Compliance Department screening (completed June 3, 2024; memorandum dated June 10, 2024) identified two SDN-related exposures that the client’s email did not flag: (1) a 30% shareholder of the Syrian customs clearance agent named in the purchase order is designated on the SDN List, and (2) the remitting bank named in the purchase order is itself designated on the SDN List. In addition, the end-user is an instrumentality of the comprehensively sanctioned Government of Syria, the transaction involves a multi-party transshipment chain and the transfer of technical data through remote training, and Meridian’s September 2023 compliance audit identified two recommendations (end-use monitoring and embedded-software risk documentation) that should be addressed in connection with this application.</w:t>
      </w:r>
    </w:p>
    <w:p>
      <w:pPr>
        <w:pStyle w:val="BodyText"/>
      </w:pPr>
      <w:r>
        <w:t xml:space="preserve">We recommend that Meridian proceed with the filing of a specific license application, but on a restructured basis that (a) eliminates the SDN-listed remitting bank by routing payment through a non-SDN Syrian commercial bank (as authorized under the prior license), (b) removes the SDN-exposed customs agent from the transaction structure, (c) expressly requests authorization for the governmental end-user and the remote training/technology transfer, and (d) incorporates an end-use monitoring plan. The application should disclose the SDN-related findings fully and transparently. We have prepared the application on this basis (separately delivered).</w:t>
      </w:r>
    </w:p>
    <w:p>
      <w:pPr>
        <w:pStyle w:val="BodyText"/>
      </w:pPr>
      <w:r>
        <w:t xml:space="preserve">This memorandum enumerates the issues we have identified, each of which is addressed in the application. The issues are organized by category. Each issue is a distinct matter requiring attention; they should not be consolidated. In addition to the SDN, transaction-structure, export-control, logistics, compliance-program, merits, and client-communication issues, the memorandum addresses (i) the determination that a specific license (rather than a general license) is required, (ii) the Compliance Department’s</w:t>
      </w:r>
      <w:r>
        <w:t xml:space="preserve"> </w:t>
      </w:r>
      <w:r>
        <w:t xml:space="preserve">“</w:t>
      </w:r>
      <w:r>
        <w:t xml:space="preserve">Moderate-to-High</w:t>
      </w:r>
      <w:r>
        <w:t xml:space="preserve">”</w:t>
      </w:r>
      <w:r>
        <w:t xml:space="preserve"> </w:t>
      </w:r>
      <w:r>
        <w:t xml:space="preserve">overall risk assessment, (iii) a product-description discrepancy in the compliance record (the screening memorandum describes the RX-700 as a serum/plasma assay, whereas the datasheet and purchase order describe it as an IHC FFPE-tissue staining kit), and (iv) the remote training’s connectivity and on-site equipment prerequisites, which are unconfirmed given Syria’s degraded infrastructure.</w:t>
      </w:r>
    </w:p>
    <w:p>
      <w:r>
        <w:pict>
          <v:rect style="width:0;height:1.5pt" o:hralign="center" o:hrstd="t" o:hr="t"/>
        </w:pict>
      </w:r>
    </w:p>
    <w:bookmarkEnd w:id="20"/>
    <w:bookmarkStart w:id="21" w:name="ii.-transaction-overview"/>
    <w:p>
      <w:pPr>
        <w:pStyle w:val="Heading2"/>
      </w:pPr>
      <w:r>
        <w:t xml:space="preserve">II. TRANSACTION OVERVIEW</w:t>
      </w:r>
    </w:p>
    <w:p>
      <w:pPr>
        <w:pStyle w:val="Compact"/>
        <w:numPr>
          <w:ilvl w:val="0"/>
          <w:numId w:val="1001"/>
        </w:numPr>
      </w:pPr>
      <w:r>
        <w:rPr>
          <w:b/>
          <w:bCs/>
        </w:rPr>
        <w:t xml:space="preserve">Applicant/Exporter:</w:t>
      </w:r>
      <w:r>
        <w:t xml:space="preserve"> </w:t>
      </w:r>
      <w:r>
        <w:t xml:space="preserve">Meridian Biotech Solutions, Inc. (Delaware C-Corporation), 4200 Lakeshore Boulevard, Suite 800, Cambridge, MA 02142. EIN 47-3928104; DUNS 08-471-3920.</w:t>
      </w:r>
    </w:p>
    <w:p>
      <w:pPr>
        <w:pStyle w:val="Compact"/>
        <w:numPr>
          <w:ilvl w:val="0"/>
          <w:numId w:val="1001"/>
        </w:numPr>
      </w:pPr>
      <w:r>
        <w:rPr>
          <w:b/>
          <w:bCs/>
        </w:rPr>
        <w:t xml:space="preserve">End-User:</w:t>
      </w:r>
      <w:r>
        <w:t xml:space="preserve"> </w:t>
      </w:r>
      <w:r>
        <w:t xml:space="preserve">Damascus Central University Hospital (DCUH), Al-Mazzeh Highway, Building 7, Damascus, Syria. Public teaching hospital affiliated with the University of Damascus, Faculty of Medicine; under the Syrian Ministry of Health. Hospital Director: Dr. Faisal Kareem Al-Masri. 140-bed oncology ward; ~3,800 tissue biopsies per year.</w:t>
      </w:r>
    </w:p>
    <w:p>
      <w:pPr>
        <w:pStyle w:val="Compact"/>
        <w:numPr>
          <w:ilvl w:val="0"/>
          <w:numId w:val="1001"/>
        </w:numPr>
      </w:pPr>
      <w:r>
        <w:rPr>
          <w:b/>
          <w:bCs/>
        </w:rPr>
        <w:t xml:space="preserve">Goods/Services and Value:</w:t>
      </w:r>
    </w:p>
    <w:p>
      <w:pPr>
        <w:pStyle w:val="Compact"/>
        <w:numPr>
          <w:ilvl w:val="1"/>
          <w:numId w:val="1002"/>
        </w:numPr>
      </w:pPr>
      <w:r>
        <w:t xml:space="preserve">CancerDetect RX-700 Reagent Kit — 500 kits @ $2,340 = $1,170,000 (IHC staining for HER2/ER/PR; FDA 510(k) K213847; validated for Ventana BenchMark XT; EAR99; HTS 3822.19.5000; cold-chain 2–8°C; 18-month shelf life).</w:t>
      </w:r>
    </w:p>
    <w:p>
      <w:pPr>
        <w:pStyle w:val="Compact"/>
        <w:numPr>
          <w:ilvl w:val="1"/>
          <w:numId w:val="1002"/>
        </w:numPr>
      </w:pPr>
      <w:r>
        <w:t xml:space="preserve">CalibPro 3100 Calibration Unit — 4 units @ $18,750 = $75,000 (benchtop calibration instrument; 220V/50Hz; 23 kg/unit; embedded firmware v4.2.1 with AES-128 encryption below EAR de minimis; EAR99; HTS 9027.80.4530; USB 2.0 only, no wireless).</w:t>
      </w:r>
    </w:p>
    <w:p>
      <w:pPr>
        <w:pStyle w:val="Compact"/>
        <w:numPr>
          <w:ilvl w:val="1"/>
          <w:numId w:val="1002"/>
        </w:numPr>
      </w:pPr>
      <w:r>
        <w:t xml:space="preserve">Remote Installation &amp; Calibration Training — 40 hours over 8 weeks, flat fee $35,000 (secure video link from Cambridge; no travel to Syria; six modules).</w:t>
      </w:r>
    </w:p>
    <w:p>
      <w:pPr>
        <w:pStyle w:val="Compact"/>
        <w:numPr>
          <w:ilvl w:val="1"/>
          <w:numId w:val="1002"/>
        </w:numPr>
      </w:pPr>
      <w:r>
        <w:rPr>
          <w:b/>
          <w:bCs/>
        </w:rPr>
        <w:t xml:space="preserve">Total: $1,280,000.</w:t>
      </w:r>
    </w:p>
    <w:p>
      <w:pPr>
        <w:pStyle w:val="Compact"/>
        <w:numPr>
          <w:ilvl w:val="0"/>
          <w:numId w:val="1001"/>
        </w:numPr>
      </w:pPr>
      <w:r>
        <w:rPr>
          <w:b/>
          <w:bCs/>
        </w:rPr>
        <w:t xml:space="preserve">Requested License Period:</w:t>
      </w:r>
      <w:r>
        <w:t xml:space="preserve"> </w:t>
      </w:r>
      <w:r>
        <w:t xml:space="preserve">September 1, 2024 (or date of issuance, whichever is later) through February 28, 2026.</w:t>
      </w:r>
    </w:p>
    <w:p>
      <w:pPr>
        <w:pStyle w:val="Compact"/>
        <w:numPr>
          <w:ilvl w:val="0"/>
          <w:numId w:val="1001"/>
        </w:numPr>
      </w:pPr>
      <w:r>
        <w:rPr>
          <w:b/>
          <w:bCs/>
        </w:rPr>
        <w:t xml:space="preserve">Source Documents Reviewed:</w:t>
      </w:r>
      <w:r>
        <w:t xml:space="preserve"> </w:t>
      </w:r>
      <w:r>
        <w:t xml:space="preserve">Client email (June 24, 2024); DCUH Purchase Order PO-DCUH-2024-0743 (June 17, 2024); Compliance Screening Memorandum (June 10, 2024); Graystone Audit Executive Summary (September 29, 2023); Prior OFAC License SYR-2021-384712; Combined Product Technical Data Sheets (TDS-2024-0347, March 15, 2024); Pinnacle Shipping &amp; Logistics Plan (June 25, 2024); WHO Syria Needs Assessment, Section 4.7 (January 2024).</w:t>
      </w:r>
    </w:p>
    <w:p>
      <w:r>
        <w:pict>
          <v:rect style="width:0;height:1.5pt" o:hralign="center" o:hrstd="t" o:hr="t"/>
        </w:pict>
      </w:r>
    </w:p>
    <w:bookmarkEnd w:id="21"/>
    <w:bookmarkStart w:id="22" w:name="iii.-applicable-legal-framework"/>
    <w:p>
      <w:pPr>
        <w:pStyle w:val="Heading2"/>
      </w:pPr>
      <w:r>
        <w:t xml:space="preserve">III. APPLICABLE LEGAL FRAMEWORK</w:t>
      </w:r>
    </w:p>
    <w:p>
      <w:pPr>
        <w:pStyle w:val="Compact"/>
        <w:numPr>
          <w:ilvl w:val="0"/>
          <w:numId w:val="1003"/>
        </w:numPr>
      </w:pPr>
      <w:r>
        <w:rPr>
          <w:b/>
          <w:bCs/>
        </w:rPr>
        <w:t xml:space="preserve">Syrian Sanctions Regulations, 31 C.F.R. Part 542 (SSR).</w:t>
      </w:r>
      <w:r>
        <w:t xml:space="preserve"> </w:t>
      </w:r>
      <w:r>
        <w:t xml:space="preserve">Comprehensive sanctions program covering Syria.</w:t>
      </w:r>
    </w:p>
    <w:p>
      <w:pPr>
        <w:pStyle w:val="Compact"/>
        <w:numPr>
          <w:ilvl w:val="0"/>
          <w:numId w:val="1003"/>
        </w:numPr>
      </w:pPr>
      <w:r>
        <w:rPr>
          <w:b/>
          <w:bCs/>
        </w:rPr>
        <w:t xml:space="preserve">Executive Order 13582 (August 17, 2011).</w:t>
      </w:r>
      <w:r>
        <w:t xml:space="preserve"> </w:t>
      </w:r>
      <w:r>
        <w:t xml:space="preserve">Blocks the Government of Syria and its instrumentalities; prohibits transactions therewith.</w:t>
      </w:r>
    </w:p>
    <w:p>
      <w:pPr>
        <w:pStyle w:val="Compact"/>
        <w:numPr>
          <w:ilvl w:val="0"/>
          <w:numId w:val="1003"/>
        </w:numPr>
      </w:pPr>
      <w:r>
        <w:rPr>
          <w:b/>
          <w:bCs/>
        </w:rPr>
        <w:t xml:space="preserve">OFAC 50 Percent Rule.</w:t>
      </w:r>
      <w:r>
        <w:t xml:space="preserve"> </w:t>
      </w:r>
      <w:r>
        <w:t xml:space="preserve">An entity is blocked where SDN-listed persons own, individually or in the aggregate, 50% or more of the entity.</w:t>
      </w:r>
    </w:p>
    <w:p>
      <w:pPr>
        <w:pStyle w:val="Compact"/>
        <w:numPr>
          <w:ilvl w:val="0"/>
          <w:numId w:val="1003"/>
        </w:numPr>
      </w:pPr>
      <w:r>
        <w:rPr>
          <w:b/>
          <w:bCs/>
        </w:rPr>
        <w:t xml:space="preserve">Export Administration Regulations, 15 C.F.R. Parts 730–774 (EAR).</w:t>
      </w:r>
      <w:r>
        <w:t xml:space="preserve"> </w:t>
      </w:r>
      <w:r>
        <w:t xml:space="preserve">Administered by BIS. EAR99 items remain subject to the EAR; an OFAC license does not relieve EAR obligations.</w:t>
      </w:r>
    </w:p>
    <w:p>
      <w:pPr>
        <w:pStyle w:val="Compact"/>
        <w:numPr>
          <w:ilvl w:val="0"/>
          <w:numId w:val="1003"/>
        </w:numPr>
      </w:pPr>
      <w:r>
        <w:rPr>
          <w:b/>
          <w:bCs/>
        </w:rPr>
        <w:t xml:space="preserve">31 C.F.R. § 501.601.</w:t>
      </w:r>
      <w:r>
        <w:t xml:space="preserve"> </w:t>
      </w:r>
      <w:r>
        <w:t xml:space="preserve">Five-year recordkeeping requirement.</w:t>
      </w:r>
    </w:p>
    <w:p>
      <w:pPr>
        <w:pStyle w:val="Compact"/>
        <w:numPr>
          <w:ilvl w:val="0"/>
          <w:numId w:val="1003"/>
        </w:numPr>
      </w:pPr>
      <w:r>
        <w:rPr>
          <w:b/>
          <w:bCs/>
        </w:rPr>
        <w:t xml:space="preserve">OFAC</w:t>
      </w:r>
      <w:r>
        <w:rPr>
          <w:b/>
          <w:bCs/>
        </w:rPr>
        <w:t xml:space="preserve"> </w:t>
      </w:r>
      <w:r>
        <w:rPr>
          <w:b/>
          <w:bCs/>
        </w:rPr>
        <w:t xml:space="preserve">“</w:t>
      </w:r>
      <w:r>
        <w:rPr>
          <w:b/>
          <w:bCs/>
        </w:rPr>
        <w:t xml:space="preserve">A Framework for OFAC Compliance Commitments</w:t>
      </w:r>
      <w:r>
        <w:rPr>
          <w:b/>
          <w:bCs/>
        </w:rPr>
        <w:t xml:space="preserve">”</w:t>
      </w:r>
      <w:r>
        <w:rPr>
          <w:b/>
          <w:bCs/>
        </w:rPr>
        <w:t xml:space="preserve"> </w:t>
      </w:r>
      <w:r>
        <w:rPr>
          <w:b/>
          <w:bCs/>
        </w:rPr>
        <w:t xml:space="preserve">(May 2019).</w:t>
      </w:r>
      <w:r>
        <w:t xml:space="preserve"> </w:t>
      </w:r>
      <w:r>
        <w:t xml:space="preserve">Benchmark for the compliance program description.</w:t>
      </w:r>
    </w:p>
    <w:p>
      <w:r>
        <w:pict>
          <v:rect style="width:0;height:1.5pt" o:hralign="center" o:hrstd="t" o:hr="t"/>
        </w:pict>
      </w:r>
    </w:p>
    <w:bookmarkEnd w:id="22"/>
    <w:bookmarkStart w:id="31" w:name="iv.-issues-and-recommended-actions"/>
    <w:p>
      <w:pPr>
        <w:pStyle w:val="Heading2"/>
      </w:pPr>
      <w:r>
        <w:t xml:space="preserve">IV. ISSUES AND RECOMMENDED ACTIONS</w:t>
      </w:r>
    </w:p>
    <w:bookmarkStart w:id="23" w:name="a.-sdn-and-restricted-party-issues"/>
    <w:p>
      <w:pPr>
        <w:pStyle w:val="Heading3"/>
      </w:pPr>
      <w:r>
        <w:t xml:space="preserve">A. SDN and Restricted-Party Issues</w:t>
      </w:r>
    </w:p>
    <w:p>
      <w:pPr>
        <w:pStyle w:val="FirstParagraph"/>
      </w:pPr>
      <w:r>
        <w:rPr>
          <w:b/>
          <w:bCs/>
        </w:rPr>
        <w:t xml:space="preserve">Issue 1 — SDN-Listed Shareholder of the Syrian Customs Agent (Samir Daoud Khoury).</w:t>
      </w:r>
      <w:r>
        <w:t xml:space="preserve"> </w:t>
      </w:r>
      <w:r>
        <w:t xml:space="preserve">Meridian’s enhanced beneficial ownership screening identified that Samir Daoud Khoury holds a 30% ownership interest in Al-Rashid Medical Procurement Company (ARMPC), the customs clearance and import logistics agent named in the DCUH purchase order. Mr. Khoury is designated on the SDN List (added April 15, 2024; basis: acting on behalf of a sanctioned Syrian military procurement network; DOB March 12, 1971; Syrian nationality; Passport No. S-0048712). ARMPC itself and its Managing Director, Tariq Nabil Hammoud, are not listed. Under OFAC’s 50 Percent Rule, ARMPC is not automatically blocked because Mr. Khoury’s stake is below 50%. Nonetheless, the involvement of an SDN-listed shareholder at any ownership level presents material compliance risk and must be disclosed to OFAC.</w:t>
      </w:r>
      <w:r>
        <w:t xml:space="preserve"> </w:t>
      </w:r>
      <w:r>
        <w:rPr>
          <w:i/>
          <w:iCs/>
        </w:rPr>
        <w:t xml:space="preserve">Recommendation:</w:t>
      </w:r>
      <w:r>
        <w:t xml:space="preserve"> </w:t>
      </w:r>
      <w:r>
        <w:t xml:space="preserve">Remove ARMPC from the transaction structure; require DCUH to designate a replacement customs clearance and final-delivery agent that screens clean (including beneficial ownership) and that is disclosed to OFAC prior to shipment; request that the license prohibit involvement of ARMPC, Mr. Khoury, and any SDN-listed or 50%-blocked person. The application discloses this finding and the restructuring in Part IX.</w:t>
      </w:r>
    </w:p>
    <w:p>
      <w:pPr>
        <w:pStyle w:val="BodyText"/>
      </w:pPr>
      <w:r>
        <w:rPr>
          <w:b/>
          <w:bCs/>
        </w:rPr>
        <w:t xml:space="preserve">Issue 2 — SDN-Listed Remitting Bank (Central Bank of Calverley).</w:t>
      </w:r>
      <w:r>
        <w:t xml:space="preserve"> </w:t>
      </w:r>
      <w:r>
        <w:t xml:space="preserve">The DCUH purchase order specifies the Central Bank of Calverley (CBS) as the remitting bank for the 100% advance payment. CBS is designated on the SDN List (added August 10, 2011, pursuant to E.O. 13582). Payment routed through CBS would constitute a prohibited transaction with a blocked person; no U.S. financial institution may process such a transfer absent specific authorization, and any funds received would be subject to blocking.</w:t>
      </w:r>
      <w:r>
        <w:t xml:space="preserve"> </w:t>
      </w:r>
      <w:r>
        <w:rPr>
          <w:i/>
          <w:iCs/>
        </w:rPr>
        <w:t xml:space="preserve">Recommendation:</w:t>
      </w:r>
      <w:r>
        <w:t xml:space="preserve"> </w:t>
      </w:r>
      <w:r>
        <w:t xml:space="preserve">Do not accept or process any payment through CBS. Restructure payment to flow through a non-SDN-listed Syrian commercial bank (to be screened and disclosed to OFAC), mirroring the payment authorization under the prior license (which expressly prohibited routing through CBS). Request that the license authorize payment only from a non-SDN Syrian commercial bank and prohibit routing through CBS or any SDN-listed institution. Addressed in application Part VIII.</w:t>
      </w:r>
    </w:p>
    <w:p>
      <w:pPr>
        <w:pStyle w:val="BodyText"/>
      </w:pPr>
      <w:r>
        <w:rPr>
          <w:b/>
          <w:bCs/>
        </w:rPr>
        <w:t xml:space="preserve">Issue 3 — Governmental End-User (DCUH as Instrumentality of the Government of Syria).</w:t>
      </w:r>
      <w:r>
        <w:t xml:space="preserve"> </w:t>
      </w:r>
      <w:r>
        <w:t xml:space="preserve">DCUH is a public teaching hospital operating under the administrative authority and budgetary oversight of the Syrian Ministry of Health and is therefore an instrumentality of the Government of Syria, which is comprehensively sanctioned under E.O. 13582 and the SSR. DCUH is not independently SDN-listed, but the transaction is prohibited absent specific authorization because of this governmental nexus.</w:t>
      </w:r>
      <w:r>
        <w:t xml:space="preserve"> </w:t>
      </w:r>
      <w:r>
        <w:rPr>
          <w:i/>
          <w:iCs/>
        </w:rPr>
        <w:t xml:space="preserve">Recommendation:</w:t>
      </w:r>
      <w:r>
        <w:t xml:space="preserve"> </w:t>
      </w:r>
      <w:r>
        <w:t xml:space="preserve">Request specific license authorization to engage in the transaction with DCUH as a governmental end-user, emphasizing the humanitarian character of the goods and OFAC’s historical willingness to license humanitarian medical transactions for governmental end-users in Syria. Addressed in application Parts II and V.</w:t>
      </w:r>
    </w:p>
    <w:p>
      <w:pPr>
        <w:pStyle w:val="BodyText"/>
      </w:pPr>
      <w:r>
        <w:rPr>
          <w:b/>
          <w:bCs/>
        </w:rPr>
        <w:t xml:space="preserve">Issue 4 — Syrian Ministry of Health Nexus.</w:t>
      </w:r>
      <w:r>
        <w:t xml:space="preserve"> </w:t>
      </w:r>
      <w:r>
        <w:t xml:space="preserve">The Syrian Ministry of Health is not independently SDN-listed, but as a ministry of the Government of Syria it falls within the scope of E.O. 13582. The transaction indirectly involves the Ministry because DCUH operates under its administrative authority and budgetary oversight.</w:t>
      </w:r>
      <w:r>
        <w:t xml:space="preserve"> </w:t>
      </w:r>
      <w:r>
        <w:rPr>
          <w:i/>
          <w:iCs/>
        </w:rPr>
        <w:t xml:space="preserve">Recommendation:</w:t>
      </w:r>
      <w:r>
        <w:t xml:space="preserve"> </w:t>
      </w:r>
      <w:r>
        <w:t xml:space="preserve">Request that the license authorize the indirect governmental nexus to the extent necessary to effect the humanitarian transaction. Disclosed in application Part V.3.</w:t>
      </w:r>
    </w:p>
    <w:bookmarkEnd w:id="23"/>
    <w:bookmarkStart w:id="24" w:name="X22e9f28748078857926be5b7b1b968d6d3b730f"/>
    <w:p>
      <w:pPr>
        <w:pStyle w:val="Heading3"/>
      </w:pPr>
      <w:r>
        <w:t xml:space="preserve">B. Transaction Structure and Payment Issues</w:t>
      </w:r>
    </w:p>
    <w:p>
      <w:pPr>
        <w:pStyle w:val="FirstParagraph"/>
      </w:pPr>
      <w:r>
        <w:rPr>
          <w:b/>
          <w:bCs/>
        </w:rPr>
        <w:t xml:space="preserve">Issue 5 — Payment Structure and Advance-Payment Timing Risk.</w:t>
      </w:r>
      <w:r>
        <w:t xml:space="preserve"> </w:t>
      </w:r>
      <w:r>
        <w:t xml:space="preserve">The purchase order requires 100% advance payment remitted no later than 15 business days prior to shipment, drawn on the SDN-listed CBS. Even after restructuring to a non-SDN bank, the advance-payment structure means funds will be received before shipment; if the remitting bank or account is later found to have a sanctions nexus, or if the license conditions are not satisfied, Meridian could receive blocked funds.</w:t>
      </w:r>
      <w:r>
        <w:t xml:space="preserve"> </w:t>
      </w:r>
      <w:r>
        <w:rPr>
          <w:i/>
          <w:iCs/>
        </w:rPr>
        <w:t xml:space="preserve">Recommendation:</w:t>
      </w:r>
      <w:r>
        <w:t xml:space="preserve"> </w:t>
      </w:r>
      <w:r>
        <w:t xml:space="preserve">Confirm screening of the replacement remitting bank and the source account before accepting payment; condition acceptance of funds on license issuance; document the screening and retain records under 31 C.F.R. § 501.601. Addressed in application Part VIII.</w:t>
      </w:r>
    </w:p>
    <w:p>
      <w:pPr>
        <w:pStyle w:val="BodyText"/>
      </w:pPr>
      <w:r>
        <w:rPr>
          <w:b/>
          <w:bCs/>
        </w:rPr>
        <w:t xml:space="preserve">Issue 6 — ARMPC Removal and Substitution Feasibility.</w:t>
      </w:r>
      <w:r>
        <w:t xml:space="preserve"> </w:t>
      </w:r>
      <w:r>
        <w:t xml:space="preserve">Removing ARMPC requires identifying an alternative Syrian customs clearance and final-delivery agent without sanctions exposure. The Bab al-Hawa border crossing logistics and in-country delivery to DCUH depend on a competent Syrian-side agent. If no clean agent can be identified, the transaction may not be feasible as structured.</w:t>
      </w:r>
      <w:r>
        <w:t xml:space="preserve"> </w:t>
      </w:r>
      <w:r>
        <w:rPr>
          <w:i/>
          <w:iCs/>
        </w:rPr>
        <w:t xml:space="preserve">Recommendation:</w:t>
      </w:r>
      <w:r>
        <w:t xml:space="preserve"> </w:t>
      </w:r>
      <w:r>
        <w:t xml:space="preserve">Task Meridian/DCUH with identifying and screening a replacement agent promptly; if none is available, evaluate whether to seek OFAC guidance or restructure delivery. Do not file the application until a viable clean-agent pathway is identified or the application expressly requests OFAC’s guidance on this point. Flagged in application Part IX.</w:t>
      </w:r>
    </w:p>
    <w:p>
      <w:pPr>
        <w:pStyle w:val="BodyText"/>
      </w:pPr>
      <w:r>
        <w:rPr>
          <w:b/>
          <w:bCs/>
        </w:rPr>
        <w:t xml:space="preserve">Issue 7 — Purchase Order Not Yet Accepted by Meridian.</w:t>
      </w:r>
      <w:r>
        <w:t xml:space="preserve"> </w:t>
      </w:r>
      <w:r>
        <w:t xml:space="preserve">The purchase order (PO-DCUH-2024-0743) is, as of the date of this memorandum, an offer by DCUH that has not been accepted by Meridian (the Seller signature block is blank). This presents a window to restructure the transaction before it becomes binding.</w:t>
      </w:r>
      <w:r>
        <w:t xml:space="preserve"> </w:t>
      </w:r>
      <w:r>
        <w:rPr>
          <w:i/>
          <w:iCs/>
        </w:rPr>
        <w:t xml:space="preserve">Recommendation:</w:t>
      </w:r>
      <w:r>
        <w:t xml:space="preserve"> </w:t>
      </w:r>
      <w:r>
        <w:t xml:space="preserve">Do not accept the purchase order until (a) the OFAC license is issued, (b) the payment terms are restructured away from CBS, and (c) the customs agent is restructured away from ARMPC. Accept the purchase order only in a form consistent with the license. Noted in application Part III.2.</w:t>
      </w:r>
    </w:p>
    <w:p>
      <w:pPr>
        <w:pStyle w:val="BodyText"/>
      </w:pPr>
      <w:r>
        <w:rPr>
          <w:b/>
          <w:bCs/>
        </w:rPr>
        <w:t xml:space="preserve">Issue 8 — Governing Law and Arbitration Clause (Syrian Law / ICC Arbitration).</w:t>
      </w:r>
      <w:r>
        <w:t xml:space="preserve"> </w:t>
      </w:r>
      <w:r>
        <w:t xml:space="preserve">The purchase order is to be interpreted in accordance with the laws of the Syrian Arab Republic, with disputes referred to ICC arbitration after 60 days of negotiation. A Syrian-law/ICC-arbitration framework could create tension with Meridian’s U.S. sanctions obligations and could complicate enforcement.</w:t>
      </w:r>
      <w:r>
        <w:t xml:space="preserve"> </w:t>
      </w:r>
      <w:r>
        <w:rPr>
          <w:i/>
          <w:iCs/>
        </w:rPr>
        <w:t xml:space="preserve">Recommendation:</w:t>
      </w:r>
      <w:r>
        <w:t xml:space="preserve"> </w:t>
      </w:r>
      <w:r>
        <w:t xml:space="preserve">U.S. sanctions law overrides conflicting foreign-law obligations; however, Meridian should consider seeking a conforming amendment to the acceptance (e.g., carve-out preserving U.S. sanctions compliance rights, and a neutral seat of arbitration) when accepting the PO. This is a commercial-law point that does not block the OFAC application but should be addressed before binding acceptance.</w:t>
      </w:r>
    </w:p>
    <w:bookmarkEnd w:id="24"/>
    <w:bookmarkStart w:id="25" w:name="X57c6d7f9e2d2a40bfb8a00a4f1f7f1a4e0e20aa"/>
    <w:p>
      <w:pPr>
        <w:pStyle w:val="Heading3"/>
      </w:pPr>
      <w:r>
        <w:t xml:space="preserve">C. Export Control and Technology Transfer Issues</w:t>
      </w:r>
    </w:p>
    <w:p>
      <w:pPr>
        <w:pStyle w:val="FirstParagraph"/>
      </w:pPr>
      <w:r>
        <w:rPr>
          <w:b/>
          <w:bCs/>
        </w:rPr>
        <w:t xml:space="preserve">Issue 9 — Embedded Firmware and Encryption Classification (CalibPro 3100).</w:t>
      </w:r>
      <w:r>
        <w:t xml:space="preserve"> </w:t>
      </w:r>
      <w:r>
        <w:t xml:space="preserve">The CalibPro 3100 contains factory-installed firmware version 4.2.1 employing AES-128 encryption for internal data-integrity verification. Meridian’s engineering and regulatory teams have assessed the encryption as below EAR de minimis thresholds for encryption items, preserving the EAR99 classification. Graystone’s September 2023 audit (Finding 3) recommended documenting embedded-software and encryption analysis (Category 5, Part 2 of the Commerce Control List) in the sanctions risk assessment.</w:t>
      </w:r>
      <w:r>
        <w:t xml:space="preserve"> </w:t>
      </w:r>
      <w:r>
        <w:rPr>
          <w:i/>
          <w:iCs/>
        </w:rPr>
        <w:t xml:space="preserve">Recommendation:</w:t>
      </w:r>
      <w:r>
        <w:t xml:space="preserve"> </w:t>
      </w:r>
      <w:r>
        <w:t xml:space="preserve">Ensure the firmware/encryption analysis is documented in the application and in Meridian’s risk assessment file; confirm the EAR99 classification stands. Addressed in application Part VI.2 and Part X.4 (Finding 3).</w:t>
      </w:r>
    </w:p>
    <w:p>
      <w:pPr>
        <w:pStyle w:val="BodyText"/>
      </w:pPr>
      <w:r>
        <w:rPr>
          <w:b/>
          <w:bCs/>
        </w:rPr>
        <w:t xml:space="preserve">Issue 10 — Firmware Updates as Separate Transactions.</w:t>
      </w:r>
      <w:r>
        <w:t xml:space="preserve"> </w:t>
      </w:r>
      <w:r>
        <w:t xml:space="preserve">The product data sheet states that any firmware updates, patches, or modifications beyond factory version 4.2.1 constitute a separate transaction and may require independent export authorization; Meridian provides no over-the-air updates (USB-only, authenticated packages).</w:t>
      </w:r>
      <w:r>
        <w:t xml:space="preserve"> </w:t>
      </w:r>
      <w:r>
        <w:rPr>
          <w:i/>
          <w:iCs/>
        </w:rPr>
        <w:t xml:space="preserve">Recommendation:</w:t>
      </w:r>
      <w:r>
        <w:t xml:space="preserve"> </w:t>
      </w:r>
      <w:r>
        <w:t xml:space="preserve">Request that the license authorize only the units with factory firmware v4.2.1 and expressly exclude future firmware updates from its scope, so that any later update is handled by a separate authorization request. Addressed in application Part VI.3 and Part XIII.6.</w:t>
      </w:r>
    </w:p>
    <w:p>
      <w:pPr>
        <w:pStyle w:val="BodyText"/>
      </w:pPr>
      <w:r>
        <w:rPr>
          <w:b/>
          <w:bCs/>
        </w:rPr>
        <w:t xml:space="preserve">Issue 11 — Remote Training Involves Transfer of Technical Data to Syrian Nationals.</w:t>
      </w:r>
      <w:r>
        <w:t xml:space="preserve"> </w:t>
      </w:r>
      <w:r>
        <w:t xml:space="preserve">The 40-hour remote training curriculum includes Module 2 (instrument schematics and proprietary engineering diagrams) and Module 3 (the software diagnostic interface and the proprietary CalibPro 3100 Software Reference Manual, document MBS-SRM-3100-v4.2, 287 pages), among other modules. The provision of these services and technical data to DCUH personnel in Syria constitutes an export of services and technology to a sanctioned jurisdiction and to a governmental end-user, requiring OFAC authorization. Graystone’s audit (Finding 3) flagged deemed-export/technology-transfer considerations for training provided to foreign nationals.</w:t>
      </w:r>
      <w:r>
        <w:t xml:space="preserve"> </w:t>
      </w:r>
      <w:r>
        <w:rPr>
          <w:i/>
          <w:iCs/>
        </w:rPr>
        <w:t xml:space="preserve">Recommendation:</w:t>
      </w:r>
      <w:r>
        <w:t xml:space="preserve"> </w:t>
      </w:r>
      <w:r>
        <w:t xml:space="preserve">Request that the license expressly authorize the remote training services and the associated transfer of technical data to the named end-user personnel; scope the authorization to the described curriculum; and exclude post-training technical assistance involving additional technical data, software, or proprietary information beyond the curriculum (to be separately authorized if needed). Addressed in application Part VI.4 and Part XIII.6.</w:t>
      </w:r>
    </w:p>
    <w:p>
      <w:pPr>
        <w:pStyle w:val="BodyText"/>
      </w:pPr>
      <w:r>
        <w:rPr>
          <w:b/>
          <w:bCs/>
        </w:rPr>
        <w:t xml:space="preserve">Issue 12 — EAR/BIS Obligations Not Relieved by OFAC License.</w:t>
      </w:r>
      <w:r>
        <w:t xml:space="preserve"> </w:t>
      </w:r>
      <w:r>
        <w:t xml:space="preserve">The prior license expressly stated that it did not relieve the licensee of EAR obligations. Although both products are EAR99, EAR99 items destined for Syria remain subject to the EAR and to OFAC authorization; the EAR99 classification does not exempt the goods from the SSR.</w:t>
      </w:r>
      <w:r>
        <w:t xml:space="preserve"> </w:t>
      </w:r>
      <w:r>
        <w:rPr>
          <w:i/>
          <w:iCs/>
        </w:rPr>
        <w:t xml:space="preserve">Recommendation:</w:t>
      </w:r>
      <w:r>
        <w:t xml:space="preserve"> </w:t>
      </w:r>
      <w:r>
        <w:t xml:space="preserve">Confirm prior to shipment that no separate BIS authorization is required for the export of these EAR99 items to the end-user and destination, and request a license condition preserving EAR obligations. Addressed in application Part VI.5 and Part XIII.12.</w:t>
      </w:r>
    </w:p>
    <w:bookmarkEnd w:id="25"/>
    <w:bookmarkStart w:id="26" w:name="d.-logistics-and-end-use-issues"/>
    <w:p>
      <w:pPr>
        <w:pStyle w:val="Heading3"/>
      </w:pPr>
      <w:r>
        <w:t xml:space="preserve">D. Logistics and End-Use Issues</w:t>
      </w:r>
    </w:p>
    <w:p>
      <w:pPr>
        <w:pStyle w:val="FirstParagraph"/>
      </w:pPr>
      <w:r>
        <w:rPr>
          <w:b/>
          <w:bCs/>
        </w:rPr>
        <w:t xml:space="preserve">Issue 13 — Transshipment and Re-Export Through Turkey / Bab al-Hawa.</w:t>
      </w:r>
      <w:r>
        <w:t xml:space="preserve"> </w:t>
      </w:r>
      <w:r>
        <w:t xml:space="preserve">The shipping route involves ocean freight to Mersin Port, Turkey; overland transport and temporary warehousing at AMTW in Ankara; and re-export overland through the Bab al-Hawa border crossing into Syria. Turkey is not sanctioned, and AMTW and Pinnacle screened clean. However, the license must expressly authorize the full transaction chain, including the re-export from Turkey into Syria and the temporary warehousing in Turkey.</w:t>
      </w:r>
      <w:r>
        <w:t xml:space="preserve"> </w:t>
      </w:r>
      <w:r>
        <w:rPr>
          <w:i/>
          <w:iCs/>
        </w:rPr>
        <w:t xml:space="preserve">Recommendation:</w:t>
      </w:r>
      <w:r>
        <w:t xml:space="preserve"> </w:t>
      </w:r>
      <w:r>
        <w:t xml:space="preserve">Request that the license authorize the re-export from Turkey via Bab al-Hawa and the associated Turkish transit and warehousing as part of the authorized chain. Addressed in application Part VII.</w:t>
      </w:r>
    </w:p>
    <w:p>
      <w:pPr>
        <w:pStyle w:val="BodyText"/>
      </w:pPr>
      <w:r>
        <w:rPr>
          <w:b/>
          <w:bCs/>
        </w:rPr>
        <w:t xml:space="preserve">Issue 14 — Cold-Chain Integrity Over a 6–8 Week Transit.</w:t>
      </w:r>
      <w:r>
        <w:t xml:space="preserve"> </w:t>
      </w:r>
      <w:r>
        <w:t xml:space="preserve">The CancerDetect RX-700 kits require maintenance at 2–8°C throughout the entire 6–8 week transit window. Temperature excursions above 12°C or below 0°C void the manufacturer warranty and may compromise reagent integrity, antibody binding affinity, and kit performance. A cold-chain failure would defeat the humanitarian purpose of the transaction and could result in delivery of unusable goods to a sanctioned jurisdiction.</w:t>
      </w:r>
      <w:r>
        <w:t xml:space="preserve"> </w:t>
      </w:r>
      <w:r>
        <w:rPr>
          <w:i/>
          <w:iCs/>
        </w:rPr>
        <w:t xml:space="preserve">Recommendation:</w:t>
      </w:r>
      <w:r>
        <w:t xml:space="preserve"> </w:t>
      </w:r>
      <w:r>
        <w:t xml:space="preserve">Ensure the cold-chain management protocol (validated insulated containers, gel packs, 15-minute data loggers, 4°C ± 2°C reefer, AMTW cold-storage, refrigerated final legs, excursion notification) is followed; require temperature data logger records in the post-shipment report; confirm DCUH receiving capability (see Issue 15). Addressed in application Part VII.6 and Part XIII.8.</w:t>
      </w:r>
    </w:p>
    <w:p>
      <w:pPr>
        <w:pStyle w:val="BodyText"/>
      </w:pPr>
      <w:r>
        <w:rPr>
          <w:b/>
          <w:bCs/>
        </w:rPr>
        <w:t xml:space="preserve">Issue 15 — DCUH Cold-Chain Receiving Capability Unconfirmed.</w:t>
      </w:r>
      <w:r>
        <w:t xml:space="preserve"> </w:t>
      </w:r>
      <w:r>
        <w:t xml:space="preserve">The Pinnacle logistics plan notes that ARMPC has been asked to confirm cold-chain receiving capability at DCUH, including adequate refrigerated storage to accept and maintain the full shipment volume upon arrival, but this has not yet been confirmed. If DCUH lacks adequate refrigerated storage, the kits may be compromised upon arrival.</w:t>
      </w:r>
      <w:r>
        <w:t xml:space="preserve"> </w:t>
      </w:r>
      <w:r>
        <w:rPr>
          <w:i/>
          <w:iCs/>
        </w:rPr>
        <w:t xml:space="preserve">Recommendation:</w:t>
      </w:r>
      <w:r>
        <w:t xml:space="preserve"> </w:t>
      </w:r>
      <w:r>
        <w:t xml:space="preserve">Obtain written confirmation from DCUH of adequate 2–8°C refrigerated storage capacity before shipment; document in the end-use monitoring file. Flagged for follow-up; not yet resolved.</w:t>
      </w:r>
    </w:p>
    <w:p>
      <w:pPr>
        <w:pStyle w:val="BodyText"/>
      </w:pPr>
      <w:r>
        <w:rPr>
          <w:b/>
          <w:bCs/>
        </w:rPr>
        <w:t xml:space="preserve">Issue 16 — Product Shelf Life vs. Supply Duration.</w:t>
      </w:r>
      <w:r>
        <w:t xml:space="preserve"> </w:t>
      </w:r>
      <w:r>
        <w:t xml:space="preserve">The kits have an 18-month shelf life from manufacture; the 500-kit quantity is anticipated to meet DCUH’s needs for approximately 15 months. There is a narrow margin between shelf life and the supply duration, and the 6–8 week transit plus any warehousing delay will consume part of the shelf life.</w:t>
      </w:r>
      <w:r>
        <w:t xml:space="preserve"> </w:t>
      </w:r>
      <w:r>
        <w:rPr>
          <w:i/>
          <w:iCs/>
        </w:rPr>
        <w:t xml:space="preserve">Recommendation:</w:t>
      </w:r>
      <w:r>
        <w:t xml:space="preserve"> </w:t>
      </w:r>
      <w:r>
        <w:t xml:space="preserve">Coordinate manufacturing/lot dates so that kits are produced as close to shipment as practicable; manage lot rotation so that kits are used before expiry; consider whether the license period and shipment timing leave adequate shelf life for clinical use. Flagged for operational coordination.</w:t>
      </w:r>
    </w:p>
    <w:p>
      <w:pPr>
        <w:pStyle w:val="BodyText"/>
      </w:pPr>
      <w:r>
        <w:rPr>
          <w:b/>
          <w:bCs/>
        </w:rPr>
        <w:t xml:space="preserve">Issue 17 — End-Use Monitoring and Non-Diversion (Graystone Finding 2).</w:t>
      </w:r>
      <w:r>
        <w:t xml:space="preserve"> </w:t>
      </w:r>
      <w:r>
        <w:t xml:space="preserve">Graystone’s September 2023 audit (Finding 2, Medium Priority) found that post-delivery end-use monitoring for the prior licensed transaction was limited to confirming delivery receipt, with no ongoing monitoring to verify that goods remained with the authorized end-user or were used for the stated purpose. The audit recommended a written end-use monitoring plan including (a) delivery confirmation with photographic or documentary evidence, (b) an end-user certificate or non-diversion commitment, (c) periodic usage reporting at minimum annual intervals, and (d) a site-verification mechanism. The DCUH purchase order contains a non-diversion commitment but no monitoring mechanism.</w:t>
      </w:r>
      <w:r>
        <w:t xml:space="preserve"> </w:t>
      </w:r>
      <w:r>
        <w:rPr>
          <w:i/>
          <w:iCs/>
        </w:rPr>
        <w:t xml:space="preserve">Recommendation:</w:t>
      </w:r>
      <w:r>
        <w:t xml:space="preserve"> </w:t>
      </w:r>
      <w:r>
        <w:t xml:space="preserve">Implement the written end-use monitoring plan described in application Part XIII.9; obtain an executed end-user certificate and non-diversion commitment from DCUH as a condition of shipment; commit to annual usage reporting and a site-verification mechanism. This both satisfies the audit recommendation and strengthens the application.</w:t>
      </w:r>
    </w:p>
    <w:p>
      <w:pPr>
        <w:pStyle w:val="BodyText"/>
      </w:pPr>
      <w:r>
        <w:rPr>
          <w:b/>
          <w:bCs/>
        </w:rPr>
        <w:t xml:space="preserve">Issue 18 — Incoterms DAP and Custody/Control.</w:t>
      </w:r>
      <w:r>
        <w:t xml:space="preserve"> </w:t>
      </w:r>
      <w:r>
        <w:t xml:space="preserve">Delivery terms are DAP (Delivered at Place) — Damascus (Incoterms 2020), under which title and risk pass to the buyer upon delivery at DCUH. The license should require that the goods remain within DCUH’s custody and control and are not diverted.</w:t>
      </w:r>
      <w:r>
        <w:t xml:space="preserve"> </w:t>
      </w:r>
      <w:r>
        <w:rPr>
          <w:i/>
          <w:iCs/>
        </w:rPr>
        <w:t xml:space="preserve">Recommendation:</w:t>
      </w:r>
      <w:r>
        <w:t xml:space="preserve"> </w:t>
      </w:r>
      <w:r>
        <w:t xml:space="preserve">Request a license condition requiring delivery solely to DCUH and prohibiting diversion, re-export, or transfer, consistent with the prior license. Addressed in application Part XIII.3.</w:t>
      </w:r>
    </w:p>
    <w:bookmarkEnd w:id="26"/>
    <w:bookmarkStart w:id="27" w:name="e.-compliance-program-and-process-issues"/>
    <w:p>
      <w:pPr>
        <w:pStyle w:val="Heading3"/>
      </w:pPr>
      <w:r>
        <w:t xml:space="preserve">E. Compliance Program and Process Issues</w:t>
      </w:r>
    </w:p>
    <w:p>
      <w:pPr>
        <w:pStyle w:val="FirstParagraph"/>
      </w:pPr>
      <w:r>
        <w:rPr>
          <w:b/>
          <w:bCs/>
        </w:rPr>
        <w:t xml:space="preserve">Issue 19 — Re-Screening Cadence and List Volatility.</w:t>
      </w:r>
      <w:r>
        <w:t xml:space="preserve"> </w:t>
      </w:r>
      <w:r>
        <w:t xml:space="preserve">The compliance memorandum recommends re-screening all transaction parties at 90-day intervals during the pendency of the application and immediately prior to any shipment. Mr. Khoury was designated only on April 15, 2024 — recently — illustrating that sanctions lists change and that a party clean today may not be clean at shipment.</w:t>
      </w:r>
      <w:r>
        <w:t xml:space="preserve"> </w:t>
      </w:r>
      <w:r>
        <w:rPr>
          <w:i/>
          <w:iCs/>
        </w:rPr>
        <w:t xml:space="preserve">Recommendation:</w:t>
      </w:r>
      <w:r>
        <w:t xml:space="preserve"> </w:t>
      </w:r>
      <w:r>
        <w:t xml:space="preserve">Commit to 90-day re-screening during the license period and immediate pre-shipment re-screening; report any material change in party status to OFAC. Addressed in application Part XIII.10.</w:t>
      </w:r>
    </w:p>
    <w:p>
      <w:pPr>
        <w:pStyle w:val="BodyText"/>
      </w:pPr>
      <w:r>
        <w:rPr>
          <w:b/>
          <w:bCs/>
        </w:rPr>
        <w:t xml:space="preserve">Issue 20 — Beneficial Ownership Screening Implementation (Graystone Finding 1) — Strength and Disclosure.</w:t>
      </w:r>
      <w:r>
        <w:t xml:space="preserve"> </w:t>
      </w:r>
      <w:r>
        <w:t xml:space="preserve">Meridian implemented enhanced real-time beneficial ownership screening in January 2024 in response to Graystone’s high-priority Finding 1. It was this enhancement that detected the SDN-listed 30% shareholder of ARMPC — a finding that would have been missed under the prior screening protocol. This is a program strength to highlight in the application. At the same time, the finding creates a disclosure obligation.</w:t>
      </w:r>
      <w:r>
        <w:t xml:space="preserve"> </w:t>
      </w:r>
      <w:r>
        <w:rPr>
          <w:i/>
          <w:iCs/>
        </w:rPr>
        <w:t xml:space="preserve">Recommendation:</w:t>
      </w:r>
      <w:r>
        <w:t xml:space="preserve"> </w:t>
      </w:r>
      <w:r>
        <w:t xml:space="preserve">Describe the implementation as a program strength and disclose the resulting finding transparently. Addressed in application Part X.4 (Finding 1) and Part IX.</w:t>
      </w:r>
    </w:p>
    <w:p>
      <w:pPr>
        <w:pStyle w:val="BodyText"/>
      </w:pPr>
      <w:r>
        <w:rPr>
          <w:b/>
          <w:bCs/>
        </w:rPr>
        <w:t xml:space="preserve">Issue 21 — Graystone Audit Rating</w:t>
      </w:r>
      <w:r>
        <w:rPr>
          <w:b/>
          <w:bCs/>
        </w:rPr>
        <w:t xml:space="preserve"> </w:t>
      </w:r>
      <w:r>
        <w:rPr>
          <w:b/>
          <w:bCs/>
        </w:rPr>
        <w:t xml:space="preserve">“</w:t>
      </w:r>
      <w:r>
        <w:rPr>
          <w:b/>
          <w:bCs/>
        </w:rPr>
        <w:t xml:space="preserve">Satisfactory with Recommendations</w:t>
      </w:r>
      <w:r>
        <w:rPr>
          <w:b/>
          <w:bCs/>
        </w:rPr>
        <w:t xml:space="preserve">”</w:t>
      </w:r>
      <w:r>
        <w:rPr>
          <w:b/>
          <w:bCs/>
        </w:rPr>
        <w:t xml:space="preserve"> </w:t>
      </w:r>
      <w:r>
        <w:rPr>
          <w:b/>
          <w:bCs/>
        </w:rPr>
        <w:t xml:space="preserve">— Outstanding Recommendations.</w:t>
      </w:r>
      <w:r>
        <w:t xml:space="preserve"> </w:t>
      </w:r>
      <w:r>
        <w:t xml:space="preserve">The September 2023 audit rated the program</w:t>
      </w:r>
      <w:r>
        <w:t xml:space="preserve"> </w:t>
      </w:r>
      <w:r>
        <w:t xml:space="preserve">“</w:t>
      </w:r>
      <w:r>
        <w:t xml:space="preserve">Satisfactory with Recommendations</w:t>
      </w:r>
      <w:r>
        <w:t xml:space="preserve">”</w:t>
      </w:r>
      <w:r>
        <w:t xml:space="preserve"> </w:t>
      </w:r>
      <w:r>
        <w:t xml:space="preserve">and made three findings. Finding 1 (beneficial ownership) is implemented. Findings 2 (end-use monitoring) and 3 (embedded-software risk documentation) were not yet implemented at the time of audit and should be addressed in connection with this application.</w:t>
      </w:r>
      <w:r>
        <w:t xml:space="preserve"> </w:t>
      </w:r>
      <w:r>
        <w:rPr>
          <w:i/>
          <w:iCs/>
        </w:rPr>
        <w:t xml:space="preserve">Recommendation:</w:t>
      </w:r>
      <w:r>
        <w:t xml:space="preserve"> </w:t>
      </w:r>
      <w:r>
        <w:t xml:space="preserve">Address Finding 2 via the end-use monitoring plan (Issue 17) and Finding 3 via the firmware/encryption and technology-transfer documentation (Issues 9 and 11); describe the status of each recommendation in the application. Addressed in application Part X.4.</w:t>
      </w:r>
    </w:p>
    <w:p>
      <w:pPr>
        <w:pStyle w:val="BodyText"/>
      </w:pPr>
      <w:r>
        <w:rPr>
          <w:b/>
          <w:bCs/>
        </w:rPr>
        <w:t xml:space="preserve">Issue 22 — License Term and Processing Timeline.</w:t>
      </w:r>
      <w:r>
        <w:t xml:space="preserve"> </w:t>
      </w:r>
      <w:r>
        <w:t xml:space="preserve">The client targets a license effective date of September 1, 2024, with an 18-month term through February 28, 2026. OFAC processing typically runs 90–180 days. If filed in early July 2024, approval may not occur until approximately October 2024–January 2025, making the September 1, 2024 effective date optimistic.</w:t>
      </w:r>
      <w:r>
        <w:t xml:space="preserve"> </w:t>
      </w:r>
      <w:r>
        <w:rPr>
          <w:i/>
          <w:iCs/>
        </w:rPr>
        <w:t xml:space="preserve">Recommendation:</w:t>
      </w:r>
      <w:r>
        <w:t xml:space="preserve"> </w:t>
      </w:r>
      <w:r>
        <w:t xml:space="preserve">Request an effective date of</w:t>
      </w:r>
      <w:r>
        <w:t xml:space="preserve"> </w:t>
      </w:r>
      <w:r>
        <w:t xml:space="preserve">“</w:t>
      </w:r>
      <w:r>
        <w:t xml:space="preserve">the date of issuance or September 1, 2024, whichever is later,</w:t>
      </w:r>
      <w:r>
        <w:t xml:space="preserve">”</w:t>
      </w:r>
      <w:r>
        <w:t xml:space="preserve"> </w:t>
      </w:r>
      <w:r>
        <w:t xml:space="preserve">through February 28, 2026, to avoid a gap; file promptly; manage client expectations on timing. Addressed in application Part XIII.2.</w:t>
      </w:r>
    </w:p>
    <w:p>
      <w:pPr>
        <w:pStyle w:val="BodyText"/>
      </w:pPr>
      <w:r>
        <w:rPr>
          <w:b/>
          <w:bCs/>
        </w:rPr>
        <w:t xml:space="preserve">Issue 23 — Post-Shipment Reporting Conditions.</w:t>
      </w:r>
      <w:r>
        <w:t xml:space="preserve"> </w:t>
      </w:r>
      <w:r>
        <w:t xml:space="preserve">The prior license required written reports to OFAC within 30 days of each shipment, including proof of delivery, shipping documents, and confirmation of end-user receipt. Comparable conditions should be expected.</w:t>
      </w:r>
      <w:r>
        <w:t xml:space="preserve"> </w:t>
      </w:r>
      <w:r>
        <w:rPr>
          <w:i/>
          <w:iCs/>
        </w:rPr>
        <w:t xml:space="preserve">Recommendation:</w:t>
      </w:r>
      <w:r>
        <w:t xml:space="preserve"> </w:t>
      </w:r>
      <w:r>
        <w:t xml:space="preserve">Commit to 30-day post-shipment reports and include temperature data logger records (given the cold-chain requirement). Addressed in application Part XIII.8.</w:t>
      </w:r>
    </w:p>
    <w:p>
      <w:pPr>
        <w:pStyle w:val="BodyText"/>
      </w:pPr>
      <w:r>
        <w:rPr>
          <w:b/>
          <w:bCs/>
        </w:rPr>
        <w:t xml:space="preserve">Issue 24 — Material Change Reporting and Amendment Risk.</w:t>
      </w:r>
      <w:r>
        <w:t xml:space="preserve"> </w:t>
      </w:r>
      <w:r>
        <w:t xml:space="preserve">The prior license required prompt reporting of any material change in facts or circumstances, which could require amendment or reissuance. Given that the ARMPC/Khoury and CBS issues are being restructured, and that sanctions lists are volatile, material changes may arise during the license period (e.g., designation of a currently clean party).</w:t>
      </w:r>
      <w:r>
        <w:t xml:space="preserve"> </w:t>
      </w:r>
      <w:r>
        <w:rPr>
          <w:i/>
          <w:iCs/>
        </w:rPr>
        <w:t xml:space="preserve">Recommendation:</w:t>
      </w:r>
      <w:r>
        <w:t xml:space="preserve"> </w:t>
      </w:r>
      <w:r>
        <w:t xml:space="preserve">Commit to prompt material-change reporting; monitor party status; be prepared to seek amendment if the replacement agent or bank is later designated. Addressed in application Part XIII.11.</w:t>
      </w:r>
    </w:p>
    <w:p>
      <w:pPr>
        <w:pStyle w:val="BodyText"/>
      </w:pPr>
      <w:r>
        <w:rPr>
          <w:b/>
          <w:bCs/>
        </w:rPr>
        <w:t xml:space="preserve">Issue 25 — Recordkeeping (31 C.F.R. § 501.601).</w:t>
      </w:r>
      <w:r>
        <w:t xml:space="preserve"> </w:t>
      </w:r>
      <w:r>
        <w:t xml:space="preserve">The prior license required 5-year recordkeeping; Meridian maintains records for a minimum of 5 years and was cited as a program strength in the Graystone audit.</w:t>
      </w:r>
      <w:r>
        <w:t xml:space="preserve"> </w:t>
      </w:r>
      <w:r>
        <w:rPr>
          <w:i/>
          <w:iCs/>
        </w:rPr>
        <w:t xml:space="preserve">Recommendation:</w:t>
      </w:r>
      <w:r>
        <w:t xml:space="preserve"> </w:t>
      </w:r>
      <w:r>
        <w:t xml:space="preserve">Commit to 5-year recordkeeping of all license transactions. Addressed in application Part XIII.7.</w:t>
      </w:r>
    </w:p>
    <w:bookmarkEnd w:id="27"/>
    <w:bookmarkStart w:id="28" w:name="X2fc05ab99fc87a277cd3d23df1f4c0ce06c09f6"/>
    <w:p>
      <w:pPr>
        <w:pStyle w:val="Heading3"/>
      </w:pPr>
      <w:r>
        <w:t xml:space="preserve">F. Substantive Merits and Favorable Factors</w:t>
      </w:r>
    </w:p>
    <w:p>
      <w:pPr>
        <w:pStyle w:val="FirstParagraph"/>
      </w:pPr>
      <w:r>
        <w:rPr>
          <w:b/>
          <w:bCs/>
        </w:rPr>
        <w:t xml:space="preserve">Issue 26 — Humanitarian Justification (WHO January 2024 Needs Assessment).</w:t>
      </w:r>
      <w:r>
        <w:t xml:space="preserve"> </w:t>
      </w:r>
      <w:r>
        <w:t xml:space="preserve">The WHO Syria Country Office’s January 2024 Comprehensive Health Needs Assessment (Section 4.7) identifies cancer diagnostics as a critical gap; names DCUH as the largest remaining oncology referral center; documents a 14-month biopsy backlog; reports that breast cancer accounts for approximately 33% of female cancer diagnoses; reports a decline in five-year breast cancer survival from approximately 62% (pre-2011) to approximately 38% (present); and recommends urgent procurement of IHC reagent kits, calibration instruments, remote technical training, and international coordination to facilitate humanitarian licensing. The proposed transaction directly responds to each recommendation.</w:t>
      </w:r>
      <w:r>
        <w:t xml:space="preserve"> </w:t>
      </w:r>
      <w:r>
        <w:rPr>
          <w:i/>
          <w:iCs/>
        </w:rPr>
        <w:t xml:space="preserve">Recommendation:</w:t>
      </w:r>
      <w:r>
        <w:t xml:space="preserve"> </w:t>
      </w:r>
      <w:r>
        <w:t xml:space="preserve">Present the WHO assessment as the principal humanitarian justification, with specific citations. Addressed in application Part XII.</w:t>
      </w:r>
    </w:p>
    <w:p>
      <w:pPr>
        <w:pStyle w:val="BodyText"/>
      </w:pPr>
      <w:r>
        <w:rPr>
          <w:b/>
          <w:bCs/>
        </w:rPr>
        <w:t xml:space="preserve">Issue 27 — Sole-Source / No Substitute Product.</w:t>
      </w:r>
      <w:r>
        <w:t xml:space="preserve"> </w:t>
      </w:r>
      <w:r>
        <w:t xml:space="preserve">The CancerDetect RX-700 is the only FDA-cleared (510(k) K213847) reagent kit validated for the Ventana BenchMark XT platform already installed at DCUH. The WHO assessment notes that the limited number of internationally manufactured kits validated for this platform constrains procurement options. There is no substitute that would permit DCUH to resume biomarker testing on its existing equipment.</w:t>
      </w:r>
      <w:r>
        <w:t xml:space="preserve"> </w:t>
      </w:r>
      <w:r>
        <w:rPr>
          <w:i/>
          <w:iCs/>
        </w:rPr>
        <w:t xml:space="preserve">Recommendation:</w:t>
      </w:r>
      <w:r>
        <w:t xml:space="preserve"> </w:t>
      </w:r>
      <w:r>
        <w:t xml:space="preserve">Emphasize sole-source status to establish necessity and the lack of alternatives. Addressed in application Part V.7.</w:t>
      </w:r>
    </w:p>
    <w:p>
      <w:pPr>
        <w:pStyle w:val="BodyText"/>
      </w:pPr>
      <w:r>
        <w:rPr>
          <w:b/>
          <w:bCs/>
        </w:rPr>
        <w:t xml:space="preserve">Issue 28 — Prior License Precedent — Favorable but Distinct.</w:t>
      </w:r>
      <w:r>
        <w:t xml:space="preserve"> </w:t>
      </w:r>
      <w:r>
        <w:t xml:space="preserve">Meridian’s prior license (SYR-2021-384712) is a favorable precedent: it authorized an analogous humanitarian diagnostic-kit export to a public Syrian hospital, was completed within the license period with no violations, and established a track record of compliance. However, the present transaction differs in several respects that should be acknowledged: (i) cancer (not TB) diagnostics; (ii) DCUH (not Al-Mujtahid Hospital) as end-user; (iii) inclusion of calibration instruments and remote training services; (iv) larger value ($1,280,000 vs. $340,000); and (v) a multi-party logistics chain with a Turkish intermediary and a Syrian customs agent (the prior license authorized direct shipment with no procurement intermediary).</w:t>
      </w:r>
      <w:r>
        <w:t xml:space="preserve"> </w:t>
      </w:r>
      <w:r>
        <w:rPr>
          <w:i/>
          <w:iCs/>
        </w:rPr>
        <w:t xml:space="preserve">Recommendation:</w:t>
      </w:r>
      <w:r>
        <w:t xml:space="preserve"> </w:t>
      </w:r>
      <w:r>
        <w:t xml:space="preserve">Cite the prior license as favorable precedent while candidly distinguishing the present transaction and explaining how each distinction is addressed. Addressed in application Part XI.</w:t>
      </w:r>
    </w:p>
    <w:p>
      <w:pPr>
        <w:pStyle w:val="BodyText"/>
      </w:pPr>
      <w:r>
        <w:rPr>
          <w:b/>
          <w:bCs/>
        </w:rPr>
        <w:t xml:space="preserve">Issue 29 — No Enforcement History.</w:t>
      </w:r>
      <w:r>
        <w:t xml:space="preserve"> </w:t>
      </w:r>
      <w:r>
        <w:t xml:space="preserve">Meridian has no record of OFAC violations, civil monetary penalties, cautionary letters, warning letters, findings of violation, or voluntary self-disclosures, as confirmed by both the compliance memorandum and the Graystone audit.</w:t>
      </w:r>
      <w:r>
        <w:t xml:space="preserve"> </w:t>
      </w:r>
      <w:r>
        <w:rPr>
          <w:i/>
          <w:iCs/>
        </w:rPr>
        <w:t xml:space="preserve">Recommendation:</w:t>
      </w:r>
      <w:r>
        <w:t xml:space="preserve"> </w:t>
      </w:r>
      <w:r>
        <w:t xml:space="preserve">Present the clean enforcement record as a favorable factor. Addressed in application Part X.5.</w:t>
      </w:r>
    </w:p>
    <w:bookmarkEnd w:id="28"/>
    <w:bookmarkStart w:id="29" w:name="Xc8c28be77b9f962a11ab98d8f2351ed8aff90c5"/>
    <w:p>
      <w:pPr>
        <w:pStyle w:val="Heading3"/>
      </w:pPr>
      <w:r>
        <w:t xml:space="preserve">G. Client-Communication and Scope-Correction Issues</w:t>
      </w:r>
    </w:p>
    <w:p>
      <w:pPr>
        <w:pStyle w:val="FirstParagraph"/>
      </w:pPr>
      <w:r>
        <w:rPr>
          <w:b/>
          <w:bCs/>
        </w:rPr>
        <w:t xml:space="preserve">Issue 30 — Client Email Understated Compliance Risk.</w:t>
      </w:r>
      <w:r>
        <w:t xml:space="preserve"> </w:t>
      </w:r>
      <w:r>
        <w:t xml:space="preserve">The client’s June 24, 2024 summary email states that ARMPC</w:t>
      </w:r>
      <w:r>
        <w:t xml:space="preserve"> </w:t>
      </w:r>
      <w:r>
        <w:t xml:space="preserve">“</w:t>
      </w:r>
      <w:r>
        <w:t xml:space="preserve">came back clean — no hits on the SDN list or any other restricted party lists</w:t>
      </w:r>
      <w:r>
        <w:t xml:space="preserve">”</w:t>
      </w:r>
      <w:r>
        <w:t xml:space="preserve"> </w:t>
      </w:r>
      <w:r>
        <w:t xml:space="preserve">and describes the payment as coming from</w:t>
      </w:r>
      <w:r>
        <w:t xml:space="preserve"> </w:t>
      </w:r>
      <w:r>
        <w:t xml:space="preserve">“</w:t>
      </w:r>
      <w:r>
        <w:t xml:space="preserve">DCUH’s account at the Central Bank of Calverley</w:t>
      </w:r>
      <w:r>
        <w:t xml:space="preserve">”</w:t>
      </w:r>
      <w:r>
        <w:t xml:space="preserve"> </w:t>
      </w:r>
      <w:r>
        <w:t xml:space="preserve">without flagging that CBS is SDN-listed. The enhanced beneficial ownership screening (implemented after the client’s understanding was formed) revealed the SDN-listed 30% shareholder of ARMPC, and the compliance memorandum identified CBS as SDN-listed. The client’s characterization understates the compliance risk.</w:t>
      </w:r>
      <w:r>
        <w:t xml:space="preserve"> </w:t>
      </w:r>
      <w:r>
        <w:rPr>
          <w:i/>
          <w:iCs/>
        </w:rPr>
        <w:t xml:space="preserve">Recommendation:</w:t>
      </w:r>
      <w:r>
        <w:t xml:space="preserve"> </w:t>
      </w:r>
      <w:r>
        <w:t xml:space="preserve">Do not rely on the client’s summary alone; rely on the Compliance Department’s screening memorandum as the authoritative record; confirm with the client that the restructuring (removing ARMPC and CBS) is understood and authorized before filing. This memorandum and the application reflect the screening-based reality, not the email’s characterization.</w:t>
      </w:r>
    </w:p>
    <w:p>
      <w:pPr>
        <w:pStyle w:val="BodyText"/>
      </w:pPr>
      <w:r>
        <w:rPr>
          <w:b/>
          <w:bCs/>
        </w:rPr>
        <w:t xml:space="preserve">Issue 31 —</w:t>
      </w:r>
      <w:r>
        <w:rPr>
          <w:b/>
          <w:bCs/>
        </w:rPr>
        <w:t xml:space="preserve"> </w:t>
      </w:r>
      <w:r>
        <w:rPr>
          <w:b/>
          <w:bCs/>
        </w:rPr>
        <w:t xml:space="preserve">“</w:t>
      </w:r>
      <w:r>
        <w:rPr>
          <w:b/>
          <w:bCs/>
        </w:rPr>
        <w:t xml:space="preserve">EAR99 Makes Things Easier</w:t>
      </w:r>
      <w:r>
        <w:rPr>
          <w:b/>
          <w:bCs/>
        </w:rPr>
        <w:t xml:space="preserve">”</w:t>
      </w:r>
      <w:r>
        <w:rPr>
          <w:b/>
          <w:bCs/>
        </w:rPr>
        <w:t xml:space="preserve"> </w:t>
      </w:r>
      <w:r>
        <w:rPr>
          <w:b/>
          <w:bCs/>
        </w:rPr>
        <w:t xml:space="preserve">Assumption Needs Correction.</w:t>
      </w:r>
      <w:r>
        <w:t xml:space="preserve"> </w:t>
      </w:r>
      <w:r>
        <w:t xml:space="preserve">The client’s email suggests that the EAR99 classification</w:t>
      </w:r>
      <w:r>
        <w:t xml:space="preserve"> </w:t>
      </w:r>
      <w:r>
        <w:t xml:space="preserve">“</w:t>
      </w:r>
      <w:r>
        <w:t xml:space="preserve">should make things easier on the export control side.</w:t>
      </w:r>
      <w:r>
        <w:t xml:space="preserve">”</w:t>
      </w:r>
      <w:r>
        <w:t xml:space="preserve"> </w:t>
      </w:r>
      <w:r>
        <w:t xml:space="preserve">While EAR99 is favorable for BIS purposes, it does not obviate the need for OFAC authorization: EAR99 items destined for Syria remain subject to the comprehensive SSR.</w:t>
      </w:r>
      <w:r>
        <w:t xml:space="preserve"> </w:t>
      </w:r>
      <w:r>
        <w:rPr>
          <w:i/>
          <w:iCs/>
        </w:rPr>
        <w:t xml:space="preserve">Recommendation:</w:t>
      </w:r>
      <w:r>
        <w:t xml:space="preserve"> </w:t>
      </w:r>
      <w:r>
        <w:t xml:space="preserve">Confirm in the application that EAR99 does not exempt the goods from the SSR, and manage client expectations that the EAR99 classification does not shorten or simplify the OFAC licensing process. Addressed in application Part VI.5.</w:t>
      </w:r>
    </w:p>
    <w:bookmarkEnd w:id="29"/>
    <w:bookmarkStart w:id="30" w:name="Xd9511da1a425d7dada9a0307b535ef5ffff5f2b"/>
    <w:p>
      <w:pPr>
        <w:pStyle w:val="Heading3"/>
      </w:pPr>
      <w:r>
        <w:t xml:space="preserve">H. Authorization, Risk-Assessment, and Record-Discrepancy Issues</w:t>
      </w:r>
    </w:p>
    <w:p>
      <w:pPr>
        <w:pStyle w:val="FirstParagraph"/>
      </w:pPr>
      <w:r>
        <w:rPr>
          <w:b/>
          <w:bCs/>
        </w:rPr>
        <w:t xml:space="preserve">Issue 32 — General License vs. Specific License Determination.</w:t>
      </w:r>
      <w:r>
        <w:t xml:space="preserve"> </w:t>
      </w:r>
      <w:r>
        <w:t xml:space="preserve">The Compliance Department’s screening memorandum (Note 1) expressly states that outside counsel should</w:t>
      </w:r>
      <w:r>
        <w:t xml:space="preserve"> </w:t>
      </w:r>
      <w:r>
        <w:t xml:space="preserve">“</w:t>
      </w:r>
      <w:r>
        <w:t xml:space="preserve">confirm the appropriate authorization framework applicable to governmental end-users in Syria and determine whether a general license or specific license is required for this transaction.</w:t>
      </w:r>
      <w:r>
        <w:t xml:space="preserve">”</w:t>
      </w:r>
      <w:r>
        <w:t xml:space="preserve"> </w:t>
      </w:r>
      <w:r>
        <w:t xml:space="preserve">The application proceeds on a specific-license basis.</w:t>
      </w:r>
      <w:r>
        <w:t xml:space="preserve"> </w:t>
      </w:r>
      <w:r>
        <w:rPr>
          <w:i/>
          <w:iCs/>
        </w:rPr>
        <w:t xml:space="preserve">Recommendation:</w:t>
      </w:r>
      <w:r>
        <w:t xml:space="preserve"> </w:t>
      </w:r>
      <w:r>
        <w:t xml:space="preserve">Confirm that no OFAC general license authorizes the full scope of this transaction — which combines a governmental end-user, the associated payment/transshipment/re-export activities, and the provision of remote training services with technical-data transfer. The prior analogous transaction (SYR-2021-384712) was authorized by specific license, supporting the specific-license pathway. The application addresses this determination in Part II.4. If OFAC identifies an applicable general license during review, the application may be converted or supplemented accordingly.</w:t>
      </w:r>
    </w:p>
    <w:p>
      <w:pPr>
        <w:pStyle w:val="BodyText"/>
      </w:pPr>
      <w:r>
        <w:rPr>
          <w:b/>
          <w:bCs/>
        </w:rPr>
        <w:t xml:space="preserve">Issue 33 — Compliance Department Overall Risk Assessment (</w:t>
      </w:r>
      <w:r>
        <w:rPr>
          <w:b/>
          <w:bCs/>
        </w:rPr>
        <w:t xml:space="preserve">“</w:t>
      </w:r>
      <w:r>
        <w:rPr>
          <w:b/>
          <w:bCs/>
        </w:rPr>
        <w:t xml:space="preserve">Moderate-to-High</w:t>
      </w:r>
      <w:r>
        <w:rPr>
          <w:b/>
          <w:bCs/>
        </w:rPr>
        <w:t xml:space="preserve">”</w:t>
      </w:r>
      <w:r>
        <w:rPr>
          <w:b/>
          <w:bCs/>
        </w:rPr>
        <w:t xml:space="preserve">).</w:t>
      </w:r>
      <w:r>
        <w:t xml:space="preserve"> </w:t>
      </w:r>
      <w:r>
        <w:t xml:space="preserve">The screening memorandum’s Overall Risk Assessment characterizes the transaction’s compliance risk as</w:t>
      </w:r>
      <w:r>
        <w:t xml:space="preserve"> </w:t>
      </w:r>
      <w:r>
        <w:t xml:space="preserve">“</w:t>
      </w:r>
      <w:r>
        <w:t xml:space="preserve">Moderate-to-High.</w:t>
      </w:r>
      <w:r>
        <w:t xml:space="preserve">”</w:t>
      </w:r>
      <w:r>
        <w:t xml:space="preserve"> </w:t>
      </w:r>
      <w:r>
        <w:t xml:space="preserve">It cites the humanitarian nature of the goods and Meridian’s prior specific licensing history as favorable factors supporting a reasonable likelihood of license issuance, and identifies the SDN-adjacent customs clearance agent (ARMPC/Khoury) and the SDN-listed remitting bank (Central Bank of Calverley) as material compliance hurdles that must be satisfactorily resolved before the transaction can proceed.</w:t>
      </w:r>
      <w:r>
        <w:t xml:space="preserve"> </w:t>
      </w:r>
      <w:r>
        <w:rPr>
          <w:i/>
          <w:iCs/>
        </w:rPr>
        <w:t xml:space="preserve">Recommendation:</w:t>
      </w:r>
      <w:r>
        <w:t xml:space="preserve"> </w:t>
      </w:r>
      <w:r>
        <w:t xml:space="preserve">The application must be structured to resolve both hurdles (per Issues 1 and 2) so that the residual compliance risk at the time of filing is reduced below the</w:t>
      </w:r>
      <w:r>
        <w:t xml:space="preserve"> </w:t>
      </w:r>
      <w:r>
        <w:t xml:space="preserve">“</w:t>
      </w:r>
      <w:r>
        <w:t xml:space="preserve">Moderate-to-High</w:t>
      </w:r>
      <w:r>
        <w:t xml:space="preserve">”</w:t>
      </w:r>
      <w:r>
        <w:t xml:space="preserve"> </w:t>
      </w:r>
      <w:r>
        <w:t xml:space="preserve">baseline. The prioritization of Issues 1 and 2 in this memorandum and in the application reflects this risk assessment. The</w:t>
      </w:r>
      <w:r>
        <w:t xml:space="preserve"> </w:t>
      </w:r>
      <w:r>
        <w:t xml:space="preserve">“</w:t>
      </w:r>
      <w:r>
        <w:t xml:space="preserve">Moderate-to-High</w:t>
      </w:r>
      <w:r>
        <w:t xml:space="preserve">”</w:t>
      </w:r>
      <w:r>
        <w:t xml:space="preserve"> </w:t>
      </w:r>
      <w:r>
        <w:t xml:space="preserve">characterization should not be repeated in the application itself (which presents the resolved, restructured transaction), but should inform counsel’s internal risk management and client communications.</w:t>
      </w:r>
    </w:p>
    <w:p>
      <w:pPr>
        <w:pStyle w:val="BodyText"/>
      </w:pPr>
      <w:r>
        <w:rPr>
          <w:b/>
          <w:bCs/>
        </w:rPr>
        <w:t xml:space="preserve">Issue 34 — Product Description Discrepancy in the Compliance Record (Sample Matrix).</w:t>
      </w:r>
      <w:r>
        <w:t xml:space="preserve"> </w:t>
      </w:r>
      <w:r>
        <w:t xml:space="preserve">The Compliance Department’s screening memorandum (Section 4) describes the CancerDetect RX-700 as</w:t>
      </w:r>
      <w:r>
        <w:t xml:space="preserve"> </w:t>
      </w:r>
      <w:r>
        <w:t xml:space="preserve">“</w:t>
      </w:r>
      <w:r>
        <w:t xml:space="preserve">an in vitro diagnostic reagent kit designed for the qualitative detection of cancer biomarkers in human serum and plasma samples.</w:t>
      </w:r>
      <w:r>
        <w:t xml:space="preserve">”</w:t>
      </w:r>
      <w:r>
        <w:t xml:space="preserve"> </w:t>
      </w:r>
      <w:r>
        <w:t xml:space="preserve">The product technical data sheet (Section 1.1) and the DCUH purchase order (Item 1) describe the kit as intended for</w:t>
      </w:r>
      <w:r>
        <w:t xml:space="preserve"> </w:t>
      </w:r>
      <w:r>
        <w:t xml:space="preserve">“</w:t>
      </w:r>
      <w:r>
        <w:t xml:space="preserve">immunohistochemical (IHC) staining of formalin-fixed, paraffin-embedded (FFPE) tissue biopsies</w:t>
      </w:r>
      <w:r>
        <w:t xml:space="preserve">”</w:t>
      </w:r>
      <w:r>
        <w:t xml:space="preserve"> </w:t>
      </w:r>
      <w:r>
        <w:t xml:space="preserve">for HER2, ER, and PR. These are different sample matrices (serum/plasma versus FFPE tissue). The application uses the accurate FFPE-tissue description drawn from the datasheet and purchase order.</w:t>
      </w:r>
      <w:r>
        <w:t xml:space="preserve"> </w:t>
      </w:r>
      <w:r>
        <w:rPr>
          <w:i/>
          <w:iCs/>
        </w:rPr>
        <w:t xml:space="preserve">Recommendation:</w:t>
      </w:r>
      <w:r>
        <w:t xml:space="preserve"> </w:t>
      </w:r>
      <w:r>
        <w:t xml:space="preserve">Correct the compliance record’s product description to match the datasheet and PO; ensure the application, end-use statements, and any OFAC correspondence consistently describe the kit as an IHC FFPE-tissue staining kit, not a serum/plasma assay. Flag the discrepancy to the Compliance Department (Ms. Dunleavy) so the screening memorandum is corrected before it is submitted to OFAC as Exhibit C.</w:t>
      </w:r>
    </w:p>
    <w:p>
      <w:pPr>
        <w:pStyle w:val="BodyText"/>
      </w:pPr>
      <w:r>
        <w:rPr>
          <w:b/>
          <w:bCs/>
        </w:rPr>
        <w:t xml:space="preserve">Issue 35 — Remote Training Connectivity and On-Site Equipment Prerequisites.</w:t>
      </w:r>
      <w:r>
        <w:t xml:space="preserve"> </w:t>
      </w:r>
      <w:r>
        <w:t xml:space="preserve">The product technical data sheet (Section 3.3) requires the end-user facility to provide, for the remote training, a stable internet connection of at least 10 Mbps upload/download speed, a webcam-equipped workstation for video conferencing, and the installed CalibPro 3100 unit(s) together with at least two (2) CancerDetect RX-700 Reagent Kits on-site for hands-on exercises. Given the degraded communications and electrical infrastructure in Syria documented in the WHO needs assessment, DCUH’s ability to satisfy these prerequisites is not confirmed. If the prerequisites cannot be met, the training (and the $35,000 service component) may need to be deferred or restructured, which could require a license amendment.</w:t>
      </w:r>
      <w:r>
        <w:t xml:space="preserve"> </w:t>
      </w:r>
      <w:r>
        <w:rPr>
          <w:i/>
          <w:iCs/>
        </w:rPr>
        <w:t xml:space="preserve">Recommendation:</w:t>
      </w:r>
      <w:r>
        <w:t xml:space="preserve"> </w:t>
      </w:r>
      <w:r>
        <w:t xml:space="preserve">Obtain written confirmation from DCUH that it can provide the required internet bandwidth (≥ 10 Mbps), a webcam-equipped workstation, and the on-site equipment (installed CalibPro 3100 unit(s) and ≥ 2 RX-700 kits) before scheduling the training; build prerequisite confirmation into the end-use monitoring file; if prerequisites cannot be met, evaluate deferral of the training component and a corresponding license amendment.</w:t>
      </w:r>
    </w:p>
    <w:p>
      <w:r>
        <w:pict>
          <v:rect style="width:0;height:1.5pt" o:hralign="center" o:hrstd="t" o:hr="t"/>
        </w:pict>
      </w:r>
    </w:p>
    <w:bookmarkEnd w:id="30"/>
    <w:bookmarkEnd w:id="31"/>
    <w:bookmarkStart w:id="32" w:name="v.-recommended-application-strategy"/>
    <w:p>
      <w:pPr>
        <w:pStyle w:val="Heading2"/>
      </w:pPr>
      <w:r>
        <w:t xml:space="preserve">V. RECOMMENDED APPLICATION STRATEGY</w:t>
      </w:r>
    </w:p>
    <w:p>
      <w:pPr>
        <w:pStyle w:val="FirstParagraph"/>
      </w:pPr>
      <w:r>
        <w:t xml:space="preserve">Based on the foregoing, we recommend the following strategy, which is reflected in the application we have prepared:</w:t>
      </w:r>
    </w:p>
    <w:p>
      <w:pPr>
        <w:numPr>
          <w:ilvl w:val="0"/>
          <w:numId w:val="1004"/>
        </w:numPr>
      </w:pPr>
      <w:r>
        <w:rPr>
          <w:b/>
          <w:bCs/>
        </w:rPr>
        <w:t xml:space="preserve">File a specific license application</w:t>
      </w:r>
      <w:r>
        <w:t xml:space="preserve"> </w:t>
      </w:r>
      <w:r>
        <w:t xml:space="preserve">under 31 C.F.R. Part 542 / E.O. 13582 requesting authorization for the export, re-export, and delivery of the goods and services to DCUH, together with the associated payment, shipping, and training activities.</w:t>
      </w:r>
    </w:p>
    <w:p>
      <w:pPr>
        <w:numPr>
          <w:ilvl w:val="0"/>
          <w:numId w:val="1004"/>
        </w:numPr>
      </w:pPr>
      <w:r>
        <w:rPr>
          <w:b/>
          <w:bCs/>
        </w:rPr>
        <w:t xml:space="preserve">Disclose the SDN-related findings fully and transparently</w:t>
      </w:r>
      <w:r>
        <w:t xml:space="preserve"> </w:t>
      </w:r>
      <w:r>
        <w:t xml:space="preserve">(the ARMPC/Khoury 30% shareholder and the CBS remitting bank), and describe the restructuring undertaken to eliminate each exposure. Full disclosure is both an OFAC expectation and a factor favorably distinguishing Meridian’s candor.</w:t>
      </w:r>
    </w:p>
    <w:p>
      <w:pPr>
        <w:numPr>
          <w:ilvl w:val="0"/>
          <w:numId w:val="1004"/>
        </w:numPr>
      </w:pPr>
      <w:r>
        <w:rPr>
          <w:b/>
          <w:bCs/>
        </w:rPr>
        <w:t xml:space="preserve">Restructure the transaction before filing/acceptance:</w:t>
      </w:r>
      <w:r>
        <w:t xml:space="preserve"> </w:t>
      </w:r>
      <w:r>
        <w:t xml:space="preserve">(a) route payment through a non-SDN Syrian commercial bank (not CBS), mirroring the prior license; (b) remove ARMPC and require a screened replacement customs agent; (c) do not accept the purchase order until the license is issued and the restructuring is complete.</w:t>
      </w:r>
    </w:p>
    <w:p>
      <w:pPr>
        <w:numPr>
          <w:ilvl w:val="0"/>
          <w:numId w:val="1004"/>
        </w:numPr>
      </w:pPr>
      <w:r>
        <w:rPr>
          <w:b/>
          <w:bCs/>
        </w:rPr>
        <w:t xml:space="preserve">Request license conditions</w:t>
      </w:r>
      <w:r>
        <w:t xml:space="preserve"> </w:t>
      </w:r>
      <w:r>
        <w:t xml:space="preserve">that (i) prohibit involvement of ARMPC, Mr. Khoury, CBS, and any SDN-listed or 50%-blocked person; (ii) authorize payment only from a non-SDN Syrian commercial bank; (iii) authorize the governmental end-user and the indirect Ministry of Health nexus; (iv) authorize the re-export from Turkey via Bab al-Hawa; (v) authorize the remote training and associated technical-data transfer, scoped to the described curriculum and excluding future firmware updates and post-training technical assistance; (vi) require delivery solely to DCUH with no diversion; (vii) require 30-day post-shipment reports (including temperature data logger records); (viii) require the end-use monitoring plan; (ix) require 90-day and pre-shipment re-screening; (x) require 5-year recordkeeping; and (xi) preserve EAR obligations and material-change reporting.</w:t>
      </w:r>
    </w:p>
    <w:p>
      <w:pPr>
        <w:numPr>
          <w:ilvl w:val="0"/>
          <w:numId w:val="1004"/>
        </w:numPr>
      </w:pPr>
      <w:r>
        <w:rPr>
          <w:b/>
          <w:bCs/>
        </w:rPr>
        <w:t xml:space="preserve">Lead with the humanitarian justification</w:t>
      </w:r>
      <w:r>
        <w:t xml:space="preserve"> </w:t>
      </w:r>
      <w:r>
        <w:t xml:space="preserve">(WHO January 2024 assessment), the sole-source status, the prior license precedent, and the clean enforcement record as the principal favorable factors.</w:t>
      </w:r>
    </w:p>
    <w:p>
      <w:pPr>
        <w:numPr>
          <w:ilvl w:val="0"/>
          <w:numId w:val="1004"/>
        </w:numPr>
      </w:pPr>
      <w:r>
        <w:rPr>
          <w:b/>
          <w:bCs/>
        </w:rPr>
        <w:t xml:space="preserve">Address the outstanding Graystone audit recommendations</w:t>
      </w:r>
      <w:r>
        <w:t xml:space="preserve"> </w:t>
      </w:r>
      <w:r>
        <w:t xml:space="preserve">(end-use monitoring and embedded-software risk documentation) through the application, demonstrating program maturation.</w:t>
      </w:r>
    </w:p>
    <w:p>
      <w:r>
        <w:pict>
          <v:rect style="width:0;height:1.5pt" o:hralign="center" o:hrstd="t" o:hr="t"/>
        </w:pict>
      </w:r>
    </w:p>
    <w:bookmarkEnd w:id="32"/>
    <w:bookmarkStart w:id="33" w:name="vi.-open-items-and-next-steps"/>
    <w:p>
      <w:pPr>
        <w:pStyle w:val="Heading2"/>
      </w:pPr>
      <w:r>
        <w:t xml:space="preserve">VI. OPEN ITEMS AND NEXT STEPS</w:t>
      </w:r>
    </w:p>
    <w:p>
      <w:pPr>
        <w:pStyle w:val="FirstParagraph"/>
      </w:pPr>
      <w:r>
        <w:t xml:space="preserve">The following items remain open and should be resolved before or promptly after filing:</w:t>
      </w:r>
    </w:p>
    <w:p>
      <w:pPr>
        <w:pStyle w:val="Compact"/>
        <w:numPr>
          <w:ilvl w:val="0"/>
          <w:numId w:val="1005"/>
        </w:numPr>
      </w:pPr>
      <w:r>
        <w:rPr>
          <w:b/>
          <w:bCs/>
        </w:rPr>
        <w:t xml:space="preserve">Replacement Syrian customs clearance/final-delivery agent.</w:t>
      </w:r>
      <w:r>
        <w:t xml:space="preserve"> </w:t>
      </w:r>
      <w:r>
        <w:t xml:space="preserve">Identify, screen (including beneficial ownership), and confirm a clean replacement for ARMPC. If none is available, determine whether to seek OFAC guidance or restructure delivery.</w:t>
      </w:r>
      <w:r>
        <w:t xml:space="preserve"> </w:t>
      </w:r>
      <w:r>
        <w:rPr>
          <w:i/>
          <w:iCs/>
        </w:rPr>
        <w:t xml:space="preserve">(Issue 6)</w:t>
      </w:r>
    </w:p>
    <w:p>
      <w:pPr>
        <w:pStyle w:val="Compact"/>
        <w:numPr>
          <w:ilvl w:val="0"/>
          <w:numId w:val="1005"/>
        </w:numPr>
      </w:pPr>
      <w:r>
        <w:rPr>
          <w:b/>
          <w:bCs/>
        </w:rPr>
        <w:t xml:space="preserve">Replacement remitting bank.</w:t>
      </w:r>
      <w:r>
        <w:t xml:space="preserve"> </w:t>
      </w:r>
      <w:r>
        <w:t xml:space="preserve">Identify and screen a non-SDN Syrian commercial bank for the payment flow; confirm the source account presents no sanctions nexus.</w:t>
      </w:r>
      <w:r>
        <w:t xml:space="preserve"> </w:t>
      </w:r>
      <w:r>
        <w:rPr>
          <w:i/>
          <w:iCs/>
        </w:rPr>
        <w:t xml:space="preserve">(Issues 2, 5)</w:t>
      </w:r>
    </w:p>
    <w:p>
      <w:pPr>
        <w:pStyle w:val="Compact"/>
        <w:numPr>
          <w:ilvl w:val="0"/>
          <w:numId w:val="1005"/>
        </w:numPr>
      </w:pPr>
      <w:r>
        <w:rPr>
          <w:b/>
          <w:bCs/>
        </w:rPr>
        <w:t xml:space="preserve">DCUH cold-chain receiving capability.</w:t>
      </w:r>
      <w:r>
        <w:t xml:space="preserve"> </w:t>
      </w:r>
      <w:r>
        <w:t xml:space="preserve">Obtain written confirmation from DCUH of adequate 2–8°C refrigerated storage to accept and maintain the full shipment.</w:t>
      </w:r>
      <w:r>
        <w:t xml:space="preserve"> </w:t>
      </w:r>
      <w:r>
        <w:rPr>
          <w:i/>
          <w:iCs/>
        </w:rPr>
        <w:t xml:space="preserve">(Issue 15)</w:t>
      </w:r>
    </w:p>
    <w:p>
      <w:pPr>
        <w:pStyle w:val="Compact"/>
        <w:numPr>
          <w:ilvl w:val="0"/>
          <w:numId w:val="1005"/>
        </w:numPr>
      </w:pPr>
      <w:r>
        <w:rPr>
          <w:b/>
          <w:bCs/>
        </w:rPr>
        <w:t xml:space="preserve">End-user certificate / non-diversion commitment.</w:t>
      </w:r>
      <w:r>
        <w:t xml:space="preserve"> </w:t>
      </w:r>
      <w:r>
        <w:t xml:space="preserve">Prepare and obtain an executed end-user certificate and non-diversion commitment from DCUH (Dr. Al-Masri) as a condition of shipment.</w:t>
      </w:r>
      <w:r>
        <w:t xml:space="preserve"> </w:t>
      </w:r>
      <w:r>
        <w:rPr>
          <w:i/>
          <w:iCs/>
        </w:rPr>
        <w:t xml:space="preserve">(Issue 17)</w:t>
      </w:r>
    </w:p>
    <w:p>
      <w:pPr>
        <w:pStyle w:val="Compact"/>
        <w:numPr>
          <w:ilvl w:val="0"/>
          <w:numId w:val="1005"/>
        </w:numPr>
      </w:pPr>
      <w:r>
        <w:rPr>
          <w:b/>
          <w:bCs/>
        </w:rPr>
        <w:t xml:space="preserve">Lot/shelf-life coordination.</w:t>
      </w:r>
      <w:r>
        <w:t xml:space="preserve"> </w:t>
      </w:r>
      <w:r>
        <w:t xml:space="preserve">Coordinate manufacturing and shipment timing so that kits retain adequate shelf life for clinical use after the 6–8 week transit.</w:t>
      </w:r>
      <w:r>
        <w:t xml:space="preserve"> </w:t>
      </w:r>
      <w:r>
        <w:rPr>
          <w:i/>
          <w:iCs/>
        </w:rPr>
        <w:t xml:space="preserve">(Issue 16)</w:t>
      </w:r>
    </w:p>
    <w:p>
      <w:pPr>
        <w:pStyle w:val="Compact"/>
        <w:numPr>
          <w:ilvl w:val="0"/>
          <w:numId w:val="1005"/>
        </w:numPr>
      </w:pPr>
      <w:r>
        <w:rPr>
          <w:b/>
          <w:bCs/>
        </w:rPr>
        <w:t xml:space="preserve">Purchase order acceptance.</w:t>
      </w:r>
      <w:r>
        <w:t xml:space="preserve"> </w:t>
      </w:r>
      <w:r>
        <w:t xml:space="preserve">Do not accept PO-DCUH-2024-0743 until the license is issued and the payment and customs-agent restructuring is complete; consider a conforming amendment on governing law/arbitration.</w:t>
      </w:r>
      <w:r>
        <w:t xml:space="preserve"> </w:t>
      </w:r>
      <w:r>
        <w:rPr>
          <w:i/>
          <w:iCs/>
        </w:rPr>
        <w:t xml:space="preserve">(Issues 7, 8)</w:t>
      </w:r>
    </w:p>
    <w:p>
      <w:pPr>
        <w:pStyle w:val="Compact"/>
        <w:numPr>
          <w:ilvl w:val="0"/>
          <w:numId w:val="1005"/>
        </w:numPr>
      </w:pPr>
      <w:r>
        <w:rPr>
          <w:b/>
          <w:bCs/>
        </w:rPr>
        <w:t xml:space="preserve">BIS confirmation.</w:t>
      </w:r>
      <w:r>
        <w:t xml:space="preserve"> </w:t>
      </w:r>
      <w:r>
        <w:t xml:space="preserve">Confirm that no separate BIS authorization is required for the EAR99 items to the end-user and destination.</w:t>
      </w:r>
      <w:r>
        <w:t xml:space="preserve"> </w:t>
      </w:r>
      <w:r>
        <w:rPr>
          <w:i/>
          <w:iCs/>
        </w:rPr>
        <w:t xml:space="preserve">(Issue 12)</w:t>
      </w:r>
    </w:p>
    <w:p>
      <w:pPr>
        <w:pStyle w:val="Compact"/>
        <w:numPr>
          <w:ilvl w:val="0"/>
          <w:numId w:val="1005"/>
        </w:numPr>
      </w:pPr>
      <w:r>
        <w:rPr>
          <w:b/>
          <w:bCs/>
        </w:rPr>
        <w:t xml:space="preserve">Client alignment.</w:t>
      </w:r>
      <w:r>
        <w:t xml:space="preserve"> </w:t>
      </w:r>
      <w:r>
        <w:t xml:space="preserve">Confirm with Mr. Halsted that the restructuring (removing ARMPC and CBS) is understood and authorized, and correct the</w:t>
      </w:r>
      <w:r>
        <w:t xml:space="preserve"> </w:t>
      </w:r>
      <w:r>
        <w:t xml:space="preserve">“</w:t>
      </w:r>
      <w:r>
        <w:t xml:space="preserve">EAR99 makes things easier</w:t>
      </w:r>
      <w:r>
        <w:t xml:space="preserve">”</w:t>
      </w:r>
      <w:r>
        <w:t xml:space="preserve"> </w:t>
      </w:r>
      <w:r>
        <w:t xml:space="preserve">and</w:t>
      </w:r>
      <w:r>
        <w:t xml:space="preserve"> </w:t>
      </w:r>
      <w:r>
        <w:t xml:space="preserve">“</w:t>
      </w:r>
      <w:r>
        <w:t xml:space="preserve">ARMPC came back clean</w:t>
      </w:r>
      <w:r>
        <w:t xml:space="preserve">”</w:t>
      </w:r>
      <w:r>
        <w:t xml:space="preserve"> </w:t>
      </w:r>
      <w:r>
        <w:t xml:space="preserve">assumptions.</w:t>
      </w:r>
      <w:r>
        <w:t xml:space="preserve"> </w:t>
      </w:r>
      <w:r>
        <w:rPr>
          <w:i/>
          <w:iCs/>
        </w:rPr>
        <w:t xml:space="preserve">(Issues 30, 31)</w:t>
      </w:r>
    </w:p>
    <w:p>
      <w:pPr>
        <w:pStyle w:val="Compact"/>
        <w:numPr>
          <w:ilvl w:val="0"/>
          <w:numId w:val="1005"/>
        </w:numPr>
      </w:pPr>
      <w:r>
        <w:rPr>
          <w:b/>
          <w:bCs/>
        </w:rPr>
        <w:t xml:space="preserve">Filing timing.</w:t>
      </w:r>
      <w:r>
        <w:t xml:space="preserve"> </w:t>
      </w:r>
      <w:r>
        <w:t xml:space="preserve">File promptly to maximize runway against the 90–180 day OFAC processing window; manage client expectations on the September 1, 2024 effective date.</w:t>
      </w:r>
      <w:r>
        <w:t xml:space="preserve"> </w:t>
      </w:r>
      <w:r>
        <w:rPr>
          <w:i/>
          <w:iCs/>
        </w:rPr>
        <w:t xml:space="preserve">(Issue 22)</w:t>
      </w:r>
    </w:p>
    <w:p>
      <w:pPr>
        <w:pStyle w:val="Compact"/>
        <w:numPr>
          <w:ilvl w:val="0"/>
          <w:numId w:val="1005"/>
        </w:numPr>
      </w:pPr>
      <w:r>
        <w:rPr>
          <w:b/>
          <w:bCs/>
        </w:rPr>
        <w:t xml:space="preserve">Compliance record product-description correction.</w:t>
      </w:r>
      <w:r>
        <w:t xml:space="preserve"> </w:t>
      </w:r>
      <w:r>
        <w:t xml:space="preserve">Correct the screening memorandum’s description of the RX-700 (currently</w:t>
      </w:r>
      <w:r>
        <w:t xml:space="preserve"> </w:t>
      </w:r>
      <w:r>
        <w:t xml:space="preserve">“</w:t>
      </w:r>
      <w:r>
        <w:t xml:space="preserve">human serum and plasma samples</w:t>
      </w:r>
      <w:r>
        <w:t xml:space="preserve">”</w:t>
      </w:r>
      <w:r>
        <w:t xml:space="preserve">) to match the datasheet/PO (</w:t>
      </w:r>
      <w:r>
        <w:t xml:space="preserve">“</w:t>
      </w:r>
      <w:r>
        <w:t xml:space="preserve">IHC staining of FFPE tissue biopsies</w:t>
      </w:r>
      <w:r>
        <w:t xml:space="preserve">”</w:t>
      </w:r>
      <w:r>
        <w:t xml:space="preserve">) before the memorandum is submitted to OFAC as Exhibit C.</w:t>
      </w:r>
      <w:r>
        <w:t xml:space="preserve"> </w:t>
      </w:r>
      <w:r>
        <w:rPr>
          <w:i/>
          <w:iCs/>
        </w:rPr>
        <w:t xml:space="preserve">(Issue 34)</w:t>
      </w:r>
    </w:p>
    <w:p>
      <w:pPr>
        <w:pStyle w:val="Compact"/>
        <w:numPr>
          <w:ilvl w:val="0"/>
          <w:numId w:val="1005"/>
        </w:numPr>
      </w:pPr>
      <w:r>
        <w:rPr>
          <w:b/>
          <w:bCs/>
        </w:rPr>
        <w:t xml:space="preserve">Remote training prerequisites confirmation.</w:t>
      </w:r>
      <w:r>
        <w:t xml:space="preserve"> </w:t>
      </w:r>
      <w:r>
        <w:t xml:space="preserve">Obtain written confirmation from DCUH that it can provide the required ≥ 10 Mbps internet connection, webcam-equipped workstation, and on-site equipment (installed CalibPro 3100 unit(s) and ≥ 2 RX-700 kits) before scheduling the training; evaluate deferral/license amendment if prerequisites cannot be met.</w:t>
      </w:r>
      <w:r>
        <w:t xml:space="preserve"> </w:t>
      </w:r>
      <w:r>
        <w:rPr>
          <w:i/>
          <w:iCs/>
        </w:rPr>
        <w:t xml:space="preserve">(Issue 35)</w:t>
      </w:r>
    </w:p>
    <w:p>
      <w:pPr>
        <w:pStyle w:val="Compact"/>
        <w:numPr>
          <w:ilvl w:val="0"/>
          <w:numId w:val="1005"/>
        </w:numPr>
      </w:pPr>
      <w:r>
        <w:rPr>
          <w:b/>
          <w:bCs/>
        </w:rPr>
        <w:t xml:space="preserve">General-vs-specific license confirmation.</w:t>
      </w:r>
      <w:r>
        <w:t xml:space="preserve"> </w:t>
      </w:r>
      <w:r>
        <w:t xml:space="preserve">Confirm the specific-license pathway (no applicable general license covers the full scope) is correctly reflected in the application (Part II.4) before filing.</w:t>
      </w:r>
      <w:r>
        <w:t xml:space="preserve"> </w:t>
      </w:r>
      <w:r>
        <w:rPr>
          <w:i/>
          <w:iCs/>
        </w:rPr>
        <w:t xml:space="preserve">(Issue 32)</w:t>
      </w:r>
    </w:p>
    <w:p>
      <w:pPr>
        <w:pStyle w:val="FirstParagraph"/>
      </w:pPr>
      <w:r>
        <w:t xml:space="preserve">We are available to discuss any of the foregoing and to finalize the application for filing.</w:t>
      </w:r>
    </w:p>
    <w:p>
      <w:pPr>
        <w:pStyle w:val="BodyText"/>
      </w:pPr>
      <w:r>
        <w:t xml:space="preserve">Respectfully,</w:t>
      </w:r>
    </w:p>
    <w:p>
      <w:pPr>
        <w:pStyle w:val="BodyText"/>
      </w:pPr>
      <w:r>
        <w:rPr>
          <w:b/>
          <w:bCs/>
        </w:rPr>
        <w:t xml:space="preserve">Ashford &amp; Whitmore LLP</w:t>
      </w:r>
    </w:p>
    <w:p>
      <w:pPr>
        <w:pStyle w:val="BodyText"/>
      </w:pPr>
      <w:r>
        <w:t xml:space="preserve">Catherine R. Bellingham, Esq.</w:t>
      </w:r>
      <w:r>
        <w:t xml:space="preserve"> </w:t>
      </w:r>
      <w:r>
        <w:t xml:space="preserve">Partner</w:t>
      </w:r>
    </w:p>
    <w:p>
      <w:pPr>
        <w:pStyle w:val="BodyText"/>
      </w:pPr>
      <w:r>
        <w:t xml:space="preserve">David Osei-Mensah</w:t>
      </w:r>
      <w:r>
        <w:t xml:space="preserve"> </w:t>
      </w:r>
      <w:r>
        <w:t xml:space="preserve">Senior Associate</w:t>
      </w:r>
    </w:p>
    <w:p>
      <w:pPr>
        <w:pStyle w:val="BodyText"/>
      </w:pPr>
      <w:r>
        <w:rPr>
          <w:i/>
          <w:iCs/>
        </w:rPr>
        <w:t xml:space="preserve">End of Memorandum.</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2026-06-27T01:51:18Z</dcterms:created>
  <dcterms:modified xsi:type="dcterms:W3CDTF">2026-06-27T01:51:18Z</dcterms:modified>
</cp:coreProperties>
</file>

<file path=docProps/custom.xml><?xml version="1.0" encoding="utf-8"?>
<Properties xmlns="http://schemas.openxmlformats.org/officeDocument/2006/custom-properties" xmlns:vt="http://schemas.openxmlformats.org/officeDocument/2006/docPropsVTypes"/>
</file>