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voice-review-memorandum"/>
    <w:p>
      <w:pPr>
        <w:pStyle w:val="Heading1"/>
      </w:pPr>
      <w:r>
        <w:t xml:space="preserve">INVOICE REVIEW MEMORANDUM</w:t>
      </w:r>
    </w:p>
    <w:p>
      <w:pPr>
        <w:pStyle w:val="FirstParagraph"/>
      </w:pPr>
      <w:r>
        <w:rPr>
          <w:b/>
          <w:bCs/>
        </w:rPr>
        <w:t xml:space="preserve">PRIVILEGED &amp;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Dominguez, Associate General Counsel (Designated In-House Counsel)</w:t>
            </w:r>
          </w:p>
        </w:tc>
      </w:tr>
      <w:tr>
        <w:tc>
          <w:tcPr/>
          <w:p>
            <w:pPr>
              <w:pStyle w:val="Compact"/>
              <w:jc w:val="left"/>
            </w:pPr>
            <w:r>
              <w:rPr>
                <w:b/>
                <w:bCs/>
              </w:rPr>
              <w:t xml:space="preserve">Cc:</w:t>
            </w:r>
          </w:p>
        </w:tc>
        <w:tc>
          <w:tcPr/>
          <w:p>
            <w:pPr>
              <w:pStyle w:val="Compact"/>
              <w:jc w:val="left"/>
            </w:pPr>
            <w:r>
              <w:t xml:space="preserve">Sandra Whitmore, General Counsel</w:t>
            </w:r>
          </w:p>
        </w:tc>
      </w:tr>
      <w:tr>
        <w:tc>
          <w:tcPr/>
          <w:p>
            <w:pPr>
              <w:pStyle w:val="Compact"/>
              <w:jc w:val="left"/>
            </w:pPr>
            <w:r>
              <w:rPr>
                <w:b/>
                <w:bCs/>
              </w:rPr>
              <w:t xml:space="preserve">From:</w:t>
            </w:r>
          </w:p>
        </w:tc>
        <w:tc>
          <w:tcPr/>
          <w:p>
            <w:pPr>
              <w:pStyle w:val="Compact"/>
              <w:jc w:val="left"/>
            </w:pPr>
            <w:r>
              <w:t xml:space="preserve">Legal Department — Invoice Review</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Review of Invoice No. HL-2025-05-PIN —</w:t>
            </w:r>
            <w:r>
              <w:t xml:space="preserve"> </w:t>
            </w:r>
            <w:r>
              <w:rPr>
                <w:i/>
                <w:iCs/>
              </w:rPr>
              <w:t xml:space="preserve">Pinnacle Health Systems, Inc. v. MedCore Analytics, LLC</w:t>
            </w:r>
            <w:r>
              <w:t xml:space="preserve">, Case No. 1:24-cv-04187-RWS (N.D. Ga.)</w:t>
            </w:r>
          </w:p>
        </w:tc>
      </w:tr>
      <w:tr>
        <w:tc>
          <w:tcPr/>
          <w:p>
            <w:pPr>
              <w:pStyle w:val="Compact"/>
              <w:jc w:val="left"/>
            </w:pPr>
            <w:r>
              <w:rPr>
                <w:b/>
                <w:bCs/>
              </w:rPr>
              <w:t xml:space="preserve">Billing Period:</w:t>
            </w:r>
          </w:p>
        </w:tc>
        <w:tc>
          <w:tcPr/>
          <w:p>
            <w:pPr>
              <w:pStyle w:val="Compact"/>
              <w:jc w:val="left"/>
            </w:pPr>
            <w:r>
              <w:t xml:space="preserve">May 1 – May 31, 2025</w:t>
            </w:r>
          </w:p>
        </w:tc>
      </w:tr>
      <w:tr>
        <w:tc>
          <w:tcPr/>
          <w:p>
            <w:pPr>
              <w:pStyle w:val="Compact"/>
              <w:jc w:val="left"/>
            </w:pPr>
            <w:r>
              <w:rPr>
                <w:b/>
                <w:bCs/>
              </w:rPr>
              <w:t xml:space="preserve">Outside Counsel:</w:t>
            </w:r>
          </w:p>
        </w:tc>
        <w:tc>
          <w:tcPr/>
          <w:p>
            <w:pPr>
              <w:pStyle w:val="Compact"/>
              <w:jc w:val="left"/>
            </w:pPr>
            <w:r>
              <w:t xml:space="preserve">Hargrove &amp; Linden LLP</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submitted Invoice No. HL-2025-05-PIN, dated June 5, 2025, seeking</w:t>
      </w:r>
      <w:r>
        <w:t xml:space="preserve"> </w:t>
      </w:r>
      <w:r>
        <w:rPr>
          <w:b/>
          <w:bCs/>
        </w:rPr>
        <w:t xml:space="preserve">$201,822.50</w:t>
      </w:r>
      <w:r>
        <w:t xml:space="preserve"> </w:t>
      </w:r>
      <w:r>
        <w:t xml:space="preserve">for the May 2025 billing period ($193,372.50 in attorney fees across 422.5 hours and $8,450.00 in expenses). This memorandum reviews that invoice against (a) the Approved Discovery-Phase Staffing Plan dated February 10, 2025; (b) Pinnacle’s Outside Counsel Billing Guidelines (January 2023) (the</w:t>
      </w:r>
      <w:r>
        <w:t xml:space="preserve"> </w:t>
      </w:r>
      <w:r>
        <w:t xml:space="preserve">“</w:t>
      </w:r>
      <w:r>
        <w:t xml:space="preserve">Billing Guidelines</w:t>
      </w:r>
      <w:r>
        <w:t xml:space="preserve">”</w:t>
      </w:r>
      <w:r>
        <w:t xml:space="preserve">); (c) the April 28 / May 1, 2025 staffing correspondence regarding Nina Barros; and (d) H&amp;L’s Monthly Case Status Report dated June 1, 2025.</w:t>
      </w:r>
    </w:p>
    <w:p>
      <w:pPr>
        <w:pStyle w:val="BodyText"/>
      </w:pPr>
      <w:r>
        <w:t xml:space="preserve">The review identifies</w:t>
      </w:r>
      <w:r>
        <w:t xml:space="preserve"> </w:t>
      </w:r>
      <w:r>
        <w:rPr>
          <w:b/>
          <w:bCs/>
        </w:rPr>
        <w:t xml:space="preserve">multiple, independent violations</w:t>
      </w:r>
      <w:r>
        <w:t xml:space="preserve"> </w:t>
      </w:r>
      <w:r>
        <w:t xml:space="preserve">of the Billing Guidelines and the Approved Staffing Plan. The most significant are the billing of</w:t>
      </w:r>
      <w:r>
        <w:t xml:space="preserve"> </w:t>
      </w:r>
      <w:r>
        <w:rPr>
          <w:b/>
          <w:bCs/>
        </w:rPr>
        <w:t xml:space="preserve">two unapproved timekeepers</w:t>
      </w:r>
      <w:r>
        <w:t xml:space="preserve"> </w:t>
      </w:r>
      <w:r>
        <w:t xml:space="preserve">(Nina Barros and Priya Sengupta) whose addition was never approved in writing as required by Billing Guidelines § 4.2, an</w:t>
      </w:r>
      <w:r>
        <w:t xml:space="preserve"> </w:t>
      </w:r>
      <w:r>
        <w:rPr>
          <w:b/>
          <w:bCs/>
        </w:rPr>
        <w:t xml:space="preserve">overstated contract-attorney rate</w:t>
      </w:r>
      <w:r>
        <w:t xml:space="preserve"> </w:t>
      </w:r>
      <w:r>
        <w:t xml:space="preserve">that exceeds both the approved pass-through rate and the § 5.1 rate cap,</w:t>
      </w:r>
      <w:r>
        <w:t xml:space="preserve"> </w:t>
      </w:r>
      <w:r>
        <w:rPr>
          <w:b/>
          <w:bCs/>
        </w:rPr>
        <w:t xml:space="preserve">pervasive block billing</w:t>
      </w:r>
      <w:r>
        <w:t xml:space="preserve"> </w:t>
      </w:r>
      <w:r>
        <w:t xml:space="preserve">across 26 time entries,</w:t>
      </w:r>
      <w:r>
        <w:t xml:space="preserve"> </w:t>
      </w:r>
      <w:r>
        <w:rPr>
          <w:b/>
          <w:bCs/>
        </w:rPr>
        <w:t xml:space="preserve">administrative tasks billed at attorney rates</w:t>
      </w:r>
      <w:r>
        <w:t xml:space="preserve">,</w:t>
      </w:r>
      <w:r>
        <w:t xml:space="preserve"> </w:t>
      </w:r>
      <w:r>
        <w:rPr>
          <w:b/>
          <w:bCs/>
        </w:rPr>
        <w:t xml:space="preserve">over-staffing</w:t>
      </w:r>
      <w:r>
        <w:t xml:space="preserve"> </w:t>
      </w:r>
      <w:r>
        <w:t xml:space="preserve">of an internal strategy call and a deposition in violation of § 4.3,</w:t>
      </w:r>
      <w:r>
        <w:t xml:space="preserve"> </w:t>
      </w:r>
      <w:r>
        <w:rPr>
          <w:b/>
          <w:bCs/>
        </w:rPr>
        <w:t xml:space="preserve">senior timekeepers performing routine tasks</w:t>
      </w:r>
      <w:r>
        <w:t xml:space="preserve"> </w:t>
      </w:r>
      <w:r>
        <w:t xml:space="preserve">in violation of § 6.1, and a</w:t>
      </w:r>
      <w:r>
        <w:t xml:space="preserve"> </w:t>
      </w:r>
      <w:r>
        <w:rPr>
          <w:b/>
          <w:bCs/>
        </w:rPr>
        <w:t xml:space="preserve">non-reimbursable local-travel expense</w:t>
      </w:r>
      <w:r>
        <w:t xml:space="preserve">. The invoice also exceeds the § 7.3 budget ceiling without the required pre-approval, and it omits the budget-to-actual reconciliation required by §§ 7.2 and 9.1(g).</w:t>
      </w:r>
    </w:p>
    <w:p>
      <w:pPr>
        <w:pStyle w:val="BodyText"/>
      </w:pPr>
      <w:r>
        <w:t xml:space="preserve">Applying the remedies specified in the Billing Guidelines, this review recommends a</w:t>
      </w:r>
      <w:r>
        <w:t xml:space="preserve"> </w:t>
      </w:r>
      <w:r>
        <w:rPr>
          <w:b/>
          <w:bCs/>
        </w:rPr>
        <w:t xml:space="preserve">total reduction of $64,320.00</w:t>
      </w:r>
      <w:r>
        <w:t xml:space="preserve">, resulting in a</w:t>
      </w:r>
      <w:r>
        <w:t xml:space="preserve"> </w:t>
      </w:r>
      <w:r>
        <w:rPr>
          <w:b/>
          <w:bCs/>
        </w:rPr>
        <w:t xml:space="preserve">recommended payable amount of $137,502.50</w:t>
      </w:r>
      <w:r>
        <w:t xml:space="preserve"> </w:t>
      </w:r>
      <w:r>
        <w:t xml:space="preserve">(a 31.9% reduction from the invoiced total). The recommended reductions are summarized in Section VI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Invoice total (fees + expenses)</w:t>
            </w:r>
          </w:p>
        </w:tc>
        <w:tc>
          <w:tcPr/>
          <w:p>
            <w:pPr>
              <w:pStyle w:val="Compact"/>
              <w:jc w:val="right"/>
            </w:pPr>
            <w:r>
              <w:t xml:space="preserve">$201,822.50</w:t>
            </w:r>
          </w:p>
        </w:tc>
      </w:tr>
      <w:tr>
        <w:tc>
          <w:tcPr/>
          <w:p>
            <w:pPr>
              <w:pStyle w:val="Compact"/>
              <w:jc w:val="left"/>
            </w:pPr>
            <w:r>
              <w:t xml:space="preserve">Total recommended reductions</w:t>
            </w:r>
          </w:p>
        </w:tc>
        <w:tc>
          <w:tcPr/>
          <w:p>
            <w:pPr>
              <w:pStyle w:val="Compact"/>
              <w:jc w:val="right"/>
            </w:pPr>
            <w:r>
              <w:t xml:space="preserve">($64,320.00)</w:t>
            </w:r>
          </w:p>
        </w:tc>
      </w:tr>
      <w:tr>
        <w:tc>
          <w:tcPr/>
          <w:p>
            <w:pPr>
              <w:pStyle w:val="Compact"/>
              <w:jc w:val="left"/>
            </w:pPr>
            <w:r>
              <w:rPr>
                <w:b/>
                <w:bCs/>
              </w:rPr>
              <w:t xml:space="preserve">Recommended amount payable</w:t>
            </w:r>
          </w:p>
        </w:tc>
        <w:tc>
          <w:tcPr/>
          <w:p>
            <w:pPr>
              <w:pStyle w:val="Compact"/>
              <w:jc w:val="right"/>
            </w:pPr>
            <w:r>
              <w:rPr>
                <w:b/>
                <w:bCs/>
              </w:rPr>
              <w:t xml:space="preserve">$137,502.50</w:t>
            </w:r>
          </w:p>
        </w:tc>
      </w:tr>
    </w:tbl>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rPr>
          <w:b/>
          <w:bCs/>
        </w:rPr>
        <w:t xml:space="preserve">Invoice No. HL-2025-05-PIN</w:t>
      </w:r>
      <w:r>
        <w:t xml:space="preserve"> </w:t>
      </w:r>
      <w:r>
        <w:t xml:space="preserve">(H&amp;L, dated June 5, 2025) — Summary, Time Detail (116 entries), Expense Detail, and Rate Schedule tabs.</w:t>
      </w:r>
    </w:p>
    <w:p>
      <w:pPr>
        <w:pStyle w:val="Compact"/>
        <w:numPr>
          <w:ilvl w:val="0"/>
          <w:numId w:val="1001"/>
        </w:numPr>
      </w:pPr>
      <w:r>
        <w:rPr>
          <w:b/>
          <w:bCs/>
        </w:rPr>
        <w:t xml:space="preserve">Approved Discovery-Phase Staffing Plan</w:t>
      </w:r>
      <w:r>
        <w:t xml:space="preserve"> </w:t>
      </w:r>
      <w:r>
        <w:t xml:space="preserve">(H&amp;L letter to R. Dominguez, dated February 10, 2025, acknowledged and approved by R. Dominguez and S. Whitmore).</w:t>
      </w:r>
    </w:p>
    <w:p>
      <w:pPr>
        <w:pStyle w:val="Compact"/>
        <w:numPr>
          <w:ilvl w:val="0"/>
          <w:numId w:val="1001"/>
        </w:numPr>
      </w:pPr>
      <w:r>
        <w:rPr>
          <w:b/>
          <w:bCs/>
        </w:rPr>
        <w:t xml:space="preserve">Pinnacle Outside Counsel Billing Guidelines</w:t>
      </w:r>
      <w:r>
        <w:t xml:space="preserve">, effective January 1, 2023.</w:t>
      </w:r>
    </w:p>
    <w:p>
      <w:pPr>
        <w:pStyle w:val="Compact"/>
        <w:numPr>
          <w:ilvl w:val="0"/>
          <w:numId w:val="1001"/>
        </w:numPr>
      </w:pPr>
      <w:r>
        <w:rPr>
          <w:b/>
          <w:bCs/>
        </w:rPr>
        <w:t xml:space="preserve">Staffing correspondence</w:t>
      </w:r>
      <w:r>
        <w:t xml:space="preserve">: (a) email from K. Cho to R. Dominguez dated April 28, 2025, requesting addition of Nina Barros; (b) reply email from R. Dominguez to K. Cho dated May 1, 2025.</w:t>
      </w:r>
    </w:p>
    <w:p>
      <w:pPr>
        <w:pStyle w:val="Compact"/>
        <w:numPr>
          <w:ilvl w:val="0"/>
          <w:numId w:val="1001"/>
        </w:numPr>
      </w:pPr>
      <w:r>
        <w:rPr>
          <w:b/>
          <w:bCs/>
        </w:rPr>
        <w:t xml:space="preserve">Monthly Case Status Report</w:t>
      </w:r>
      <w:r>
        <w:t xml:space="preserve"> </w:t>
      </w:r>
      <w:r>
        <w:t xml:space="preserve">(H&amp;L, dated June 1, 2025) covering May 2025 activity.</w:t>
      </w:r>
    </w:p>
    <w:p>
      <w:r>
        <w:pict>
          <v:rect style="width:0;height:1.5pt" o:hralign="center" o:hrstd="t" o:hr="t"/>
        </w:pict>
      </w:r>
    </w:p>
    <w:bookmarkEnd w:id="21"/>
    <w:bookmarkStart w:id="22" w:name="iii.-invoice-overview"/>
    <w:p>
      <w:pPr>
        <w:pStyle w:val="Heading2"/>
      </w:pPr>
      <w:r>
        <w:t xml:space="preserve">III. Invoice Overview</w:t>
      </w:r>
    </w:p>
    <w:p>
      <w:pPr>
        <w:pStyle w:val="FirstParagraph"/>
      </w:pPr>
      <w:r>
        <w:t xml:space="preserve">The invoice reflects seven timekeepers, billed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w:t>
            </w:r>
          </w:p>
        </w:tc>
        <w:tc>
          <w:tcPr/>
          <w:p>
            <w:pPr>
              <w:pStyle w:val="Compact"/>
              <w:jc w:val="right"/>
            </w:pPr>
            <w:r>
              <w:t xml:space="preserve">Fees Billed</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120.0</w:t>
            </w:r>
          </w:p>
        </w:tc>
        <w:tc>
          <w:tcPr/>
          <w:p>
            <w:pPr>
              <w:pStyle w:val="Compact"/>
              <w:jc w:val="right"/>
            </w:pPr>
            <w:r>
              <w:t xml:space="preserve">$25,200.00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422.5</w:t>
            </w:r>
          </w:p>
        </w:tc>
        <w:tc>
          <w:tcPr/>
          <w:p>
            <w:pPr>
              <w:pStyle w:val="Compact"/>
              <w:jc w:val="right"/>
            </w:pPr>
            <w:r>
              <w:rPr>
                <w:b/>
                <w:bCs/>
              </w:rPr>
              <w:t xml:space="preserve">$193,372.50</w:t>
            </w:r>
          </w:p>
        </w:tc>
      </w:tr>
    </w:tbl>
    <w:p>
      <w:pPr>
        <w:pStyle w:val="BodyText"/>
      </w:pPr>
      <w:r>
        <w:t xml:space="preserve">Expenses billed total</w:t>
      </w:r>
      <w:r>
        <w:t xml:space="preserve"> </w:t>
      </w:r>
      <w:r>
        <w:rPr>
          <w:b/>
          <w:bCs/>
        </w:rPr>
        <w:t xml:space="preserve">$8,450.00</w:t>
      </w:r>
      <w:r>
        <w:t xml:space="preserve">: court reporting $3,200.00; travel $2,100.00; e-discovery hosting $2,650.00; courier $500.00.</w:t>
      </w:r>
    </w:p>
    <w:p>
      <w:pPr>
        <w:pStyle w:val="BodyText"/>
      </w:pPr>
      <w:r>
        <w:t xml:space="preserve">The Approved Staffing Plan authorized</w:t>
      </w:r>
      <w:r>
        <w:t xml:space="preserve"> </w:t>
      </w:r>
      <w:r>
        <w:rPr>
          <w:b/>
          <w:bCs/>
        </w:rPr>
        <w:t xml:space="preserve">five</w:t>
      </w:r>
      <w:r>
        <w:t xml:space="preserve"> </w:t>
      </w:r>
      <w:r>
        <w:t xml:space="preserve">timekeeper slots: Hargrove (Partner), Cho (Senior Associate), Pettersson (Mid-Level Associate — the</w:t>
      </w:r>
      <w:r>
        <w:t xml:space="preserve"> </w:t>
      </w:r>
      <w:r>
        <w:rPr>
          <w:i/>
          <w:iCs/>
        </w:rPr>
        <w:t xml:space="preserve">only</w:t>
      </w:r>
      <w:r>
        <w:t xml:space="preserve"> </w:t>
      </w:r>
      <w:r>
        <w:t xml:space="preserve">mid-level associate), one Junior Associate from the firm’s rotating pool (then Tyler Webb), and one Contract Attorney via Redwood Document Solutions at a $185/hr pass-through rate. The plan expressly states that</w:t>
      </w:r>
      <w:r>
        <w:t xml:space="preserve"> </w:t>
      </w:r>
      <w:r>
        <w:t xml:space="preserve">“</w:t>
      </w:r>
      <w:r>
        <w:t xml:space="preserve">James Pettersson is the only mid-level associate assigned to this matter</w:t>
      </w:r>
      <w:r>
        <w:t xml:space="preserve">”</w:t>
      </w:r>
      <w:r>
        <w:t xml:space="preserve"> </w:t>
      </w:r>
      <w:r>
        <w:t xml:space="preserve">and that</w:t>
      </w:r>
      <w:r>
        <w:t xml:space="preserve"> </w:t>
      </w:r>
      <w:r>
        <w:t xml:space="preserve">“</w:t>
      </w:r>
      <w:r>
        <w:t xml:space="preserve">only one junior associate will be assigned to and authorized to bill on this matter at any given time.</w:t>
      </w:r>
      <w:r>
        <w:t xml:space="preserve">”</w:t>
      </w:r>
      <w:r>
        <w:t xml:space="preserve"> </w:t>
      </w:r>
      <w:r>
        <w:t xml:space="preserve">The approved monthly fee range is</w:t>
      </w:r>
      <w:r>
        <w:t xml:space="preserve"> </w:t>
      </w:r>
      <w:r>
        <w:rPr>
          <w:b/>
          <w:bCs/>
        </w:rPr>
        <w:t xml:space="preserve">$95,000 – $165,000</w:t>
      </w:r>
      <w:r>
        <w:t xml:space="preserve">, with a § 7.3 pre-approval threshold of</w:t>
      </w:r>
      <w:r>
        <w:t xml:space="preserve"> </w:t>
      </w:r>
      <w:r>
        <w:rPr>
          <w:b/>
          <w:bCs/>
        </w:rPr>
        <w:t xml:space="preserve">$189,750</w:t>
      </w:r>
      <w:r>
        <w:t xml:space="preserve"> </w:t>
      </w:r>
      <w:r>
        <w:t xml:space="preserve">(115% of the high end).</w:t>
      </w:r>
    </w:p>
    <w:p>
      <w:r>
        <w:pict>
          <v:rect style="width:0;height:1.5pt" o:hralign="center" o:hrstd="t" o:hr="t"/>
        </w:pict>
      </w:r>
    </w:p>
    <w:bookmarkEnd w:id="22"/>
    <w:bookmarkStart w:id="32" w:name="iv.-findings-and-reduction-calculations"/>
    <w:p>
      <w:pPr>
        <w:pStyle w:val="Heading2"/>
      </w:pPr>
      <w:r>
        <w:t xml:space="preserve">IV. Findings and Reduction Calculations</w:t>
      </w:r>
    </w:p>
    <w:bookmarkStart w:id="23" w:name="X42259612f8571dbbaf095a66c16af733a92bc02"/>
    <w:p>
      <w:pPr>
        <w:pStyle w:val="Heading3"/>
      </w:pPr>
      <w:r>
        <w:t xml:space="preserve">A. Unapproved Timekeepers — Billing Guidelines § 4.2</w:t>
      </w:r>
    </w:p>
    <w:p>
      <w:pPr>
        <w:pStyle w:val="FirstParagraph"/>
      </w:pPr>
      <w:r>
        <w:rPr>
          <w:b/>
          <w:bCs/>
        </w:rPr>
        <w:t xml:space="preserve">Finding.</w:t>
      </w:r>
      <w:r>
        <w:t xml:space="preserve"> </w:t>
      </w:r>
      <w:r>
        <w:t xml:space="preserve">Two of the seven billing timekeepers were never added to the Approved Staffing Plan. Section 4.2 requires that</w:t>
      </w:r>
      <w:r>
        <w:t xml:space="preserve"> </w:t>
      </w:r>
      <w:r>
        <w:t xml:space="preserve">“</w:t>
      </w:r>
      <w:r>
        <w:t xml:space="preserve">[a]ny additions to, or substitutions on, the Approved Staffing Plan … must be pre-approved in writing by Pinnacle’s Designated In-House Counsel prior to any such timekeeper performing billable work.</w:t>
      </w:r>
      <w:r>
        <w:t xml:space="preserve">”</w:t>
      </w:r>
      <w:r>
        <w:t xml:space="preserve"> </w:t>
      </w:r>
      <w:r>
        <w:t xml:space="preserve">The Guidelines further provide that</w:t>
      </w:r>
      <w:r>
        <w:t xml:space="preserve"> </w:t>
      </w:r>
      <w:r>
        <w:t xml:space="preserve">“</w:t>
      </w:r>
      <w:r>
        <w:t xml:space="preserve">the absence of a response shall not constitute approval</w:t>
      </w:r>
      <w:r>
        <w:t xml:space="preserve">”</w:t>
      </w:r>
      <w:r>
        <w:t xml:space="preserve"> </w:t>
      </w:r>
      <w:r>
        <w:t xml:space="preserve">and that after-the-fact additions</w:t>
      </w:r>
      <w:r>
        <w:t xml:space="preserve"> </w:t>
      </w:r>
      <w:r>
        <w:t xml:space="preserve">“</w:t>
      </w:r>
      <w:r>
        <w:t xml:space="preserve">are subject to reduction or rejection of all fees attributable to the unapproved timekeeper, at Pinnacle’s sole discretion.</w:t>
      </w:r>
      <w:r>
        <w:t xml:space="preserve">”</w:t>
      </w:r>
    </w:p>
    <w:p>
      <w:pPr>
        <w:pStyle w:val="BodyText"/>
      </w:pPr>
      <w:r>
        <w:rPr>
          <w:b/>
          <w:bCs/>
        </w:rPr>
        <w:t xml:space="preserve">1. Nina Barros (Mid-Level Associate) — $21,375.00 (45.0 hrs × $475).</w:t>
      </w:r>
    </w:p>
    <w:p>
      <w:pPr>
        <w:pStyle w:val="BodyText"/>
      </w:pPr>
      <w:r>
        <w:t xml:space="preserve">On April 28, 2025, Karen Cho emailed Rachel Dominguez requesting approval to add Nina Barros as a second mid-level associate at $475/hr, estimating 40–50 hours/month. Ms. Dominguez replied on May 1, 2025:</w:t>
      </w:r>
    </w:p>
    <w:p>
      <w:pPr>
        <w:pStyle w:val="BlockText"/>
      </w:pPr>
      <w:r>
        <w:t xml:space="preserve">“</w:t>
      </w:r>
      <w:r>
        <w:t xml:space="preserve">Before we can move forward on adding Nina Barros, though, let me review this with Sandra and get back to you. I also want to check where things stand against the current budget and staffing plan on our end. I’ll try to circle back with you early next week.</w:t>
      </w:r>
      <w:r>
        <w:t xml:space="preserve">”</w:t>
      </w:r>
    </w:p>
    <w:p>
      <w:pPr>
        <w:pStyle w:val="FirstParagraph"/>
      </w:pPr>
      <w:r>
        <w:t xml:space="preserve">This is an express</w:t>
      </w:r>
      <w:r>
        <w:t xml:space="preserve"> </w:t>
      </w:r>
      <w:r>
        <w:rPr>
          <w:b/>
          <w:bCs/>
        </w:rPr>
        <w:t xml:space="preserve">deferral</w:t>
      </w:r>
      <w:r>
        <w:t xml:space="preserve">, not an approval. No subsequent written approval was ever issued. Notwithstanding the absence of approval, Ms. Barros billed 45.0 hours beginning May 1, 2025 — the very day Ms. Dominguez stated she needed to review the request. The Firm’s own Rate Schedule tab on the invoice labels Ms. Barros’s status as</w:t>
      </w:r>
      <w:r>
        <w:t xml:space="preserve"> </w:t>
      </w:r>
      <w:r>
        <w:t xml:space="preserve">“</w:t>
      </w:r>
      <w:r>
        <w:t xml:space="preserve">Pending Approval — Added May 2025,</w:t>
      </w:r>
      <w:r>
        <w:t xml:space="preserve">”</w:t>
      </w:r>
      <w:r>
        <w:t xml:space="preserve"> </w:t>
      </w:r>
      <w:r>
        <w:t xml:space="preserve">and the June 1 Case Status Report concedes that her involvement was</w:t>
      </w:r>
      <w:r>
        <w:t xml:space="preserve"> </w:t>
      </w:r>
      <w:r>
        <w:t xml:space="preserve">“</w:t>
      </w:r>
      <w:r>
        <w:t xml:space="preserve">consistent with the</w:t>
      </w:r>
      <w:r>
        <w:t xml:space="preserve"> </w:t>
      </w:r>
      <w:r>
        <w:rPr>
          <w:i/>
          <w:iCs/>
        </w:rPr>
        <w:t xml:space="preserve">request</w:t>
      </w:r>
      <w:r>
        <w:t xml:space="preserve"> </w:t>
      </w:r>
      <w:r>
        <w:t xml:space="preserve">submitted to Ms. Dominguez on April 28, 2025</w:t>
      </w:r>
      <w:r>
        <w:t xml:space="preserve">”</w:t>
      </w:r>
      <w:r>
        <w:t xml:space="preserve"> </w:t>
      </w:r>
      <w:r>
        <w:t xml:space="preserve">— i.e., consistent with an unapproved request. The Approved Staffing Plan is unambiguous that Pettersson is the only approved mid-level associate.</w:t>
      </w:r>
    </w:p>
    <w:p>
      <w:pPr>
        <w:pStyle w:val="BodyText"/>
      </w:pPr>
      <w:r>
        <w:rPr>
          <w:b/>
          <w:bCs/>
        </w:rPr>
        <w:t xml:space="preserve">Reduction:</w:t>
      </w:r>
      <w:r>
        <w:t xml:space="preserve"> </w:t>
      </w:r>
      <w:r>
        <w:t xml:space="preserve">Full disallowance of all fees attributable to the unapproved timekeeper —</w:t>
      </w:r>
      <w:r>
        <w:t xml:space="preserve"> </w:t>
      </w:r>
      <w:r>
        <w:rPr>
          <w:b/>
          <w:bCs/>
        </w:rPr>
        <w:t xml:space="preserve">$21,375.00</w:t>
      </w:r>
      <w:r>
        <w:t xml:space="preserve">.</w:t>
      </w:r>
    </w:p>
    <w:p>
      <w:pPr>
        <w:pStyle w:val="BodyText"/>
      </w:pPr>
      <w:r>
        <w:rPr>
          <w:b/>
          <w:bCs/>
        </w:rPr>
        <w:t xml:space="preserve">2. Priya Sengupta (Junior Associate) — $10,312.50 (27.5 hrs × $375).</w:t>
      </w:r>
    </w:p>
    <w:p>
      <w:pPr>
        <w:pStyle w:val="BodyText"/>
      </w:pPr>
      <w:r>
        <w:t xml:space="preserve">The Approved Staffing Plan authorizes a single junior-associate slot filled from the firm’s rotating pool, then held by Tyler Webb, and expressly provides that</w:t>
      </w:r>
      <w:r>
        <w:t xml:space="preserve"> </w:t>
      </w:r>
      <w:r>
        <w:t xml:space="preserve">“</w:t>
      </w:r>
      <w:r>
        <w:t xml:space="preserve">only one junior associate will be assigned to and authorized to bill on this matter at any given time</w:t>
      </w:r>
      <w:r>
        <w:t xml:space="preserve">”</w:t>
      </w:r>
      <w:r>
        <w:t xml:space="preserve"> </w:t>
      </w:r>
      <w:r>
        <w:t xml:space="preserve">and that assigning</w:t>
      </w:r>
      <w:r>
        <w:t xml:space="preserve"> </w:t>
      </w:r>
      <w:r>
        <w:t xml:space="preserve">“</w:t>
      </w:r>
      <w:r>
        <w:t xml:space="preserve">more than one junior associate concurrently would constitute a staffing change requiring prior written approval under Section 4.2.</w:t>
      </w:r>
      <w:r>
        <w:t xml:space="preserve">”</w:t>
      </w:r>
      <w:r>
        <w:t xml:space="preserve"> </w:t>
      </w:r>
      <w:r>
        <w:t xml:space="preserve">Ms. Sengupta is a second junior associate who billed 27.5 hours concurrently with Mr. Webb. Unlike the Barros request, there is</w:t>
      </w:r>
      <w:r>
        <w:t xml:space="preserve"> </w:t>
      </w:r>
      <w:r>
        <w:rPr>
          <w:b/>
          <w:bCs/>
        </w:rPr>
        <w:t xml:space="preserve">no record of any written request</w:t>
      </w:r>
      <w:r>
        <w:t xml:space="preserve"> </w:t>
      </w:r>
      <w:r>
        <w:t xml:space="preserve">to add Ms. Sengupta, let alone an approval. The invoice’s Rate Schedule labels her status only as</w:t>
      </w:r>
      <w:r>
        <w:t xml:space="preserve"> </w:t>
      </w:r>
      <w:r>
        <w:t xml:space="preserve">“</w:t>
      </w:r>
      <w:r>
        <w:t xml:space="preserve">Added May 2025</w:t>
      </w:r>
      <w:r>
        <w:t xml:space="preserve">”</w:t>
      </w:r>
      <w:r>
        <w:t xml:space="preserve"> </w:t>
      </w:r>
      <w:r>
        <w:t xml:space="preserve">(with no</w:t>
      </w:r>
      <w:r>
        <w:t xml:space="preserve"> </w:t>
      </w:r>
      <w:r>
        <w:t xml:space="preserve">“</w:t>
      </w:r>
      <w:r>
        <w:t xml:space="preserve">Approved</w:t>
      </w:r>
      <w:r>
        <w:t xml:space="preserve">”</w:t>
      </w:r>
      <w:r>
        <w:t xml:space="preserve"> </w:t>
      </w:r>
      <w:r>
        <w:t xml:space="preserve">designation).</w:t>
      </w:r>
    </w:p>
    <w:p>
      <w:pPr>
        <w:pStyle w:val="BodyText"/>
      </w:pPr>
      <w:r>
        <w:rPr>
          <w:b/>
          <w:bCs/>
        </w:rPr>
        <w:t xml:space="preserve">Reduction:</w:t>
      </w:r>
      <w:r>
        <w:t xml:space="preserve"> </w:t>
      </w:r>
      <w:r>
        <w:t xml:space="preserve">Full disallowance of all fees attributable to the unapproved timekeeper —</w:t>
      </w:r>
      <w:r>
        <w:t xml:space="preserve"> </w:t>
      </w:r>
      <w:r>
        <w:rPr>
          <w:b/>
          <w:bCs/>
        </w:rPr>
        <w:t xml:space="preserve">$10,312.50</w:t>
      </w:r>
      <w:r>
        <w:t xml:space="preserve">.</w:t>
      </w:r>
    </w:p>
    <w:p>
      <w:pPr>
        <w:pStyle w:val="BodyText"/>
      </w:pPr>
      <w:r>
        <w:rPr>
          <w:b/>
          <w:bCs/>
        </w:rPr>
        <w:t xml:space="preserve">Subtotal — § 4.2 unapproved timekeepers: $31,687.50</w:t>
      </w:r>
    </w:p>
    <w:p>
      <w:pPr>
        <w:pStyle w:val="BlockText"/>
      </w:pPr>
      <w:r>
        <w:rPr>
          <w:i/>
          <w:iCs/>
        </w:rPr>
        <w:t xml:space="preserve">Note:</w:t>
      </w:r>
      <w:r>
        <w:t xml:space="preserve"> </w:t>
      </w:r>
      <w:r>
        <w:t xml:space="preserve">The Firm could have invoked the § 4.2 exigent-circumstances procedure (notice within 24 hours and retroactive approval), but there is no evidence it did so, and the circumstances here — a document-production volume known since late April and a deposition scheduled weeks in advance — do not appear exigent. Retroactive approval is not guaranteed in any event.</w:t>
      </w:r>
    </w:p>
    <w:p>
      <w:r>
        <w:pict>
          <v:rect style="width:0;height:1.5pt" o:hralign="center" o:hrstd="t" o:hr="t"/>
        </w:pict>
      </w:r>
    </w:p>
    <w:bookmarkEnd w:id="23"/>
    <w:bookmarkStart w:id="24" w:name="Xa5c1a25092f62b6d43f6bd38520d9e25f024b0c"/>
    <w:p>
      <w:pPr>
        <w:pStyle w:val="Heading3"/>
      </w:pPr>
      <w:r>
        <w:t xml:space="preserve">B. Contract Attorney Rate — Billing Guidelines § 5.1, § 4.4; Approved Staffing Plan § 2.5</w:t>
      </w:r>
    </w:p>
    <w:p>
      <w:pPr>
        <w:pStyle w:val="FirstParagraph"/>
      </w:pPr>
      <w:r>
        <w:rPr>
          <w:b/>
          <w:bCs/>
        </w:rPr>
        <w:t xml:space="preserve">Finding.</w:t>
      </w:r>
      <w:r>
        <w:t xml:space="preserve"> </w:t>
      </w:r>
      <w:r>
        <w:t xml:space="preserve">Marcus Tate (contract attorney, via Redwood Document Solutions) was billed at</w:t>
      </w:r>
      <w:r>
        <w:t xml:space="preserve"> </w:t>
      </w:r>
      <w:r>
        <w:rPr>
          <w:b/>
          <w:bCs/>
        </w:rPr>
        <w:t xml:space="preserve">$210/hr</w:t>
      </w:r>
      <w:r>
        <w:t xml:space="preserve">. The Approved Staffing Plan § 2.5 expressly approved a</w:t>
      </w:r>
      <w:r>
        <w:t xml:space="preserve"> </w:t>
      </w:r>
      <w:r>
        <w:rPr>
          <w:b/>
          <w:bCs/>
        </w:rPr>
        <w:t xml:space="preserve">$185/hr</w:t>
      </w:r>
      <w:r>
        <w:t xml:space="preserve"> </w:t>
      </w:r>
      <w:r>
        <w:t xml:space="preserve">pass-through rate</w:t>
      </w:r>
      <w:r>
        <w:t xml:space="preserve"> </w:t>
      </w:r>
      <w:r>
        <w:t xml:space="preserve">“</w:t>
      </w:r>
      <w:r>
        <w:t xml:space="preserve">at vendor rates with no firm markup,</w:t>
      </w:r>
      <w:r>
        <w:t xml:space="preserve">”</w:t>
      </w:r>
      <w:r>
        <w:t xml:space="preserve"> </w:t>
      </w:r>
      <w:r>
        <w:t xml:space="preserve">and Billing Guidelines § 4.4 requires that contract-attorney rates</w:t>
      </w:r>
      <w:r>
        <w:t xml:space="preserve"> </w:t>
      </w:r>
      <w:r>
        <w:t xml:space="preserve">“</w:t>
      </w:r>
      <w:r>
        <w:t xml:space="preserve">shall be passed through at actual cost with no markup.</w:t>
      </w:r>
      <w:r>
        <w:t xml:space="preserve">”</w:t>
      </w:r>
      <w:r>
        <w:t xml:space="preserve"> </w:t>
      </w:r>
      <w:r>
        <w:t xml:space="preserve">The $210 rate exceeds both the approved pass-through rate and the § 5.1 rate cap for contract attorneys of</w:t>
      </w:r>
      <w:r>
        <w:t xml:space="preserve"> </w:t>
      </w:r>
      <w:r>
        <w:rPr>
          <w:b/>
          <w:bCs/>
        </w:rPr>
        <w:t xml:space="preserve">$200/hr</w:t>
      </w:r>
      <w:r>
        <w:t xml:space="preserve">. No rate change was ever approved; the Staffing Plan states that rates</w:t>
      </w:r>
      <w:r>
        <w:t xml:space="preserve"> </w:t>
      </w:r>
      <w:r>
        <w:t xml:space="preserve">“</w:t>
      </w:r>
      <w:r>
        <w:t xml:space="preserve">are fixed for the duration of the discovery phase and will not be increased without the prior written agreement of Pinnacle.</w:t>
      </w:r>
      <w:r>
        <w:t xml:space="preserve">”</w:t>
      </w:r>
    </w:p>
    <w:p>
      <w:pPr>
        <w:pStyle w:val="BodyText"/>
      </w:pPr>
      <w:r>
        <w:rPr>
          <w:b/>
          <w:bCs/>
        </w:rPr>
        <w:t xml:space="preserve">Reduction:</w:t>
      </w:r>
      <w:r>
        <w:t xml:space="preserve"> </w:t>
      </w:r>
      <w:r>
        <w:t xml:space="preserve">Re-rate all 120.0 hours at the approved $185/hr pass-through rate. 120.0 hrs × ($210 − $185) =</w:t>
      </w:r>
      <w:r>
        <w:t xml:space="preserve"> </w:t>
      </w:r>
      <w:r>
        <w:rPr>
          <w:b/>
          <w:bCs/>
        </w:rPr>
        <w:t xml:space="preserve">$3,000.00</w:t>
      </w:r>
      <w:r>
        <w:t xml:space="preserve">.</w:t>
      </w:r>
    </w:p>
    <w:p>
      <w:pPr>
        <w:pStyle w:val="BlockText"/>
      </w:pPr>
      <w:r>
        <w:rPr>
          <w:i/>
          <w:iCs/>
        </w:rPr>
        <w:t xml:space="preserve">Alternative floor:</w:t>
      </w:r>
      <w:r>
        <w:t xml:space="preserve"> </w:t>
      </w:r>
      <w:r>
        <w:t xml:space="preserve">Even if only the § 5.1 cap were applied, the rate would be reduced to $200/hr, yielding a $1,200.00 reduction. The approved $185/hr rate governs because it is the rate Pinnacle expressly approved and because § 4.4 prohibits any markup over actual vendor cost.</w:t>
      </w:r>
    </w:p>
    <w:p>
      <w:pPr>
        <w:pStyle w:val="FirstParagraph"/>
      </w:pPr>
      <w:r>
        <w:rPr>
          <w:b/>
          <w:bCs/>
        </w:rPr>
        <w:t xml:space="preserve">Subtotal — contract attorney rate: $3,000.00</w:t>
      </w:r>
    </w:p>
    <w:p>
      <w:r>
        <w:pict>
          <v:rect style="width:0;height:1.5pt" o:hralign="center" o:hrstd="t" o:hr="t"/>
        </w:pict>
      </w:r>
    </w:p>
    <w:bookmarkEnd w:id="24"/>
    <w:bookmarkStart w:id="25" w:name="c.-block-billing-billing-guidelines-5.4"/>
    <w:p>
      <w:pPr>
        <w:pStyle w:val="Heading3"/>
      </w:pPr>
      <w:r>
        <w:t xml:space="preserve">C. Block Billing — Billing Guidelines § 5.4</w:t>
      </w:r>
    </w:p>
    <w:p>
      <w:pPr>
        <w:pStyle w:val="FirstParagraph"/>
      </w:pPr>
      <w:r>
        <w:rPr>
          <w:b/>
          <w:bCs/>
        </w:rPr>
        <w:t xml:space="preserve">Finding.</w:t>
      </w:r>
      <w:r>
        <w:t xml:space="preserve"> </w:t>
      </w:r>
      <w:r>
        <w:t xml:space="preserve">Section 5.4 prohibits time entries that</w:t>
      </w:r>
      <w:r>
        <w:t xml:space="preserve"> </w:t>
      </w:r>
      <w:r>
        <w:t xml:space="preserve">“</w:t>
      </w:r>
      <w:r>
        <w:t xml:space="preserve">combine two or more discrete tasks into a single line item</w:t>
      </w:r>
      <w:r>
        <w:t xml:space="preserve">”</w:t>
      </w:r>
      <w:r>
        <w:t xml:space="preserve"> </w:t>
      </w:r>
      <w:r>
        <w:t xml:space="preserve">and mandates</w:t>
      </w:r>
      <w:r>
        <w:t xml:space="preserve"> </w:t>
      </w:r>
      <w:r>
        <w:t xml:space="preserve">“</w:t>
      </w:r>
      <w:r>
        <w:t xml:space="preserve">an automatic twenty-five percent (25%) reduction to the total fees of each block-billed entry.</w:t>
      </w:r>
      <w:r>
        <w:t xml:space="preserve">”</w:t>
      </w:r>
      <w:r>
        <w:t xml:space="preserve"> </w:t>
      </w:r>
      <w:r>
        <w:t xml:space="preserve">The May invoice contains a pervasive pattern of block billing. The following 26 entries each combine two or more discrete, separately timeable tasks (e.g., drafting + research + conferencing; attending a deposition + preparing a summary + conferring; finalizing a brief + preparing an order + coordinating filing). The 25% reduction is applied to each:</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Fee Billed</w:t>
            </w:r>
          </w:p>
        </w:tc>
        <w:tc>
          <w:tcPr/>
          <w:p>
            <w:pPr>
              <w:pStyle w:val="Compact"/>
              <w:jc w:val="right"/>
            </w:pPr>
            <w:r>
              <w:t xml:space="preserve">25% Reduction</w:t>
            </w:r>
          </w:p>
        </w:tc>
      </w:tr>
      <w:tr>
        <w:tc>
          <w:tcPr/>
          <w:p>
            <w:pPr>
              <w:pStyle w:val="Compact"/>
              <w:jc w:val="left"/>
            </w:pPr>
            <w:r>
              <w:t xml:space="preserve">12</w:t>
            </w:r>
          </w:p>
        </w:tc>
        <w:tc>
          <w:tcPr/>
          <w:p>
            <w:pPr>
              <w:pStyle w:val="Compact"/>
              <w:jc w:val="left"/>
            </w:pPr>
            <w:r>
              <w:t xml:space="preserve">05/05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20</w:t>
            </w:r>
          </w:p>
        </w:tc>
        <w:tc>
          <w:tcPr/>
          <w:p>
            <w:pPr>
              <w:pStyle w:val="Compact"/>
              <w:jc w:val="left"/>
            </w:pPr>
            <w:r>
              <w:t xml:space="preserve">05/07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29</w:t>
            </w:r>
          </w:p>
        </w:tc>
        <w:tc>
          <w:tcPr/>
          <w:p>
            <w:pPr>
              <w:pStyle w:val="Compact"/>
              <w:jc w:val="left"/>
            </w:pPr>
            <w:r>
              <w:t xml:space="preserve">05/09</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30</w:t>
            </w:r>
          </w:p>
        </w:tc>
        <w:tc>
          <w:tcPr/>
          <w:p>
            <w:pPr>
              <w:pStyle w:val="Compact"/>
              <w:jc w:val="left"/>
            </w:pPr>
            <w:r>
              <w:t xml:space="preserve">05/09</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32</w:t>
            </w:r>
          </w:p>
        </w:tc>
        <w:tc>
          <w:tcPr/>
          <w:p>
            <w:pPr>
              <w:pStyle w:val="Compact"/>
              <w:jc w:val="left"/>
            </w:pPr>
            <w:r>
              <w:t xml:space="preserve">05/12</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34</w:t>
            </w:r>
          </w:p>
        </w:tc>
        <w:tc>
          <w:tcPr/>
          <w:p>
            <w:pPr>
              <w:pStyle w:val="Compact"/>
              <w:jc w:val="left"/>
            </w:pPr>
            <w:r>
              <w:t xml:space="preserve">05/12</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$1,662.50</w:t>
            </w:r>
          </w:p>
        </w:tc>
        <w:tc>
          <w:tcPr/>
          <w:p>
            <w:pPr>
              <w:pStyle w:val="Compact"/>
              <w:jc w:val="right"/>
            </w:pPr>
            <w:r>
              <w:t xml:space="preserve">$415.63</w:t>
            </w:r>
          </w:p>
        </w:tc>
      </w:tr>
      <w:tr>
        <w:tc>
          <w:tcPr/>
          <w:p>
            <w:pPr>
              <w:pStyle w:val="Compact"/>
              <w:jc w:val="left"/>
            </w:pPr>
            <w:r>
              <w:t xml:space="preserve">39</w:t>
            </w:r>
          </w:p>
        </w:tc>
        <w:tc>
          <w:tcPr/>
          <w:p>
            <w:pPr>
              <w:pStyle w:val="Compact"/>
              <w:jc w:val="left"/>
            </w:pPr>
            <w:r>
              <w:t xml:space="preserve">05/13</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40</w:t>
            </w:r>
          </w:p>
        </w:tc>
        <w:tc>
          <w:tcPr/>
          <w:p>
            <w:pPr>
              <w:pStyle w:val="Compact"/>
              <w:jc w:val="left"/>
            </w:pPr>
            <w:r>
              <w:t xml:space="preserve">05/13</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51</w:t>
            </w:r>
          </w:p>
        </w:tc>
        <w:tc>
          <w:tcPr/>
          <w:p>
            <w:pPr>
              <w:pStyle w:val="Compact"/>
              <w:jc w:val="left"/>
            </w:pPr>
            <w:r>
              <w:t xml:space="preserve">05/15</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52</w:t>
            </w:r>
          </w:p>
        </w:tc>
        <w:tc>
          <w:tcPr/>
          <w:p>
            <w:pPr>
              <w:pStyle w:val="Compact"/>
              <w:jc w:val="left"/>
            </w:pPr>
            <w:r>
              <w:t xml:space="preserve">05/15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60</w:t>
            </w:r>
          </w:p>
        </w:tc>
        <w:tc>
          <w:tcPr/>
          <w:p>
            <w:pPr>
              <w:pStyle w:val="Compact"/>
              <w:jc w:val="left"/>
            </w:pPr>
            <w:r>
              <w:t xml:space="preserve">05/19</w:t>
            </w:r>
          </w:p>
        </w:tc>
        <w:tc>
          <w:tcPr/>
          <w:p>
            <w:pPr>
              <w:pStyle w:val="Compact"/>
              <w:jc w:val="left"/>
            </w:pPr>
            <w:r>
              <w:t xml:space="preserve">Hargrove</w:t>
            </w:r>
          </w:p>
        </w:tc>
        <w:tc>
          <w:tcPr/>
          <w:p>
            <w:pPr>
              <w:pStyle w:val="Compact"/>
              <w:jc w:val="right"/>
            </w:pPr>
            <w:r>
              <w:t xml:space="preserve">4.0</w:t>
            </w:r>
          </w:p>
        </w:tc>
        <w:tc>
          <w:tcPr/>
          <w:p>
            <w:pPr>
              <w:pStyle w:val="Compact"/>
              <w:jc w:val="right"/>
            </w:pPr>
            <w:r>
              <w:t xml:space="preserve">$3,940.00</w:t>
            </w:r>
          </w:p>
        </w:tc>
        <w:tc>
          <w:tcPr/>
          <w:p>
            <w:pPr>
              <w:pStyle w:val="Compact"/>
              <w:jc w:val="right"/>
            </w:pPr>
            <w:r>
              <w:t xml:space="preserve">$985.00</w:t>
            </w:r>
          </w:p>
        </w:tc>
      </w:tr>
      <w:tr>
        <w:tc>
          <w:tcPr/>
          <w:p>
            <w:pPr>
              <w:pStyle w:val="Compact"/>
              <w:jc w:val="left"/>
            </w:pPr>
            <w:r>
              <w:t xml:space="preserve">61</w:t>
            </w:r>
          </w:p>
        </w:tc>
        <w:tc>
          <w:tcPr/>
          <w:p>
            <w:pPr>
              <w:pStyle w:val="Compact"/>
              <w:jc w:val="left"/>
            </w:pPr>
            <w:r>
              <w:t xml:space="preserve">05/19</w:t>
            </w:r>
          </w:p>
        </w:tc>
        <w:tc>
          <w:tcPr/>
          <w:p>
            <w:pPr>
              <w:pStyle w:val="Compact"/>
              <w:jc w:val="left"/>
            </w:pPr>
            <w:r>
              <w:t xml:space="preserve">Cho</w:t>
            </w:r>
          </w:p>
        </w:tc>
        <w:tc>
          <w:tcPr/>
          <w:p>
            <w:pPr>
              <w:pStyle w:val="Compact"/>
              <w:jc w:val="right"/>
            </w:pPr>
            <w:r>
              <w:t xml:space="preserve">6.5</w:t>
            </w:r>
          </w:p>
        </w:tc>
        <w:tc>
          <w:tcPr/>
          <w:p>
            <w:pPr>
              <w:pStyle w:val="Compact"/>
              <w:jc w:val="right"/>
            </w:pPr>
            <w:r>
              <w:t xml:space="preserve">$4,062.50</w:t>
            </w:r>
          </w:p>
        </w:tc>
        <w:tc>
          <w:tcPr/>
          <w:p>
            <w:pPr>
              <w:pStyle w:val="Compact"/>
              <w:jc w:val="right"/>
            </w:pPr>
            <w:r>
              <w:t xml:space="preserve">$1,015.63</w:t>
            </w:r>
          </w:p>
        </w:tc>
      </w:tr>
      <w:tr>
        <w:tc>
          <w:tcPr/>
          <w:p>
            <w:pPr>
              <w:pStyle w:val="Compact"/>
              <w:jc w:val="left"/>
            </w:pPr>
            <w:r>
              <w:t xml:space="preserve">69</w:t>
            </w:r>
          </w:p>
        </w:tc>
        <w:tc>
          <w:tcPr/>
          <w:p>
            <w:pPr>
              <w:pStyle w:val="Compact"/>
              <w:jc w:val="left"/>
            </w:pPr>
            <w:r>
              <w:t xml:space="preserve">05/20</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70</w:t>
            </w:r>
          </w:p>
        </w:tc>
        <w:tc>
          <w:tcPr/>
          <w:p>
            <w:pPr>
              <w:pStyle w:val="Compact"/>
              <w:jc w:val="left"/>
            </w:pPr>
            <w:r>
              <w:t xml:space="preserve">05/21</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77</w:t>
            </w:r>
          </w:p>
        </w:tc>
        <w:tc>
          <w:tcPr/>
          <w:p>
            <w:pPr>
              <w:pStyle w:val="Compact"/>
              <w:jc w:val="left"/>
            </w:pPr>
            <w:r>
              <w:t xml:space="preserve">05/22</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78</w:t>
            </w:r>
          </w:p>
        </w:tc>
        <w:tc>
          <w:tcPr/>
          <w:p>
            <w:pPr>
              <w:pStyle w:val="Compact"/>
              <w:jc w:val="left"/>
            </w:pPr>
            <w:r>
              <w:t xml:space="preserve">05/22</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84</w:t>
            </w:r>
          </w:p>
        </w:tc>
        <w:tc>
          <w:tcPr/>
          <w:p>
            <w:pPr>
              <w:pStyle w:val="Compact"/>
              <w:jc w:val="left"/>
            </w:pPr>
            <w:r>
              <w:t xml:space="preserve">05/23</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89</w:t>
            </w:r>
          </w:p>
        </w:tc>
        <w:tc>
          <w:tcPr/>
          <w:p>
            <w:pPr>
              <w:pStyle w:val="Compact"/>
              <w:jc w:val="left"/>
            </w:pPr>
            <w:r>
              <w:t xml:space="preserve">05/26</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92</w:t>
            </w:r>
          </w:p>
        </w:tc>
        <w:tc>
          <w:tcPr/>
          <w:p>
            <w:pPr>
              <w:pStyle w:val="Compact"/>
              <w:jc w:val="left"/>
            </w:pPr>
            <w:r>
              <w:t xml:space="preserve">05/27</w:t>
            </w:r>
          </w:p>
        </w:tc>
        <w:tc>
          <w:tcPr/>
          <w:p>
            <w:pPr>
              <w:pStyle w:val="Compact"/>
              <w:jc w:val="left"/>
            </w:pPr>
            <w:r>
              <w:t xml:space="preserve">Hargrove</w:t>
            </w:r>
          </w:p>
        </w:tc>
        <w:tc>
          <w:tcPr/>
          <w:p>
            <w:pPr>
              <w:pStyle w:val="Compact"/>
              <w:jc w:val="right"/>
            </w:pPr>
            <w:r>
              <w:t xml:space="preserve">6.0</w:t>
            </w:r>
          </w:p>
        </w:tc>
        <w:tc>
          <w:tcPr/>
          <w:p>
            <w:pPr>
              <w:pStyle w:val="Compact"/>
              <w:jc w:val="right"/>
            </w:pPr>
            <w:r>
              <w:t xml:space="preserve">$5,910.00</w:t>
            </w:r>
          </w:p>
        </w:tc>
        <w:tc>
          <w:tcPr/>
          <w:p>
            <w:pPr>
              <w:pStyle w:val="Compact"/>
              <w:jc w:val="right"/>
            </w:pPr>
            <w:r>
              <w:t xml:space="preserve">$1,477.50</w:t>
            </w:r>
          </w:p>
        </w:tc>
      </w:tr>
      <w:tr>
        <w:tc>
          <w:tcPr/>
          <w:p>
            <w:pPr>
              <w:pStyle w:val="Compact"/>
              <w:jc w:val="left"/>
            </w:pPr>
            <w:r>
              <w:t xml:space="preserve">94</w:t>
            </w:r>
          </w:p>
        </w:tc>
        <w:tc>
          <w:tcPr/>
          <w:p>
            <w:pPr>
              <w:pStyle w:val="Compact"/>
              <w:jc w:val="left"/>
            </w:pPr>
            <w:r>
              <w:t xml:space="preserve">05/27</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95</w:t>
            </w:r>
          </w:p>
        </w:tc>
        <w:tc>
          <w:tcPr/>
          <w:p>
            <w:pPr>
              <w:pStyle w:val="Compact"/>
              <w:jc w:val="left"/>
            </w:pPr>
            <w:r>
              <w:t xml:space="preserve">05/27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98</w:t>
            </w:r>
          </w:p>
        </w:tc>
        <w:tc>
          <w:tcPr/>
          <w:p>
            <w:pPr>
              <w:pStyle w:val="Compact"/>
              <w:jc w:val="left"/>
            </w:pPr>
            <w:r>
              <w:t xml:space="preserve">05/28</w:t>
            </w:r>
          </w:p>
        </w:tc>
        <w:tc>
          <w:tcPr/>
          <w:p>
            <w:pPr>
              <w:pStyle w:val="Compact"/>
              <w:jc w:val="left"/>
            </w:pPr>
            <w:r>
              <w:t xml:space="preserve">Hargrove</w:t>
            </w:r>
          </w:p>
        </w:tc>
        <w:tc>
          <w:tcPr/>
          <w:p>
            <w:pPr>
              <w:pStyle w:val="Compact"/>
              <w:jc w:val="right"/>
            </w:pPr>
            <w:r>
              <w:t xml:space="preserve">3.5</w:t>
            </w:r>
          </w:p>
        </w:tc>
        <w:tc>
          <w:tcPr/>
          <w:p>
            <w:pPr>
              <w:pStyle w:val="Compact"/>
              <w:jc w:val="right"/>
            </w:pPr>
            <w:r>
              <w:t xml:space="preserve">$3,447.50</w:t>
            </w:r>
          </w:p>
        </w:tc>
        <w:tc>
          <w:tcPr/>
          <w:p>
            <w:pPr>
              <w:pStyle w:val="Compact"/>
              <w:jc w:val="right"/>
            </w:pPr>
            <w:r>
              <w:t xml:space="preserve">$861.88</w:t>
            </w:r>
          </w:p>
        </w:tc>
      </w:tr>
      <w:tr>
        <w:tc>
          <w:tcPr/>
          <w:p>
            <w:pPr>
              <w:pStyle w:val="Compact"/>
              <w:jc w:val="left"/>
            </w:pPr>
            <w:r>
              <w:t xml:space="preserve">101</w:t>
            </w:r>
          </w:p>
        </w:tc>
        <w:tc>
          <w:tcPr/>
          <w:p>
            <w:pPr>
              <w:pStyle w:val="Compact"/>
              <w:jc w:val="left"/>
            </w:pPr>
            <w:r>
              <w:t xml:space="preserve">05/28</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108</w:t>
            </w:r>
          </w:p>
        </w:tc>
        <w:tc>
          <w:tcPr/>
          <w:p>
            <w:pPr>
              <w:pStyle w:val="Compact"/>
              <w:jc w:val="left"/>
            </w:pPr>
            <w:r>
              <w:t xml:space="preserve">05/29</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113</w:t>
            </w:r>
          </w:p>
        </w:tc>
        <w:tc>
          <w:tcPr/>
          <w:p>
            <w:pPr>
              <w:pStyle w:val="Compact"/>
              <w:jc w:val="left"/>
            </w:pPr>
            <w:r>
              <w:t xml:space="preserve">05/30</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114</w:t>
            </w:r>
          </w:p>
        </w:tc>
        <w:tc>
          <w:tcPr/>
          <w:p>
            <w:pPr>
              <w:pStyle w:val="Compact"/>
              <w:jc w:val="left"/>
            </w:pPr>
            <w:r>
              <w:t xml:space="preserve">05/30</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right"/>
            </w:pPr>
            <w:r>
              <w:rPr>
                <w:b/>
                <w:bCs/>
              </w:rPr>
              <w:t xml:space="preserve">$69,810.00</w:t>
            </w:r>
          </w:p>
        </w:tc>
        <w:tc>
          <w:tcPr/>
          <w:p>
            <w:pPr>
              <w:pStyle w:val="Compact"/>
              <w:jc w:val="right"/>
            </w:pPr>
            <w:r>
              <w:rPr>
                <w:b/>
                <w:bCs/>
              </w:rPr>
              <w:t xml:space="preserve">$17,452.50</w:t>
            </w:r>
          </w:p>
        </w:tc>
      </w:tr>
    </w:tbl>
    <w:p>
      <w:pPr>
        <w:pStyle w:val="BodyText"/>
      </w:pPr>
      <w:r>
        <w:t xml:space="preserve">Representative examples include:</w:t>
      </w:r>
    </w:p>
    <w:p>
      <w:pPr>
        <w:pStyle w:val="Compact"/>
        <w:numPr>
          <w:ilvl w:val="0"/>
          <w:numId w:val="1002"/>
        </w:numPr>
      </w:pPr>
      <w:r>
        <w:rPr>
          <w:b/>
          <w:bCs/>
        </w:rPr>
        <w:t xml:space="preserve">Entry 92 (Hargrove, 6.0 hrs):</w:t>
      </w:r>
      <w:r>
        <w:t xml:space="preserve"> </w:t>
      </w:r>
      <w:r>
        <w:t xml:space="preserve">“</w:t>
      </w:r>
      <w:r>
        <w:t xml:space="preserve">Prepare for and conduct strategy session with Pinnacle in-house team regarding summary judgment timeline and expert retention; draft outline for expert discovery plan. Review and edit interrogatory responses prepared by J. Pettersson.</w:t>
      </w:r>
      <w:r>
        <w:t xml:space="preserve">”</w:t>
      </w:r>
      <w:r>
        <w:t xml:space="preserve"> </w:t>
      </w:r>
      <w:r>
        <w:t xml:space="preserve">— three discrete tasks (client strategy session; drafting an expert-discovery plan; reviewing/editing interrogatory responses).</w:t>
      </w:r>
    </w:p>
    <w:p>
      <w:pPr>
        <w:pStyle w:val="Compact"/>
        <w:numPr>
          <w:ilvl w:val="0"/>
          <w:numId w:val="1002"/>
        </w:numPr>
      </w:pPr>
      <w:r>
        <w:rPr>
          <w:b/>
          <w:bCs/>
        </w:rPr>
        <w:t xml:space="preserve">Entry 61 (Cho, 6.5 hrs):</w:t>
      </w:r>
      <w:r>
        <w:t xml:space="preserve"> </w:t>
      </w:r>
      <w:r>
        <w:t xml:space="preserve">“</w:t>
      </w:r>
      <w:r>
        <w:t xml:space="preserve">Prepare for and attend deposition of Dr. Rebecca Liu …; post-deposition analysis and team debrief.</w:t>
      </w:r>
      <w:r>
        <w:t xml:space="preserve">”</w:t>
      </w:r>
      <w:r>
        <w:t xml:space="preserve"> </w:t>
      </w:r>
      <w:r>
        <w:t xml:space="preserve">— four discrete tasks.</w:t>
      </w:r>
    </w:p>
    <w:p>
      <w:pPr>
        <w:pStyle w:val="Compact"/>
        <w:numPr>
          <w:ilvl w:val="0"/>
          <w:numId w:val="1002"/>
        </w:numPr>
      </w:pPr>
      <w:r>
        <w:rPr>
          <w:b/>
          <w:bCs/>
        </w:rPr>
        <w:t xml:space="preserve">Entry 78 (Cho, 4.5 hrs):</w:t>
      </w:r>
      <w:r>
        <w:t xml:space="preserve"> </w:t>
      </w:r>
      <w:r>
        <w:t xml:space="preserve">“</w:t>
      </w:r>
      <w:r>
        <w:t xml:space="preserve">Final review of opposition brief and supporting materials; supervise filing and service; prepare letter to court regarding expedited briefing schedule.</w:t>
      </w:r>
      <w:r>
        <w:t xml:space="preserve">”</w:t>
      </w:r>
      <w:r>
        <w:t xml:space="preserve"> </w:t>
      </w:r>
      <w:r>
        <w:t xml:space="preserve">— three discrete tasks.</w:t>
      </w:r>
    </w:p>
    <w:p>
      <w:pPr>
        <w:pStyle w:val="FirstParagraph"/>
      </w:pPr>
      <w:r>
        <w:rPr>
          <w:b/>
          <w:bCs/>
        </w:rPr>
        <w:t xml:space="preserve">Reduction:</w:t>
      </w:r>
      <w:r>
        <w:t xml:space="preserve"> </w:t>
      </w:r>
      <w:r>
        <w:t xml:space="preserve">25% of $69,810.00 in block-billed fees =</w:t>
      </w:r>
      <w:r>
        <w:t xml:space="preserve"> </w:t>
      </w:r>
      <w:r>
        <w:rPr>
          <w:b/>
          <w:bCs/>
        </w:rPr>
        <w:t xml:space="preserve">$17,452.50</w:t>
      </w:r>
      <w:r>
        <w:t xml:space="preserve">.</w:t>
      </w:r>
    </w:p>
    <w:p>
      <w:pPr>
        <w:pStyle w:val="BlockText"/>
      </w:pPr>
      <w:r>
        <w:rPr>
          <w:i/>
          <w:iCs/>
        </w:rPr>
        <w:t xml:space="preserve">Note:</w:t>
      </w:r>
      <w:r>
        <w:t xml:space="preserve"> </w:t>
      </w:r>
      <w:r>
        <w:t xml:space="preserve">Per § 5.4, this reduction is</w:t>
      </w:r>
      <w:r>
        <w:t xml:space="preserve"> </w:t>
      </w:r>
      <w:r>
        <w:t xml:space="preserve">“</w:t>
      </w:r>
      <w:r>
        <w:t xml:space="preserve">in addition to, and not in lieu of,</w:t>
      </w:r>
      <w:r>
        <w:t xml:space="preserve">”</w:t>
      </w:r>
      <w:r>
        <w:t xml:space="preserve"> </w:t>
      </w:r>
      <w:r>
        <w:t xml:space="preserve">the other reductions in this memorandum. Several block-billed entries also contain embedded administrative sub-tasks (e.g.,</w:t>
      </w:r>
      <w:r>
        <w:t xml:space="preserve"> </w:t>
      </w:r>
      <w:r>
        <w:t xml:space="preserve">“</w:t>
      </w:r>
      <w:r>
        <w:t xml:space="preserve">coordinate filing,</w:t>
      </w:r>
      <w:r>
        <w:t xml:space="preserve">”</w:t>
      </w:r>
      <w:r>
        <w:t xml:space="preserve"> </w:t>
      </w:r>
      <w:r>
        <w:t xml:space="preserve">“</w:t>
      </w:r>
      <w:r>
        <w:t xml:space="preserve">coordinate logistics</w:t>
      </w:r>
      <w:r>
        <w:t xml:space="preserve">”</w:t>
      </w:r>
      <w:r>
        <w:t xml:space="preserve">), which are addressed separately where the entire entry is administrative (Section D). A number of additional two-task entries (e.g., research-plus-memorandum entries) are borderline and could support further reductions if Pinnacle elects a strict construction; they are not included in the figure above to keep the reduction conservative and defensible. Per § 5.4, the Firm may avoid the 25% reduction by resubmitting each entry as separate line items with individually allocated time within 15 days of notice.</w:t>
      </w:r>
    </w:p>
    <w:p>
      <w:pPr>
        <w:pStyle w:val="FirstParagraph"/>
      </w:pPr>
      <w:r>
        <w:rPr>
          <w:b/>
          <w:bCs/>
        </w:rPr>
        <w:t xml:space="preserve">Subtotal — block billing: $17,452.50</w:t>
      </w:r>
    </w:p>
    <w:p>
      <w:r>
        <w:pict>
          <v:rect style="width:0;height:1.5pt" o:hralign="center" o:hrstd="t" o:hr="t"/>
        </w:pict>
      </w:r>
    </w:p>
    <w:bookmarkEnd w:id="25"/>
    <w:bookmarkStart w:id="26" w:name="X7e22273dce4dfc1219c109c4f07423ec6806902"/>
    <w:p>
      <w:pPr>
        <w:pStyle w:val="Heading3"/>
      </w:pPr>
      <w:r>
        <w:t xml:space="preserve">D. Administrative Tasks Billed at Attorney Rates — Billing Guidelines § 6.1; § 2 (Definitions)</w:t>
      </w:r>
    </w:p>
    <w:p>
      <w:pPr>
        <w:pStyle w:val="FirstParagraph"/>
      </w:pPr>
      <w:r>
        <w:rPr>
          <w:b/>
          <w:bCs/>
        </w:rPr>
        <w:t xml:space="preserve">Finding.</w:t>
      </w:r>
      <w:r>
        <w:t xml:space="preserve"> </w:t>
      </w:r>
      <w:r>
        <w:t xml:space="preserve">Section 6.1 and the § 2 definition of</w:t>
      </w:r>
      <w:r>
        <w:t xml:space="preserve"> </w:t>
      </w:r>
      <w:r>
        <w:t xml:space="preserve">“</w:t>
      </w:r>
      <w:r>
        <w:t xml:space="preserve">Administrative Task</w:t>
      </w:r>
      <w:r>
        <w:t xml:space="preserve">”</w:t>
      </w:r>
      <w:r>
        <w:t xml:space="preserve"> </w:t>
      </w:r>
      <w:r>
        <w:t xml:space="preserve">provide that scheduling, coordinating with court reporters/vendors, arranging logistics, mechanical filing, and preparing the firm’s own invoices are overhead and</w:t>
      </w:r>
      <w:r>
        <w:t xml:space="preserve"> </w:t>
      </w:r>
      <w:r>
        <w:t xml:space="preserve">“</w:t>
      </w:r>
      <w:r>
        <w:t xml:space="preserve">shall not be billed to Pinnacle at any rate.</w:t>
      </w:r>
      <w:r>
        <w:t xml:space="preserve">”</w:t>
      </w:r>
      <w:r>
        <w:t xml:space="preserve"> </w:t>
      </w:r>
      <w:r>
        <w:t xml:space="preserve">Two entries are purely administrative:</w:t>
      </w:r>
    </w:p>
    <w:p>
      <w:pPr>
        <w:pStyle w:val="Compact"/>
        <w:numPr>
          <w:ilvl w:val="0"/>
          <w:numId w:val="1003"/>
        </w:numPr>
      </w:pPr>
      <w:r>
        <w:rPr>
          <w:b/>
          <w:bCs/>
        </w:rPr>
        <w:t xml:space="preserve">Entry 15 (Pettersson, 1.5 hrs, $712.50):</w:t>
      </w:r>
      <w:r>
        <w:t xml:space="preserve"> </w:t>
      </w:r>
      <w:r>
        <w:t xml:space="preserve">“</w:t>
      </w:r>
      <w:r>
        <w:t xml:space="preserve">Schedule depositions of three remaining witnesses; coordinate court reporter availability; confirm deposition locations.</w:t>
      </w:r>
      <w:r>
        <w:t xml:space="preserve">”</w:t>
      </w:r>
      <w:r>
        <w:t xml:space="preserve"> </w:t>
      </w:r>
      <w:r>
        <w:t xml:space="preserve">— scheduling and vendor coordination; squarely within § 6.1(g), (h) and the § 2 definition.</w:t>
      </w:r>
    </w:p>
    <w:p>
      <w:pPr>
        <w:pStyle w:val="Compact"/>
        <w:numPr>
          <w:ilvl w:val="0"/>
          <w:numId w:val="1003"/>
        </w:numPr>
      </w:pPr>
      <w:r>
        <w:rPr>
          <w:b/>
          <w:bCs/>
        </w:rPr>
        <w:t xml:space="preserve">Entry 111 (Hargrove, 1.5 hrs, $1,477.50):</w:t>
      </w:r>
      <w:r>
        <w:t xml:space="preserve"> </w:t>
      </w:r>
      <w:r>
        <w:t xml:space="preserve">“</w:t>
      </w:r>
      <w:r>
        <w:t xml:space="preserve">Review monthly billing summary and case status report; prepare cover memorandum for May 2025 invoice.</w:t>
      </w:r>
      <w:r>
        <w:t xml:space="preserve">”</w:t>
      </w:r>
      <w:r>
        <w:t xml:space="preserve"> </w:t>
      </w:r>
      <w:r>
        <w:t xml:space="preserve">— preparation of the firm’s own invoice and billing summary, which is overhead.</w:t>
      </w:r>
    </w:p>
    <w:p>
      <w:pPr>
        <w:pStyle w:val="FirstParagraph"/>
      </w:pPr>
      <w:r>
        <w:rPr>
          <w:b/>
          <w:bCs/>
        </w:rPr>
        <w:t xml:space="preserve">Reduction:</w:t>
      </w:r>
      <w:r>
        <w:t xml:space="preserve"> </w:t>
      </w:r>
      <w:r>
        <w:t xml:space="preserve">Write off both entries in full —</w:t>
      </w:r>
      <w:r>
        <w:t xml:space="preserve"> </w:t>
      </w:r>
      <w:r>
        <w:rPr>
          <w:b/>
          <w:bCs/>
        </w:rPr>
        <w:t xml:space="preserve">$2,190.00</w:t>
      </w:r>
      <w:r>
        <w:t xml:space="preserve">.</w:t>
      </w:r>
    </w:p>
    <w:p>
      <w:pPr>
        <w:pStyle w:val="BlockText"/>
      </w:pPr>
      <w:r>
        <w:rPr>
          <w:i/>
          <w:iCs/>
        </w:rPr>
        <w:t xml:space="preserve">Note:</w:t>
      </w:r>
      <w:r>
        <w:t xml:space="preserve"> </w:t>
      </w:r>
      <w:r>
        <w:t xml:space="preserve">Several block-billed entries in Section C also embed administrative sub-tasks (e.g.,</w:t>
      </w:r>
      <w:r>
        <w:t xml:space="preserve"> </w:t>
      </w:r>
      <w:r>
        <w:t xml:space="preserve">“</w:t>
      </w:r>
      <w:r>
        <w:t xml:space="preserve">coordinate filing deadlines</w:t>
      </w:r>
      <w:r>
        <w:t xml:space="preserve">”</w:t>
      </w:r>
      <w:r>
        <w:t xml:space="preserve"> </w:t>
      </w:r>
      <w:r>
        <w:t xml:space="preserve">in Entry 12;</w:t>
      </w:r>
      <w:r>
        <w:t xml:space="preserve"> </w:t>
      </w:r>
      <w:r>
        <w:t xml:space="preserve">“</w:t>
      </w:r>
      <w:r>
        <w:t xml:space="preserve">coordinate logistics</w:t>
      </w:r>
      <w:r>
        <w:t xml:space="preserve">”</w:t>
      </w:r>
      <w:r>
        <w:t xml:space="preserve"> </w:t>
      </w:r>
      <w:r>
        <w:t xml:space="preserve">in Entries 51 and 94;</w:t>
      </w:r>
      <w:r>
        <w:t xml:space="preserve"> </w:t>
      </w:r>
      <w:r>
        <w:t xml:space="preserve">“</w:t>
      </w:r>
      <w:r>
        <w:t xml:space="preserve">coordinate with court clerk</w:t>
      </w:r>
      <w:r>
        <w:t xml:space="preserve">”</w:t>
      </w:r>
      <w:r>
        <w:t xml:space="preserve"> </w:t>
      </w:r>
      <w:r>
        <w:t xml:space="preserve">in Entries 34 and 77). The 25% block-billing reduction applied in Section C captures those embedded administrative components; no separate write-off is applied to avoid double-counting.</w:t>
      </w:r>
    </w:p>
    <w:p>
      <w:pPr>
        <w:pStyle w:val="FirstParagraph"/>
      </w:pPr>
      <w:r>
        <w:rPr>
          <w:b/>
          <w:bCs/>
        </w:rPr>
        <w:t xml:space="preserve">Subtotal — administrative tasks: $2,190.00</w:t>
      </w:r>
    </w:p>
    <w:p>
      <w:r>
        <w:pict>
          <v:rect style="width:0;height:1.5pt" o:hralign="center" o:hrstd="t" o:hr="t"/>
        </w:pict>
      </w:r>
    </w:p>
    <w:bookmarkEnd w:id="26"/>
    <w:bookmarkStart w:id="27" w:name="Xbd74e2fc6364e26b8709b2ab3b65e479c355614"/>
    <w:p>
      <w:pPr>
        <w:pStyle w:val="Heading3"/>
      </w:pPr>
      <w:r>
        <w:t xml:space="preserve">E. Conference and Deposition Over-Staffing — Billing Guidelines § 4.3</w:t>
      </w:r>
    </w:p>
    <w:p>
      <w:pPr>
        <w:pStyle w:val="FirstParagraph"/>
      </w:pPr>
      <w:r>
        <w:rPr>
          <w:b/>
          <w:bCs/>
        </w:rPr>
        <w:t xml:space="preserve">Finding.</w:t>
      </w:r>
      <w:r>
        <w:t xml:space="preserve"> </w:t>
      </w:r>
      <w:r>
        <w:t xml:space="preserve">Section 4.3 caps the number of billing timekeepers for any single internal meeting or conference call at</w:t>
      </w:r>
      <w:r>
        <w:t xml:space="preserve"> </w:t>
      </w:r>
      <w:r>
        <w:rPr>
          <w:b/>
          <w:bCs/>
        </w:rPr>
        <w:t xml:space="preserve">three (3)</w:t>
      </w:r>
      <w:r>
        <w:t xml:space="preserve"> </w:t>
      </w:r>
      <w:r>
        <w:t xml:space="preserve">— including Substantive Case-Strategy Sessions — and requires advance approval (no later than five business days before) for any deposition staffed by</w:t>
      </w:r>
      <w:r>
        <w:t xml:space="preserve"> </w:t>
      </w:r>
      <w:r>
        <w:rPr>
          <w:b/>
          <w:bCs/>
        </w:rPr>
        <w:t xml:space="preserve">more than two (2)</w:t>
      </w:r>
      <w:r>
        <w:t xml:space="preserve"> </w:t>
      </w:r>
      <w:r>
        <w:t xml:space="preserve">billing timekeepers.</w:t>
      </w:r>
      <w:r>
        <w:t xml:space="preserve"> </w:t>
      </w:r>
      <w:r>
        <w:t xml:space="preserve">“</w:t>
      </w:r>
      <w:r>
        <w:t xml:space="preserve">In the absence of such advance approval, Pinnacle reserves the right to reduce the time of the additional timekeepers in their entirety.</w:t>
      </w:r>
      <w:r>
        <w:t xml:space="preserve">”</w:t>
      </w:r>
    </w:p>
    <w:p>
      <w:pPr>
        <w:pStyle w:val="BodyText"/>
      </w:pPr>
      <w:r>
        <w:rPr>
          <w:b/>
          <w:bCs/>
        </w:rPr>
        <w:t xml:space="preserve">1. May 8, 2025 team strategy conference call — five billing timekeepers.</w:t>
      </w:r>
    </w:p>
    <w:p>
      <w:pPr>
        <w:pStyle w:val="BodyText"/>
      </w:pPr>
      <w:r>
        <w:t xml:space="preserve">Entries 22–26 show five timekeepers billing for the same internal strategy call: Hargrove (3.0 hrs), Cho (3.0 hrs), Pettersson (3.0 hrs), Barros (2.5 hrs), and Webb (2.5 hrs). The June 1 Case Status Report confirms the call included</w:t>
      </w:r>
      <w:r>
        <w:t xml:space="preserve"> </w:t>
      </w:r>
      <w:r>
        <w:t xml:space="preserve">“</w:t>
      </w:r>
      <w:r>
        <w:t xml:space="preserve">the full litigation team.</w:t>
      </w:r>
      <w:r>
        <w:t xml:space="preserve">”</w:t>
      </w:r>
      <w:r>
        <w:t xml:space="preserve"> </w:t>
      </w:r>
      <w:r>
        <w:t xml:space="preserve">The § 4.3 cap is three. The Firm did not designate in advance which timekeepers would bill. Retaining the three most senior and appropriate timekeepers for a discovery-strategy/deposition-prep call (Hargrove, Cho, Pettersson), the excess consists of Barros and Webb. Barros’s fees are already fully disallowed under Section A; the remaining excess is Webb.</w:t>
      </w:r>
    </w:p>
    <w:p>
      <w:pPr>
        <w:pStyle w:val="BodyText"/>
      </w:pPr>
      <w:r>
        <w:rPr>
          <w:b/>
          <w:bCs/>
        </w:rPr>
        <w:t xml:space="preserve">Reduction:</w:t>
      </w:r>
      <w:r>
        <w:t xml:space="preserve"> </w:t>
      </w:r>
      <w:r>
        <w:t xml:space="preserve">Webb, 2.5 hrs × $375 =</w:t>
      </w:r>
      <w:r>
        <w:t xml:space="preserve"> </w:t>
      </w:r>
      <w:r>
        <w:rPr>
          <w:b/>
          <w:bCs/>
        </w:rPr>
        <w:t xml:space="preserve">$937.50</w:t>
      </w:r>
      <w:r>
        <w:t xml:space="preserve">.</w:t>
      </w:r>
    </w:p>
    <w:p>
      <w:pPr>
        <w:pStyle w:val="BodyText"/>
      </w:pPr>
      <w:r>
        <w:rPr>
          <w:b/>
          <w:bCs/>
        </w:rPr>
        <w:t xml:space="preserve">2. May 19, 2025 deposition of Dr. Rebecca Liu — three billing timekeepers.</w:t>
      </w:r>
    </w:p>
    <w:p>
      <w:pPr>
        <w:pStyle w:val="BodyText"/>
      </w:pPr>
      <w:r>
        <w:t xml:space="preserve">Entries 60, 61, and 62 show three timekeepers billing the Liu deposition: Hargrove (4.0 hrs), Cho (6.5 hrs), and Pettersson (5.0 hrs). The Case Status Report confirms all three</w:t>
      </w:r>
      <w:r>
        <w:t xml:space="preserve"> </w:t>
      </w:r>
      <w:r>
        <w:t xml:space="preserve">“</w:t>
      </w:r>
      <w:r>
        <w:t xml:space="preserve">were present for the full duration of the deposition.</w:t>
      </w:r>
      <w:r>
        <w:t xml:space="preserve">”</w:t>
      </w:r>
      <w:r>
        <w:t xml:space="preserve"> </w:t>
      </w:r>
      <w:r>
        <w:t xml:space="preserve">Section 4.3 permits two billing attorneys at a deposition without advance approval; a third requires advance approval requested no later than five business days before the deposition. No such approval was sought or given. Retaining the two examining/lead attorneys (Hargrove and Cho), the third timekeeper (Pettersson, who managed exhibits, took notes, and prepared a summary) is reduced in its entirety.</w:t>
      </w:r>
    </w:p>
    <w:p>
      <w:pPr>
        <w:pStyle w:val="BodyText"/>
      </w:pPr>
      <w:r>
        <w:rPr>
          <w:b/>
          <w:bCs/>
        </w:rPr>
        <w:t xml:space="preserve">Reduction:</w:t>
      </w:r>
      <w:r>
        <w:t xml:space="preserve"> </w:t>
      </w:r>
      <w:r>
        <w:t xml:space="preserve">Pettersson, Entry 62, 5.0 hrs × $475 =</w:t>
      </w:r>
      <w:r>
        <w:t xml:space="preserve"> </w:t>
      </w:r>
      <w:r>
        <w:rPr>
          <w:b/>
          <w:bCs/>
        </w:rPr>
        <w:t xml:space="preserve">$2,375.00</w:t>
      </w:r>
      <w:r>
        <w:t xml:space="preserve">.</w:t>
      </w:r>
    </w:p>
    <w:p>
      <w:pPr>
        <w:pStyle w:val="BlockText"/>
      </w:pPr>
      <w:r>
        <w:rPr>
          <w:i/>
          <w:iCs/>
        </w:rPr>
        <w:t xml:space="preserve">Note:</w:t>
      </w:r>
      <w:r>
        <w:t xml:space="preserve"> </w:t>
      </w:r>
      <w:r>
        <w:t xml:space="preserve">Entry 62 is also block-billed (</w:t>
      </w:r>
      <w:r>
        <w:t xml:space="preserve">“</w:t>
      </w:r>
      <w:r>
        <w:t xml:space="preserve">Attend deposition …; prepare summary of testimony …; identify key admissions …</w:t>
      </w:r>
      <w:r>
        <w:t xml:space="preserve">”</w:t>
      </w:r>
      <w:r>
        <w:t xml:space="preserve">). Because the entire entry is disallowed under § 4.3, no separate 25% block-billing reduction is applied to it (to avoid double-counting). If the Firm resubmits the post-deposition summary portion as a separate, separately-timed line item performed outside the deposition, that portion may be reconsidered on its merits.</w:t>
      </w:r>
    </w:p>
    <w:p>
      <w:pPr>
        <w:pStyle w:val="FirstParagraph"/>
      </w:pPr>
      <w:r>
        <w:rPr>
          <w:b/>
          <w:bCs/>
        </w:rPr>
        <w:t xml:space="preserve">Subtotal — § 4.3 over-staffing: $3,312.50</w:t>
      </w:r>
    </w:p>
    <w:p>
      <w:r>
        <w:pict>
          <v:rect style="width:0;height:1.5pt" o:hralign="center" o:hrstd="t" o:hr="t"/>
        </w:pict>
      </w:r>
    </w:p>
    <w:bookmarkEnd w:id="27"/>
    <w:bookmarkStart w:id="28" w:name="X1d3b51476c8c4ae64055ff4ca681cdb5f9a3959"/>
    <w:p>
      <w:pPr>
        <w:pStyle w:val="Heading3"/>
      </w:pPr>
      <w:r>
        <w:t xml:space="preserve">F. Task-to-Timekeeper Appropriateness — Billing Guidelines § 6.1</w:t>
      </w:r>
    </w:p>
    <w:p>
      <w:pPr>
        <w:pStyle w:val="FirstParagraph"/>
      </w:pPr>
      <w:r>
        <w:rPr>
          <w:b/>
          <w:bCs/>
        </w:rPr>
        <w:t xml:space="preserve">Finding.</w:t>
      </w:r>
      <w:r>
        <w:t xml:space="preserve"> </w:t>
      </w:r>
      <w:r>
        <w:t xml:space="preserve">Section 6.1 requires that each task be assigned to the lowest-cost timekeeper capable of performing it and establishes presumptive reductions when senior timekeepers perform routine tasks.</w:t>
      </w:r>
    </w:p>
    <w:p>
      <w:pPr>
        <w:pStyle w:val="BodyText"/>
      </w:pPr>
      <w:r>
        <w:rPr>
          <w:b/>
          <w:bCs/>
        </w:rPr>
        <w:t xml:space="preserve">1. Entry 9 — Partner performing document review (Hargrove, 4.5 hrs, $4,432.50).</w:t>
      </w:r>
    </w:p>
    <w:p>
      <w:pPr>
        <w:pStyle w:val="BodyText"/>
      </w:pPr>
      <w:r>
        <w:t xml:space="preserve">Entry 9 (task code L040):</w:t>
      </w:r>
      <w:r>
        <w:t xml:space="preserve"> </w:t>
      </w:r>
      <w:r>
        <w:t xml:space="preserve">“</w:t>
      </w:r>
      <w:r>
        <w:t xml:space="preserve">Review and analyze documents produced by MedCore in third production batch; prepare detailed memorandum summarizing key findings for client.</w:t>
      </w:r>
      <w:r>
        <w:t xml:space="preserve">”</w:t>
      </w:r>
      <w:r>
        <w:t xml:space="preserve"> </w:t>
      </w:r>
      <w:r>
        <w:t xml:space="preserve">Section 6.1(a) provides that document review is presumptively inappropriate for a partner and is to be</w:t>
      </w:r>
      <w:r>
        <w:t xml:space="preserve"> </w:t>
      </w:r>
      <w:r>
        <w:t xml:space="preserve">“</w:t>
      </w:r>
      <w:r>
        <w:t xml:space="preserve">reduced to the contract attorney rate ($200/hr cap) or the junior associate rate, depending on the nature of the review and whether the exercise of legal judgment was required.</w:t>
      </w:r>
      <w:r>
        <w:t xml:space="preserve">”</w:t>
      </w:r>
      <w:r>
        <w:t xml:space="preserve"> </w:t>
      </w:r>
      <w:r>
        <w:t xml:space="preserve">The Case Status Report characterizes this as strategic review of key documents to calibrate the review protocol, which involves legal judgment; accordingly, the junior-associate rate ($375/hr) is the appropriate target rather than the contract-attorney rate. Because the entry is block-billed (review + memorandum) and the time cannot be cleanly separated, the full entry is re-rated to the junior-associate rate.</w:t>
      </w:r>
    </w:p>
    <w:p>
      <w:pPr>
        <w:pStyle w:val="BodyText"/>
      </w:pPr>
      <w:r>
        <w:rPr>
          <w:b/>
          <w:bCs/>
        </w:rPr>
        <w:t xml:space="preserve">Reduction:</w:t>
      </w:r>
      <w:r>
        <w:t xml:space="preserve"> </w:t>
      </w:r>
      <w:r>
        <w:t xml:space="preserve">4.5 hrs × ($985 − $375) =</w:t>
      </w:r>
      <w:r>
        <w:t xml:space="preserve"> </w:t>
      </w:r>
      <w:r>
        <w:rPr>
          <w:b/>
          <w:bCs/>
        </w:rPr>
        <w:t xml:space="preserve">$2,745.00</w:t>
      </w:r>
      <w:r>
        <w:t xml:space="preserve">.</w:t>
      </w:r>
    </w:p>
    <w:p>
      <w:pPr>
        <w:pStyle w:val="BlockText"/>
      </w:pPr>
      <w:r>
        <w:rPr>
          <w:i/>
          <w:iCs/>
        </w:rPr>
        <w:t xml:space="preserve">Note:</w:t>
      </w:r>
      <w:r>
        <w:t xml:space="preserve"> </w:t>
      </w:r>
      <w:r>
        <w:t xml:space="preserve">The Firm may preserve the memorandum-preparation portion at the partner rate by resubmitting with separated time allocations; the document-review portion remains re-rated to the junior-associate rate.</w:t>
      </w:r>
    </w:p>
    <w:p>
      <w:pPr>
        <w:pStyle w:val="FirstParagraph"/>
      </w:pPr>
      <w:r>
        <w:rPr>
          <w:b/>
          <w:bCs/>
        </w:rPr>
        <w:t xml:space="preserve">2. Entry 43 — Partner performing cite-checking (Hargrove, 2.0 hrs, $1,970.00).</w:t>
      </w:r>
    </w:p>
    <w:p>
      <w:pPr>
        <w:pStyle w:val="BodyText"/>
      </w:pPr>
      <w:r>
        <w:t xml:space="preserve">Entry 43 (task code L060):</w:t>
      </w:r>
      <w:r>
        <w:t xml:space="preserve"> </w:t>
      </w:r>
      <w:r>
        <w:t xml:space="preserve">“</w:t>
      </w:r>
      <w:r>
        <w:t xml:space="preserve">Review and revise cite-check memorandum prepared by T. Webb; finalize citations for motion to compel brief.</w:t>
      </w:r>
      <w:r>
        <w:t xml:space="preserve">”</w:t>
      </w:r>
      <w:r>
        <w:t xml:space="preserve"> </w:t>
      </w:r>
      <w:r>
        <w:t xml:space="preserve">Section 6.1(b) provides that cite-checking is appropriate for a junior associate or paralegal, and the § 6.1 reduction rules specify that</w:t>
      </w:r>
      <w:r>
        <w:t xml:space="preserve"> </w:t>
      </w:r>
      <w:r>
        <w:t xml:space="preserve">“</w:t>
      </w:r>
      <w:r>
        <w:t xml:space="preserve">[c]ite-checking by a partner or senior associate → reduced to the junior associate rate.</w:t>
      </w:r>
      <w:r>
        <w:t xml:space="preserve">”</w:t>
      </w:r>
      <w:r>
        <w:t xml:space="preserve"> </w:t>
      </w:r>
      <w:r>
        <w:t xml:space="preserve">The entry is directed to a</w:t>
      </w:r>
      <w:r>
        <w:t xml:space="preserve"> </w:t>
      </w:r>
      <w:r>
        <w:t xml:space="preserve">“</w:t>
      </w:r>
      <w:r>
        <w:t xml:space="preserve">cite-check memorandum</w:t>
      </w:r>
      <w:r>
        <w:t xml:space="preserve">”</w:t>
      </w:r>
      <w:r>
        <w:t xml:space="preserve"> </w:t>
      </w:r>
      <w:r>
        <w:t xml:space="preserve">and</w:t>
      </w:r>
      <w:r>
        <w:t xml:space="preserve"> </w:t>
      </w:r>
      <w:r>
        <w:t xml:space="preserve">“</w:t>
      </w:r>
      <w:r>
        <w:t xml:space="preserve">finalize citations,</w:t>
      </w:r>
      <w:r>
        <w:t xml:space="preserve">”</w:t>
      </w:r>
      <w:r>
        <w:t xml:space="preserve"> </w:t>
      </w:r>
      <w:r>
        <w:t xml:space="preserve">i.e., cite-checking-level work.</w:t>
      </w:r>
    </w:p>
    <w:p>
      <w:pPr>
        <w:pStyle w:val="BodyText"/>
      </w:pPr>
      <w:r>
        <w:rPr>
          <w:b/>
          <w:bCs/>
        </w:rPr>
        <w:t xml:space="preserve">Reduction:</w:t>
      </w:r>
      <w:r>
        <w:t xml:space="preserve"> </w:t>
      </w:r>
      <w:r>
        <w:t xml:space="preserve">2.0 hrs × ($985 − $375) =</w:t>
      </w:r>
      <w:r>
        <w:t xml:space="preserve"> </w:t>
      </w:r>
      <w:r>
        <w:rPr>
          <w:b/>
          <w:bCs/>
        </w:rPr>
        <w:t xml:space="preserve">$1,220.00</w:t>
      </w:r>
      <w:r>
        <w:t xml:space="preserve">.</w:t>
      </w:r>
    </w:p>
    <w:p>
      <w:pPr>
        <w:pStyle w:val="BlockText"/>
      </w:pPr>
      <w:r>
        <w:rPr>
          <w:i/>
          <w:iCs/>
        </w:rPr>
        <w:t xml:space="preserve">Note:</w:t>
      </w:r>
      <w:r>
        <w:t xml:space="preserve"> </w:t>
      </w:r>
      <w:r>
        <w:t xml:space="preserve">This entry is borderline; the Firm may contend it constituted substantive motion review. The entry’s express focus on the cite-check memorandum and finalizing citations supports the cite-checking characterization and the prescribed reduction to the junior-associate rate.</w:t>
      </w:r>
    </w:p>
    <w:p>
      <w:pPr>
        <w:pStyle w:val="FirstParagraph"/>
      </w:pPr>
      <w:r>
        <w:rPr>
          <w:b/>
          <w:bCs/>
        </w:rPr>
        <w:t xml:space="preserve">3. Entry 79 — Junior associate performing routine first-level document review (Webb, 3.5 hrs, $1,312.50).</w:t>
      </w:r>
    </w:p>
    <w:p>
      <w:pPr>
        <w:pStyle w:val="BodyText"/>
      </w:pPr>
      <w:r>
        <w:t xml:space="preserve">Entry 79 (task code L040):</w:t>
      </w:r>
      <w:r>
        <w:t xml:space="preserve"> </w:t>
      </w:r>
      <w:r>
        <w:t xml:space="preserve">“</w:t>
      </w:r>
      <w:r>
        <w:t xml:space="preserve">Review third batch of MedCore production documents for relevance and privilege.</w:t>
      </w:r>
      <w:r>
        <w:t xml:space="preserve">”</w:t>
      </w:r>
      <w:r>
        <w:t xml:space="preserve"> </w:t>
      </w:r>
      <w:r>
        <w:t xml:space="preserve">Section 6.1 provides that</w:t>
      </w:r>
      <w:r>
        <w:t xml:space="preserve"> </w:t>
      </w:r>
      <w:r>
        <w:t xml:space="preserve">“</w:t>
      </w:r>
      <w:r>
        <w:t xml:space="preserve">[d]ocument review by a junior associate that constitutes routine first-level review for relevance or responsiveness → reduced to the contract attorney rate.</w:t>
      </w:r>
      <w:r>
        <w:t xml:space="preserve">”</w:t>
      </w:r>
      <w:r>
        <w:t xml:space="preserve"> </w:t>
      </w:r>
      <w:r>
        <w:t xml:space="preserve">The Case Status Report confirms that</w:t>
      </w:r>
      <w:r>
        <w:t xml:space="preserve"> </w:t>
      </w:r>
      <w:r>
        <w:t xml:space="preserve">“</w:t>
      </w:r>
      <w:r>
        <w:t xml:space="preserve">on certain days when the volume of documents requiring review exceeded Mr. Tate’s capacity, Tyler Webb assisted with document review</w:t>
      </w:r>
      <w:r>
        <w:t xml:space="preserve">”</w:t>
      </w:r>
      <w:r>
        <w:t xml:space="preserve"> </w:t>
      </w:r>
      <w:r>
        <w:t xml:space="preserve">— i.e., routine first-level review that should have been performed by the contract attorney.</w:t>
      </w:r>
    </w:p>
    <w:p>
      <w:pPr>
        <w:pStyle w:val="BodyText"/>
      </w:pPr>
      <w:r>
        <w:rPr>
          <w:b/>
          <w:bCs/>
        </w:rPr>
        <w:t xml:space="preserve">Reduction:</w:t>
      </w:r>
      <w:r>
        <w:t xml:space="preserve"> </w:t>
      </w:r>
      <w:r>
        <w:t xml:space="preserve">3.5 hrs × ($375 − $200) =</w:t>
      </w:r>
      <w:r>
        <w:t xml:space="preserve"> </w:t>
      </w:r>
      <w:r>
        <w:rPr>
          <w:b/>
          <w:bCs/>
        </w:rPr>
        <w:t xml:space="preserve">$612.50</w:t>
      </w:r>
      <w:r>
        <w:t xml:space="preserve">.</w:t>
      </w:r>
    </w:p>
    <w:p>
      <w:pPr>
        <w:pStyle w:val="BodyText"/>
      </w:pPr>
      <w:r>
        <w:rPr>
          <w:b/>
          <w:bCs/>
        </w:rPr>
        <w:t xml:space="preserve">Subtotal — § 6.1 task appropriateness: $4,577.50</w:t>
      </w:r>
    </w:p>
    <w:p>
      <w:r>
        <w:pict>
          <v:rect style="width:0;height:1.5pt" o:hralign="center" o:hrstd="t" o:hr="t"/>
        </w:pict>
      </w:r>
    </w:p>
    <w:bookmarkEnd w:id="28"/>
    <w:bookmarkStart w:id="29" w:name="g.-budget-overage-billing-guidelines-7.3"/>
    <w:p>
      <w:pPr>
        <w:pStyle w:val="Heading3"/>
      </w:pPr>
      <w:r>
        <w:t xml:space="preserve">G. Budget Overage — Billing Guidelines § 7.3</w:t>
      </w:r>
    </w:p>
    <w:p>
      <w:pPr>
        <w:pStyle w:val="FirstParagraph"/>
      </w:pPr>
      <w:r>
        <w:rPr>
          <w:b/>
          <w:bCs/>
        </w:rPr>
        <w:t xml:space="preserve">Finding.</w:t>
      </w:r>
      <w:r>
        <w:t xml:space="preserve"> </w:t>
      </w:r>
      <w:r>
        <w:t xml:space="preserve">Billed attorney fees of</w:t>
      </w:r>
      <w:r>
        <w:t xml:space="preserve"> </w:t>
      </w:r>
      <w:r>
        <w:rPr>
          <w:b/>
          <w:bCs/>
        </w:rPr>
        <w:t xml:space="preserve">$193,372.50</w:t>
      </w:r>
      <w:r>
        <w:t xml:space="preserve"> </w:t>
      </w:r>
      <w:r>
        <w:t xml:space="preserve">exceed the § 7.3 pre-approval threshold of</w:t>
      </w:r>
      <w:r>
        <w:t xml:space="preserve"> </w:t>
      </w:r>
      <w:r>
        <w:rPr>
          <w:b/>
          <w:bCs/>
        </w:rPr>
        <w:t xml:space="preserve">$189,750.00</w:t>
      </w:r>
      <w:r>
        <w:t xml:space="preserve"> </w:t>
      </w:r>
      <w:r>
        <w:t xml:space="preserve">(115% of the $165,000 high-end monthly budget) by</w:t>
      </w:r>
      <w:r>
        <w:t xml:space="preserve"> </w:t>
      </w:r>
      <w:r>
        <w:rPr>
          <w:b/>
          <w:bCs/>
        </w:rPr>
        <w:t xml:space="preserve">$3,622.50</w:t>
      </w:r>
      <w:r>
        <w:t xml:space="preserve">. No pre-approval for the overage was requested or granted. The April 28 staffing email acknowledged that adding Barros would</w:t>
      </w:r>
      <w:r>
        <w:t xml:space="preserve"> </w:t>
      </w:r>
      <w:r>
        <w:t xml:space="preserve">“</w:t>
      </w:r>
      <w:r>
        <w:t xml:space="preserve">increase the monthly attorney fees somewhat,</w:t>
      </w:r>
      <w:r>
        <w:t xml:space="preserve">”</w:t>
      </w:r>
      <w:r>
        <w:t xml:space="preserve"> </w:t>
      </w:r>
      <w:r>
        <w:t xml:space="preserve">and Ms. Dominguez’s May 1 reply expressly stated she wanted to</w:t>
      </w:r>
      <w:r>
        <w:t xml:space="preserve"> </w:t>
      </w:r>
      <w:r>
        <w:t xml:space="preserve">“</w:t>
      </w:r>
      <w:r>
        <w:t xml:space="preserve">check where things stand against the current budget</w:t>
      </w:r>
      <w:r>
        <w:t xml:space="preserve">”</w:t>
      </w:r>
      <w:r>
        <w:t xml:space="preserve"> </w:t>
      </w:r>
      <w:r>
        <w:t xml:space="preserve">— yet no budget-overage notification or pre-approval followed.</w:t>
      </w:r>
    </w:p>
    <w:p>
      <w:pPr>
        <w:pStyle w:val="BodyText"/>
      </w:pPr>
      <w:r>
        <w:rPr>
          <w:b/>
          <w:bCs/>
        </w:rPr>
        <w:t xml:space="preserve">Reduction:</w:t>
      </w:r>
      <w:r>
        <w:t xml:space="preserve"> </w:t>
      </w:r>
      <w:r>
        <w:t xml:space="preserve">None as a separate dollar amount. Section 7.3 permits Pinnacle to cap the invoice at $189,750, but that cap operates on the</w:t>
      </w:r>
      <w:r>
        <w:t xml:space="preserve"> </w:t>
      </w:r>
      <w:r>
        <w:rPr>
          <w:i/>
          <w:iCs/>
        </w:rPr>
        <w:t xml:space="preserve">payable</w:t>
      </w:r>
      <w:r>
        <w:t xml:space="preserve"> </w:t>
      </w:r>
      <w:r>
        <w:t xml:space="preserve">amount after other Guidelines reductions. Because the reductions in Sections A–F reduce attorney fees to</w:t>
      </w:r>
      <w:r>
        <w:t xml:space="preserve"> </w:t>
      </w:r>
      <w:r>
        <w:rPr>
          <w:b/>
          <w:bCs/>
        </w:rPr>
        <w:t xml:space="preserve">$131,152.50</w:t>
      </w:r>
      <w:r>
        <w:t xml:space="preserve"> </w:t>
      </w:r>
      <w:r>
        <w:t xml:space="preserve">— well below the $189,750 ceiling — the budget cap does not reduce the payable amount further. The overage is nonetheless recorded as a</w:t>
      </w:r>
      <w:r>
        <w:t xml:space="preserve"> </w:t>
      </w:r>
      <w:r>
        <w:rPr>
          <w:b/>
          <w:bCs/>
        </w:rPr>
        <w:t xml:space="preserve">standalone § 7.3 compliance violation</w:t>
      </w:r>
      <w:r>
        <w:t xml:space="preserve"> </w:t>
      </w:r>
      <w:r>
        <w:t xml:space="preserve">requiring corrective action.</w:t>
      </w:r>
    </w:p>
    <w:p>
      <w:pPr>
        <w:pStyle w:val="BlockText"/>
      </w:pPr>
      <w:r>
        <w:rPr>
          <w:i/>
          <w:iCs/>
        </w:rPr>
        <w:t xml:space="preserve">Observation:</w:t>
      </w:r>
      <w:r>
        <w:t xml:space="preserve"> </w:t>
      </w:r>
      <w:r>
        <w:t xml:space="preserve">The overage is almost entirely attributable to the unapproved timekeepers and the contract-attorney rate overcharge. Removing Barros ($21,375.00), Sengupta ($10,312.50), and the Tate rate premium ($3,000.00) brings attorney fees to $158,685.00 — within the approved $165,000 high end. The budget breach is therefore a direct symptom of the § 4.2 staffing violations, not independent work-volume pressure.</w:t>
      </w:r>
    </w:p>
    <w:p>
      <w:r>
        <w:pict>
          <v:rect style="width:0;height:1.5pt" o:hralign="center" o:hrstd="t" o:hr="t"/>
        </w:pict>
      </w:r>
    </w:p>
    <w:bookmarkEnd w:id="29"/>
    <w:bookmarkStart w:id="30" w:name="X90036061569dd34ecb4a54ecb524f30c0c5cfba"/>
    <w:p>
      <w:pPr>
        <w:pStyle w:val="Heading3"/>
      </w:pPr>
      <w:r>
        <w:t xml:space="preserve">H. Expenses — Billing Guidelines §§ 6.4, 8.1–8.4</w:t>
      </w:r>
    </w:p>
    <w:p>
      <w:pPr>
        <w:pStyle w:val="FirstParagraph"/>
      </w:pPr>
      <w:r>
        <w:rPr>
          <w:b/>
          <w:bCs/>
        </w:rPr>
        <w:t xml:space="preserve">1. Travel — $2,100.00 (Expense #2, dated 05/18/2025) — DISALLOWED.</w:t>
      </w:r>
    </w:p>
    <w:p>
      <w:pPr>
        <w:pStyle w:val="BodyText"/>
      </w:pPr>
      <w:r>
        <w:t xml:space="preserve">The expense is described as</w:t>
      </w:r>
      <w:r>
        <w:t xml:space="preserve"> </w:t>
      </w:r>
      <w:r>
        <w:t xml:space="preserve">“</w:t>
      </w:r>
      <w:r>
        <w:t xml:space="preserve">Travel expenses for D. Hargrove and K. Cho to attend Dr. Rebecca Liu deposition — mileage, parking, meals.</w:t>
      </w:r>
      <w:r>
        <w:t xml:space="preserve">”</w:t>
      </w:r>
      <w:r>
        <w:t xml:space="preserve"> </w:t>
      </w:r>
      <w:r>
        <w:t xml:space="preserve">The Case Status Report states that the Liu deposition</w:t>
      </w:r>
      <w:r>
        <w:t xml:space="preserve"> </w:t>
      </w:r>
      <w:r>
        <w:t xml:space="preserve">“</w:t>
      </w:r>
      <w:r>
        <w:t xml:space="preserve">was taken at the offices of Hargrove &amp; Linden LLP in Atlanta, Georgia.</w:t>
      </w:r>
      <w:r>
        <w:t xml:space="preserve">”</w:t>
      </w:r>
      <w:r>
        <w:t xml:space="preserve"> </w:t>
      </w:r>
      <w:r>
        <w:t xml:space="preserve">Both Hargrove and Cho are based at H&amp;L’s Atlanta office. Travel to one’s own office is local travel, which § 6.4 provides is</w:t>
      </w:r>
      <w:r>
        <w:t xml:space="preserve"> </w:t>
      </w:r>
      <w:r>
        <w:t xml:space="preserve">“</w:t>
      </w:r>
      <w:r>
        <w:t xml:space="preserve">not billable under any circumstances.</w:t>
      </w:r>
      <w:r>
        <w:t xml:space="preserve">”</w:t>
      </w:r>
      <w:r>
        <w:t xml:space="preserve"> </w:t>
      </w:r>
      <w:r>
        <w:t xml:space="preserve">Three independent grounds support disallowance:</w:t>
      </w:r>
    </w:p>
    <w:p>
      <w:pPr>
        <w:pStyle w:val="Compact"/>
        <w:numPr>
          <w:ilvl w:val="0"/>
          <w:numId w:val="1004"/>
        </w:numPr>
      </w:pPr>
      <w:r>
        <w:rPr>
          <w:b/>
          <w:bCs/>
        </w:rPr>
        <w:t xml:space="preserve">§ 6.4</w:t>
      </w:r>
      <w:r>
        <w:t xml:space="preserve"> </w:t>
      </w:r>
      <w:r>
        <w:t xml:space="preserve">— local travel within the Atlanta metropolitan area is not billable;</w:t>
      </w:r>
    </w:p>
    <w:p>
      <w:pPr>
        <w:pStyle w:val="Compact"/>
        <w:numPr>
          <w:ilvl w:val="0"/>
          <w:numId w:val="1004"/>
        </w:numPr>
      </w:pPr>
      <w:r>
        <w:rPr>
          <w:b/>
          <w:bCs/>
        </w:rPr>
        <w:t xml:space="preserve">§ 8.3</w:t>
      </w:r>
      <w:r>
        <w:t xml:space="preserve"> </w:t>
      </w:r>
      <w:r>
        <w:t xml:space="preserve">— travel exceeding $1,000 in the aggregate requires pre-approval; none was obtained; and</w:t>
      </w:r>
    </w:p>
    <w:p>
      <w:pPr>
        <w:pStyle w:val="Compact"/>
        <w:numPr>
          <w:ilvl w:val="0"/>
          <w:numId w:val="1004"/>
        </w:numPr>
      </w:pPr>
      <w:r>
        <w:rPr>
          <w:b/>
          <w:bCs/>
        </w:rPr>
        <w:t xml:space="preserve">§ 8.2</w:t>
      </w:r>
      <w:r>
        <w:t xml:space="preserve"> </w:t>
      </w:r>
      <w:r>
        <w:t xml:space="preserve">— meals are non-reimbursable except during approved out-of-town travel, which this is not.</w:t>
      </w:r>
    </w:p>
    <w:p>
      <w:pPr>
        <w:pStyle w:val="FirstParagraph"/>
      </w:pPr>
      <w:r>
        <w:t xml:space="preserve">The amount ($2,100 for</w:t>
      </w:r>
      <w:r>
        <w:t xml:space="preserve"> </w:t>
      </w:r>
      <w:r>
        <w:t xml:space="preserve">“</w:t>
      </w:r>
      <w:r>
        <w:t xml:space="preserve">mileage, parking, meals</w:t>
      </w:r>
      <w:r>
        <w:t xml:space="preserve">”</w:t>
      </w:r>
      <w:r>
        <w:t xml:space="preserve"> </w:t>
      </w:r>
      <w:r>
        <w:t xml:space="preserve">for two attorneys) is also facially inconsistent with local mileage, parking, and meals, which reinforces that the charge is improper and should be supported by no reimbursement.</w:t>
      </w:r>
    </w:p>
    <w:p>
      <w:pPr>
        <w:pStyle w:val="BodyText"/>
      </w:pPr>
      <w:r>
        <w:rPr>
          <w:b/>
          <w:bCs/>
        </w:rPr>
        <w:t xml:space="preserve">Reduction:</w:t>
      </w:r>
      <w:r>
        <w:t xml:space="preserve"> </w:t>
      </w:r>
      <w:r>
        <w:t xml:space="preserve">Full disallowance —</w:t>
      </w:r>
      <w:r>
        <w:t xml:space="preserve"> </w:t>
      </w:r>
      <w:r>
        <w:rPr>
          <w:b/>
          <w:bCs/>
        </w:rPr>
        <w:t xml:space="preserve">$2,100.00</w:t>
      </w:r>
      <w:r>
        <w:t xml:space="preserve">.</w:t>
      </w:r>
    </w:p>
    <w:p>
      <w:pPr>
        <w:pStyle w:val="BodyText"/>
      </w:pPr>
      <w:r>
        <w:rPr>
          <w:b/>
          <w:bCs/>
        </w:rPr>
        <w:t xml:space="preserve">2. Court reporting — $3,200.00 (Expense #1, Grayson Court Reporting Services) — ALLOWED, subject to documentation.</w:t>
      </w:r>
    </w:p>
    <w:p>
      <w:pPr>
        <w:pStyle w:val="BodyText"/>
      </w:pPr>
      <w:r>
        <w:t xml:space="preserve">Grayson is an approved vendor (Appendix B), and court-reporter and transcript fees are reimbursable under § 8.1 (one copy per deposition at standard rates). The charge includes an</w:t>
      </w:r>
      <w:r>
        <w:t xml:space="preserve"> </w:t>
      </w:r>
      <w:r>
        <w:t xml:space="preserve">“</w:t>
      </w:r>
      <w:r>
        <w:t xml:space="preserve">expedited delivery</w:t>
      </w:r>
      <w:r>
        <w:t xml:space="preserve">”</w:t>
      </w:r>
      <w:r>
        <w:t xml:space="preserve"> </w:t>
      </w:r>
      <w:r>
        <w:t xml:space="preserve">premium. Recommend payment</w:t>
      </w:r>
      <w:r>
        <w:t xml:space="preserve"> </w:t>
      </w:r>
      <w:r>
        <w:rPr>
          <w:b/>
          <w:bCs/>
        </w:rPr>
        <w:t xml:space="preserve">contingent on receipt of the vendor invoice</w:t>
      </w:r>
      <w:r>
        <w:t xml:space="preserve"> </w:t>
      </w:r>
      <w:r>
        <w:t xml:space="preserve">to confirm (a) the expedited premium was necessary and reasonable, and (b) the charge is at actual cost with no markup (§ 8.4). No dollar reduction at this time.</w:t>
      </w:r>
    </w:p>
    <w:p>
      <w:pPr>
        <w:pStyle w:val="BodyText"/>
      </w:pPr>
      <w:r>
        <w:rPr>
          <w:b/>
          <w:bCs/>
        </w:rPr>
        <w:t xml:space="preserve">3. E-discovery hosting — $2,650.00 (Expense #3, Tripoint Litigation Support LLC) — ALLOWED, subject to documentation.</w:t>
      </w:r>
    </w:p>
    <w:p>
      <w:pPr>
        <w:pStyle w:val="BodyText"/>
      </w:pPr>
      <w:r>
        <w:t xml:space="preserve">Tripoint is an approved vendor (Appendix B). E-discovery charges are reimbursable but</w:t>
      </w:r>
      <w:r>
        <w:t xml:space="preserve"> </w:t>
      </w:r>
      <w:r>
        <w:t xml:space="preserve">“</w:t>
      </w:r>
      <w:r>
        <w:t xml:space="preserve">subject to pre-approval</w:t>
      </w:r>
      <w:r>
        <w:t xml:space="preserve">”</w:t>
      </w:r>
      <w:r>
        <w:t xml:space="preserve"> </w:t>
      </w:r>
      <w:r>
        <w:t xml:space="preserve">under § 8.1. Recommend payment</w:t>
      </w:r>
      <w:r>
        <w:t xml:space="preserve"> </w:t>
      </w:r>
      <w:r>
        <w:rPr>
          <w:b/>
          <w:bCs/>
        </w:rPr>
        <w:t xml:space="preserve">contingent on confirmation</w:t>
      </w:r>
      <w:r>
        <w:t xml:space="preserve"> </w:t>
      </w:r>
      <w:r>
        <w:t xml:space="preserve">that pre-approval was obtained and on receipt of the vendor invoice verifying pass-through at actual cost with no markup (§ 8.4). No dollar reduction at this time.</w:t>
      </w:r>
    </w:p>
    <w:p>
      <w:pPr>
        <w:pStyle w:val="BodyText"/>
      </w:pPr>
      <w:r>
        <w:rPr>
          <w:b/>
          <w:bCs/>
        </w:rPr>
        <w:t xml:space="preserve">4. Courier/delivery — $500.00 (Expense #4) — ALLOWED, subject to documentation.</w:t>
      </w:r>
    </w:p>
    <w:p>
      <w:pPr>
        <w:pStyle w:val="BodyText"/>
      </w:pPr>
      <w:r>
        <w:t xml:space="preserve">Courier services for time-sensitive service of discovery documents are reimbursable under § 8.1. Note that courier charges for</w:t>
      </w:r>
      <w:r>
        <w:t xml:space="preserve"> </w:t>
      </w:r>
      <w:r>
        <w:rPr>
          <w:i/>
          <w:iCs/>
        </w:rPr>
        <w:t xml:space="preserve">filing</w:t>
      </w:r>
      <w:r>
        <w:t xml:space="preserve"> </w:t>
      </w:r>
      <w:r>
        <w:t xml:space="preserve">the motion to compel are questionable given electronic filing; recommend payment</w:t>
      </w:r>
      <w:r>
        <w:t xml:space="preserve"> </w:t>
      </w:r>
      <w:r>
        <w:rPr>
          <w:b/>
          <w:bCs/>
        </w:rPr>
        <w:t xml:space="preserve">contingent on receipts</w:t>
      </w:r>
      <w:r>
        <w:t xml:space="preserve"> </w:t>
      </w:r>
      <w:r>
        <w:t xml:space="preserve">and a breakdown separating service-of-process courier costs (reimbursable) from any e-filing-related courier costs (not reimbursable). No dollar reduction at this time.</w:t>
      </w:r>
    </w:p>
    <w:p>
      <w:pPr>
        <w:pStyle w:val="BodyText"/>
      </w:pPr>
      <w:r>
        <w:rPr>
          <w:b/>
          <w:bCs/>
        </w:rPr>
        <w:t xml:space="preserve">Subtotal — expense reductions: $2,100.00</w:t>
      </w:r>
    </w:p>
    <w:p>
      <w:r>
        <w:pict>
          <v:rect style="width:0;height:1.5pt" o:hralign="center" o:hrstd="t" o:hr="t"/>
        </w:pict>
      </w:r>
    </w:p>
    <w:bookmarkEnd w:id="30"/>
    <w:bookmarkStart w:id="31" w:name="X966946f12ec121927843bf19395cd4e76e52664"/>
    <w:p>
      <w:pPr>
        <w:pStyle w:val="Heading3"/>
      </w:pPr>
      <w:r>
        <w:t xml:space="preserve">I. Additional Compliance Observations (no dollar reduction, but require corrective action)</w:t>
      </w:r>
    </w:p>
    <w:p>
      <w:pPr>
        <w:numPr>
          <w:ilvl w:val="0"/>
          <w:numId w:val="1005"/>
        </w:numPr>
      </w:pPr>
      <w:r>
        <w:rPr>
          <w:b/>
          <w:bCs/>
        </w:rPr>
        <w:t xml:space="preserve">Missing budget-to-actual reconciliation (§§ 7.2, 9.1(g)).</w:t>
      </w:r>
      <w:r>
        <w:t xml:space="preserve"> </w:t>
      </w:r>
      <w:r>
        <w:t xml:space="preserve">The invoice does not include the budget-to-actual reconciliation required by § 7.2 and § 9.1(g) (approved budget range, actual fees/expenses, cumulative figures, percentage of phase budget consumed, and narrative explanation of variances &gt;10% from the midpoint). The invoice should be resubmitted with this reconciliation.</w:t>
      </w:r>
    </w:p>
    <w:p>
      <w:pPr>
        <w:numPr>
          <w:ilvl w:val="0"/>
          <w:numId w:val="1005"/>
        </w:numPr>
      </w:pPr>
      <w:r>
        <w:rPr>
          <w:b/>
          <w:bCs/>
        </w:rPr>
        <w:t xml:space="preserve">Partner hours exceed the staffing-plan range.</w:t>
      </w:r>
      <w:r>
        <w:t xml:space="preserve"> </w:t>
      </w:r>
      <w:r>
        <w:t xml:space="preserve">Mr. Hargrove billed 38.5 hours, against an approved range of 15–25 hours/month — roughly 54% above the high end and ~93% above the midpoint. The Case Status Report provides a narrative explanation (Liu deposition, in-house strategy session, document review), satisfying the § 7.2 explanation requirement, and the specific inappropriate tasks (document review, cite-checking, billing preparation) are separately reduced in Sections D and F. No additional reduction is recommended for the variance itself, but the Firm should be advised that partner hours are expected to return to the approved range in June–July as represented in the Case Status Report.</w:t>
      </w:r>
    </w:p>
    <w:p>
      <w:pPr>
        <w:numPr>
          <w:ilvl w:val="0"/>
          <w:numId w:val="1005"/>
        </w:numPr>
      </w:pPr>
      <w:r>
        <w:rPr>
          <w:b/>
          <w:bCs/>
        </w:rPr>
        <w:t xml:space="preserve">Time-entry narratives.</w:t>
      </w:r>
      <w:r>
        <w:t xml:space="preserve"> </w:t>
      </w:r>
      <w:r>
        <w:t xml:space="preserve">Most narratives are adequately detailed. Entry 79 (</w:t>
      </w:r>
      <w:r>
        <w:t xml:space="preserve">“</w:t>
      </w:r>
      <w:r>
        <w:t xml:space="preserve">Review third batch of MedCore production documents for relevance and privilege</w:t>
      </w:r>
      <w:r>
        <w:t xml:space="preserve">”</w:t>
      </w:r>
      <w:r>
        <w:t xml:space="preserve">) is generic compared to the contract attorney’s Bates-range-specific entries and is borderline under § 9.2; the primary concern with that entry (routine review by a junior associate) is addressed in Section F.</w:t>
      </w:r>
    </w:p>
    <w:p>
      <w:pPr>
        <w:numPr>
          <w:ilvl w:val="0"/>
          <w:numId w:val="1005"/>
        </w:numPr>
      </w:pPr>
      <w:r>
        <w:rPr>
          <w:b/>
          <w:bCs/>
        </w:rPr>
        <w:t xml:space="preserve">Invoice timing.</w:t>
      </w:r>
      <w:r>
        <w:t xml:space="preserve"> </w:t>
      </w:r>
      <w:r>
        <w:t xml:space="preserve">The invoice is dated June 5, 2025, within the § 9.1 deadline of the 15th of the month following the billing period. Timely.</w:t>
      </w:r>
    </w:p>
    <w:p>
      <w:r>
        <w:pict>
          <v:rect style="width:0;height:1.5pt" o:hralign="center" o:hrstd="t" o:hr="t"/>
        </w:pict>
      </w:r>
    </w:p>
    <w:bookmarkEnd w:id="31"/>
    <w:bookmarkEnd w:id="32"/>
    <w:bookmarkStart w:id="33" w:name="Xa9de4916e948d139c170895d6fcf8e83bef2e2c"/>
    <w:p>
      <w:pPr>
        <w:pStyle w:val="Heading2"/>
      </w:pPr>
      <w:r>
        <w:t xml:space="preserve">V. Interaction and Ordering of Reductions</w:t>
      </w:r>
    </w:p>
    <w:p>
      <w:pPr>
        <w:pStyle w:val="FirstParagraph"/>
      </w:pPr>
      <w:r>
        <w:t xml:space="preserve">The Billing Guidelines make clear that the various reductions are</w:t>
      </w:r>
      <w:r>
        <w:t xml:space="preserve"> </w:t>
      </w:r>
      <w:r>
        <w:rPr>
          <w:b/>
          <w:bCs/>
        </w:rPr>
        <w:t xml:space="preserve">independent and cumulative</w:t>
      </w:r>
      <w:r>
        <w:t xml:space="preserve">. Section 7.3 expressly states that</w:t>
      </w:r>
      <w:r>
        <w:t xml:space="preserve"> </w:t>
      </w:r>
      <w:r>
        <w:t xml:space="preserve">“</w:t>
      </w:r>
      <w:r>
        <w:t xml:space="preserve">Budget compliance and Guidelines compliance are independent obligations, and reductions under one provision do not offset or preclude reductions under another,</w:t>
      </w:r>
      <w:r>
        <w:t xml:space="preserve">”</w:t>
      </w:r>
      <w:r>
        <w:t xml:space="preserve"> </w:t>
      </w:r>
      <w:r>
        <w:t xml:space="preserve">and § 10.1 provides that remedies</w:t>
      </w:r>
      <w:r>
        <w:t xml:space="preserve"> </w:t>
      </w:r>
      <w:r>
        <w:t xml:space="preserve">“</w:t>
      </w:r>
      <w:r>
        <w:t xml:space="preserve">are cumulative, not exclusive.</w:t>
      </w:r>
      <w:r>
        <w:t xml:space="preserve">”</w:t>
      </w:r>
      <w:r>
        <w:t xml:space="preserve"> </w:t>
      </w:r>
      <w:r>
        <w:t xml:space="preserve">The reductions in Sections A–F and H are therefore applied in full and stacked. The § 7.3 budget cap ($189,750) is a ceiling on the</w:t>
      </w:r>
      <w:r>
        <w:t xml:space="preserve"> </w:t>
      </w:r>
      <w:r>
        <w:rPr>
          <w:i/>
          <w:iCs/>
        </w:rPr>
        <w:t xml:space="preserve">payable</w:t>
      </w:r>
      <w:r>
        <w:t xml:space="preserve"> </w:t>
      </w:r>
      <w:r>
        <w:t xml:space="preserve">amount; because the stacked Guidelines reductions bring attorney fees to $131,152.50 (below the ceiling), the budget cap does not impose an additional dollar reduction, though the overage remains a recorded compliance violation (Section G).</w:t>
      </w:r>
    </w:p>
    <w:p>
      <w:pPr>
        <w:pStyle w:val="BodyText"/>
      </w:pPr>
      <w:r>
        <w:t xml:space="preserve">To avoid double-counting, entries addressed in full under one provision are not also reduced under another: Entry 62 (deposition over-staffing, § 4.3) is not also assessed the 25% block-billing reduction; Entry 9 and Entry 43 (§ 6.1) are not also assessed the block-billing reduction; and the purely administrative Entries 15 and 111 (§ 6.1) are written off in full rather than assessed the 25% block-billing reduction. All fees of the unapproved timekeepers (Barros, Sengupta) are disallowed in full under § 4.2 and are not separately assessed for block billing or task appropriateness.</w:t>
      </w:r>
    </w:p>
    <w:p>
      <w:r>
        <w:pict>
          <v:rect style="width:0;height:1.5pt" o:hralign="center" o:hrstd="t" o:hr="t"/>
        </w:pict>
      </w:r>
    </w:p>
    <w:bookmarkEnd w:id="33"/>
    <w:bookmarkStart w:id="34" w:name="vi.-summary-of-recommended-reductions"/>
    <w:p>
      <w:pPr>
        <w:pStyle w:val="Heading2"/>
      </w:pPr>
      <w:r>
        <w:t xml:space="preserve">VI. Summary of Recommended Reductions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Guideline</w:t>
            </w:r>
          </w:p>
        </w:tc>
        <w:tc>
          <w:tcPr/>
          <w:p>
            <w:pPr>
              <w:pStyle w:val="Compact"/>
              <w:jc w:val="right"/>
            </w:pPr>
            <w:r>
              <w:t xml:space="preserve">Reduction</w:t>
            </w:r>
          </w:p>
        </w:tc>
      </w:tr>
      <w:tr>
        <w:tc>
          <w:tcPr/>
          <w:p>
            <w:pPr>
              <w:pStyle w:val="Compact"/>
              <w:jc w:val="left"/>
            </w:pPr>
            <w:r>
              <w:t xml:space="preserve">A</w:t>
            </w:r>
          </w:p>
        </w:tc>
        <w:tc>
          <w:tcPr/>
          <w:p>
            <w:pPr>
              <w:pStyle w:val="Compact"/>
              <w:jc w:val="left"/>
            </w:pPr>
            <w:r>
              <w:t xml:space="preserve">Unapproved timekeeper — Nina Barros (45.0 hrs)</w:t>
            </w:r>
          </w:p>
        </w:tc>
        <w:tc>
          <w:tcPr/>
          <w:p>
            <w:pPr>
              <w:pStyle w:val="Compact"/>
              <w:jc w:val="left"/>
            </w:pPr>
            <w:r>
              <w:t xml:space="preserve">§ 4.2</w:t>
            </w:r>
          </w:p>
        </w:tc>
        <w:tc>
          <w:tcPr/>
          <w:p>
            <w:pPr>
              <w:pStyle w:val="Compact"/>
              <w:jc w:val="right"/>
            </w:pPr>
            <w:r>
              <w:t xml:space="preserve">$21,375.00</w:t>
            </w:r>
          </w:p>
        </w:tc>
      </w:tr>
      <w:tr>
        <w:tc>
          <w:tcPr/>
          <w:p>
            <w:pPr>
              <w:pStyle w:val="Compact"/>
              <w:jc w:val="left"/>
            </w:pPr>
            <w:r>
              <w:t xml:space="preserve">A</w:t>
            </w:r>
          </w:p>
        </w:tc>
        <w:tc>
          <w:tcPr/>
          <w:p>
            <w:pPr>
              <w:pStyle w:val="Compact"/>
              <w:jc w:val="left"/>
            </w:pPr>
            <w:r>
              <w:t xml:space="preserve">Unapproved timekeeper — Priya Sengupta (27.5 hrs)</w:t>
            </w:r>
          </w:p>
        </w:tc>
        <w:tc>
          <w:tcPr/>
          <w:p>
            <w:pPr>
              <w:pStyle w:val="Compact"/>
              <w:jc w:val="left"/>
            </w:pPr>
            <w:r>
              <w:t xml:space="preserve">§ 4.2</w:t>
            </w:r>
          </w:p>
        </w:tc>
        <w:tc>
          <w:tcPr/>
          <w:p>
            <w:pPr>
              <w:pStyle w:val="Compact"/>
              <w:jc w:val="right"/>
            </w:pPr>
            <w:r>
              <w:t xml:space="preserve">$10,312.50</w:t>
            </w:r>
          </w:p>
        </w:tc>
      </w:tr>
      <w:tr>
        <w:tc>
          <w:tcPr/>
          <w:p>
            <w:pPr>
              <w:pStyle w:val="Compact"/>
              <w:jc w:val="left"/>
            </w:pPr>
            <w:r>
              <w:t xml:space="preserve">B</w:t>
            </w:r>
          </w:p>
        </w:tc>
        <w:tc>
          <w:tcPr/>
          <w:p>
            <w:pPr>
              <w:pStyle w:val="Compact"/>
              <w:jc w:val="left"/>
            </w:pPr>
            <w:r>
              <w:t xml:space="preserve">Contract attorney rate — Marcus Tate (120.0 hrs, $210→$185)</w:t>
            </w:r>
          </w:p>
        </w:tc>
        <w:tc>
          <w:tcPr/>
          <w:p>
            <w:pPr>
              <w:pStyle w:val="Compact"/>
              <w:jc w:val="left"/>
            </w:pPr>
            <w:r>
              <w:t xml:space="preserve">§§ 4.4, 5.1</w:t>
            </w:r>
          </w:p>
        </w:tc>
        <w:tc>
          <w:tcPr/>
          <w:p>
            <w:pPr>
              <w:pStyle w:val="Compact"/>
              <w:jc w:val="right"/>
            </w:pPr>
            <w:r>
              <w:t xml:space="preserve">$3,000.00</w:t>
            </w:r>
          </w:p>
        </w:tc>
      </w:tr>
      <w:tr>
        <w:tc>
          <w:tcPr/>
          <w:p>
            <w:pPr>
              <w:pStyle w:val="Compact"/>
              <w:jc w:val="left"/>
            </w:pPr>
            <w:r>
              <w:t xml:space="preserve">C</w:t>
            </w:r>
          </w:p>
        </w:tc>
        <w:tc>
          <w:tcPr/>
          <w:p>
            <w:pPr>
              <w:pStyle w:val="Compact"/>
              <w:jc w:val="left"/>
            </w:pPr>
            <w:r>
              <w:t xml:space="preserve">Block billing — 26 entries (25% of $69,810.00)</w:t>
            </w:r>
          </w:p>
        </w:tc>
        <w:tc>
          <w:tcPr/>
          <w:p>
            <w:pPr>
              <w:pStyle w:val="Compact"/>
              <w:jc w:val="left"/>
            </w:pPr>
            <w:r>
              <w:t xml:space="preserve">§ 5.4</w:t>
            </w:r>
          </w:p>
        </w:tc>
        <w:tc>
          <w:tcPr/>
          <w:p>
            <w:pPr>
              <w:pStyle w:val="Compact"/>
              <w:jc w:val="right"/>
            </w:pPr>
            <w:r>
              <w:t xml:space="preserve">$17,452.50</w:t>
            </w:r>
          </w:p>
        </w:tc>
      </w:tr>
      <w:tr>
        <w:tc>
          <w:tcPr/>
          <w:p>
            <w:pPr>
              <w:pStyle w:val="Compact"/>
              <w:jc w:val="left"/>
            </w:pPr>
            <w:r>
              <w:t xml:space="preserve">D</w:t>
            </w:r>
          </w:p>
        </w:tc>
        <w:tc>
          <w:tcPr/>
          <w:p>
            <w:pPr>
              <w:pStyle w:val="Compact"/>
              <w:jc w:val="left"/>
            </w:pPr>
            <w:r>
              <w:t xml:space="preserve">Administrative tasks — Entries 15 &amp; 111 (write-off)</w:t>
            </w:r>
          </w:p>
        </w:tc>
        <w:tc>
          <w:tcPr/>
          <w:p>
            <w:pPr>
              <w:pStyle w:val="Compact"/>
              <w:jc w:val="left"/>
            </w:pPr>
            <w:r>
              <w:t xml:space="preserve">§§ 2, 6.1</w:t>
            </w:r>
          </w:p>
        </w:tc>
        <w:tc>
          <w:tcPr/>
          <w:p>
            <w:pPr>
              <w:pStyle w:val="Compact"/>
              <w:jc w:val="right"/>
            </w:pPr>
            <w:r>
              <w:t xml:space="preserve">$2,190.00</w:t>
            </w:r>
          </w:p>
        </w:tc>
      </w:tr>
      <w:tr>
        <w:tc>
          <w:tcPr/>
          <w:p>
            <w:pPr>
              <w:pStyle w:val="Compact"/>
              <w:jc w:val="left"/>
            </w:pPr>
            <w:r>
              <w:t xml:space="preserve">E</w:t>
            </w:r>
          </w:p>
        </w:tc>
        <w:tc>
          <w:tcPr/>
          <w:p>
            <w:pPr>
              <w:pStyle w:val="Compact"/>
              <w:jc w:val="left"/>
            </w:pPr>
            <w:r>
              <w:t xml:space="preserve">Over-staffing — May 8 call (Webb)</w:t>
            </w:r>
          </w:p>
        </w:tc>
        <w:tc>
          <w:tcPr/>
          <w:p>
            <w:pPr>
              <w:pStyle w:val="Compact"/>
              <w:jc w:val="left"/>
            </w:pPr>
            <w:r>
              <w:t xml:space="preserve">§ 4.3</w:t>
            </w:r>
          </w:p>
        </w:tc>
        <w:tc>
          <w:tcPr/>
          <w:p>
            <w:pPr>
              <w:pStyle w:val="Compact"/>
              <w:jc w:val="right"/>
            </w:pPr>
            <w:r>
              <w:t xml:space="preserve">$937.50</w:t>
            </w:r>
          </w:p>
        </w:tc>
      </w:tr>
      <w:tr>
        <w:tc>
          <w:tcPr/>
          <w:p>
            <w:pPr>
              <w:pStyle w:val="Compact"/>
              <w:jc w:val="left"/>
            </w:pPr>
            <w:r>
              <w:t xml:space="preserve">E</w:t>
            </w:r>
          </w:p>
        </w:tc>
        <w:tc>
          <w:tcPr/>
          <w:p>
            <w:pPr>
              <w:pStyle w:val="Compact"/>
              <w:jc w:val="left"/>
            </w:pPr>
            <w:r>
              <w:t xml:space="preserve">Over-staffing — May 19 deposition (Pettersson)</w:t>
            </w:r>
          </w:p>
        </w:tc>
        <w:tc>
          <w:tcPr/>
          <w:p>
            <w:pPr>
              <w:pStyle w:val="Compact"/>
              <w:jc w:val="left"/>
            </w:pPr>
            <w:r>
              <w:t xml:space="preserve">§ 4.3</w:t>
            </w:r>
          </w:p>
        </w:tc>
        <w:tc>
          <w:tcPr/>
          <w:p>
            <w:pPr>
              <w:pStyle w:val="Compact"/>
              <w:jc w:val="right"/>
            </w:pPr>
            <w:r>
              <w:t xml:space="preserve">$2,375.00</w:t>
            </w:r>
          </w:p>
        </w:tc>
      </w:tr>
      <w:tr>
        <w:tc>
          <w:tcPr/>
          <w:p>
            <w:pPr>
              <w:pStyle w:val="Compact"/>
              <w:jc w:val="left"/>
            </w:pPr>
            <w:r>
              <w:t xml:space="preserve">F</w:t>
            </w:r>
          </w:p>
        </w:tc>
        <w:tc>
          <w:tcPr/>
          <w:p>
            <w:pPr>
              <w:pStyle w:val="Compact"/>
              <w:jc w:val="left"/>
            </w:pPr>
            <w:r>
              <w:t xml:space="preserve">Partner document review — Entry 9 (re-rate to $375)</w:t>
            </w:r>
          </w:p>
        </w:tc>
        <w:tc>
          <w:tcPr/>
          <w:p>
            <w:pPr>
              <w:pStyle w:val="Compact"/>
              <w:jc w:val="left"/>
            </w:pPr>
            <w:r>
              <w:t xml:space="preserve">§ 6.1(a)</w:t>
            </w:r>
          </w:p>
        </w:tc>
        <w:tc>
          <w:tcPr/>
          <w:p>
            <w:pPr>
              <w:pStyle w:val="Compact"/>
              <w:jc w:val="right"/>
            </w:pPr>
            <w:r>
              <w:t xml:space="preserve">$2,745.00</w:t>
            </w:r>
          </w:p>
        </w:tc>
      </w:tr>
      <w:tr>
        <w:tc>
          <w:tcPr/>
          <w:p>
            <w:pPr>
              <w:pStyle w:val="Compact"/>
              <w:jc w:val="left"/>
            </w:pPr>
            <w:r>
              <w:t xml:space="preserve">F</w:t>
            </w:r>
          </w:p>
        </w:tc>
        <w:tc>
          <w:tcPr/>
          <w:p>
            <w:pPr>
              <w:pStyle w:val="Compact"/>
              <w:jc w:val="left"/>
            </w:pPr>
            <w:r>
              <w:t xml:space="preserve">Partner cite-checking — Entry 43 (re-rate to $375)</w:t>
            </w:r>
          </w:p>
        </w:tc>
        <w:tc>
          <w:tcPr/>
          <w:p>
            <w:pPr>
              <w:pStyle w:val="Compact"/>
              <w:jc w:val="left"/>
            </w:pPr>
            <w:r>
              <w:t xml:space="preserve">§ 6.1(b)</w:t>
            </w:r>
          </w:p>
        </w:tc>
        <w:tc>
          <w:tcPr/>
          <w:p>
            <w:pPr>
              <w:pStyle w:val="Compact"/>
              <w:jc w:val="right"/>
            </w:pPr>
            <w:r>
              <w:t xml:space="preserve">$1,220.00</w:t>
            </w:r>
          </w:p>
        </w:tc>
      </w:tr>
      <w:tr>
        <w:tc>
          <w:tcPr/>
          <w:p>
            <w:pPr>
              <w:pStyle w:val="Compact"/>
              <w:jc w:val="left"/>
            </w:pPr>
            <w:r>
              <w:t xml:space="preserve">F</w:t>
            </w:r>
          </w:p>
        </w:tc>
        <w:tc>
          <w:tcPr/>
          <w:p>
            <w:pPr>
              <w:pStyle w:val="Compact"/>
              <w:jc w:val="left"/>
            </w:pPr>
            <w:r>
              <w:t xml:space="preserve">Junior associate routine review — Entry 79 (re-rate to $200)</w:t>
            </w:r>
          </w:p>
        </w:tc>
        <w:tc>
          <w:tcPr/>
          <w:p>
            <w:pPr>
              <w:pStyle w:val="Compact"/>
              <w:jc w:val="left"/>
            </w:pPr>
            <w:r>
              <w:t xml:space="preserve">§ 6.1</w:t>
            </w:r>
          </w:p>
        </w:tc>
        <w:tc>
          <w:tcPr/>
          <w:p>
            <w:pPr>
              <w:pStyle w:val="Compact"/>
              <w:jc w:val="right"/>
            </w:pPr>
            <w:r>
              <w:t xml:space="preserve">$612.50</w:t>
            </w:r>
          </w:p>
        </w:tc>
      </w:tr>
      <w:tr>
        <w:tc>
          <w:tcPr/>
          <w:p>
            <w:pPr>
              <w:pStyle w:val="Compact"/>
              <w:jc w:val="left"/>
            </w:pPr>
            <w:r>
              <w:t xml:space="preserve">H</w:t>
            </w:r>
          </w:p>
        </w:tc>
        <w:tc>
          <w:tcPr/>
          <w:p>
            <w:pPr>
              <w:pStyle w:val="Compact"/>
              <w:jc w:val="left"/>
            </w:pPr>
            <w:r>
              <w:t xml:space="preserve">Non-reimbursable local travel — Expense #2</w:t>
            </w:r>
          </w:p>
        </w:tc>
        <w:tc>
          <w:tcPr/>
          <w:p>
            <w:pPr>
              <w:pStyle w:val="Compact"/>
              <w:jc w:val="left"/>
            </w:pPr>
            <w:r>
              <w:t xml:space="preserve">§§ 6.4, 8.2, 8.3</w:t>
            </w:r>
          </w:p>
        </w:tc>
        <w:tc>
          <w:tcPr/>
          <w:p>
            <w:pPr>
              <w:pStyle w:val="Compact"/>
              <w:jc w:val="right"/>
            </w:pPr>
            <w:r>
              <w:t xml:space="preserve">$2,100.00</w:t>
            </w:r>
          </w:p>
        </w:tc>
      </w:tr>
      <w:tr>
        <w:tc>
          <w:tcPr/>
          <w:p>
            <w:pPr>
              <w:pStyle w:val="Compact"/>
            </w:pPr>
          </w:p>
        </w:tc>
        <w:tc>
          <w:tcPr/>
          <w:p>
            <w:pPr>
              <w:pStyle w:val="Compact"/>
              <w:jc w:val="left"/>
            </w:pPr>
            <w:r>
              <w:rPr>
                <w:b/>
                <w:bCs/>
              </w:rPr>
              <w:t xml:space="preserve">Total attorney-fee reductions</w:t>
            </w:r>
          </w:p>
        </w:tc>
        <w:tc>
          <w:tcPr/>
          <w:p>
            <w:pPr>
              <w:pStyle w:val="Compact"/>
            </w:pPr>
          </w:p>
        </w:tc>
        <w:tc>
          <w:tcPr/>
          <w:p>
            <w:pPr>
              <w:pStyle w:val="Compact"/>
              <w:jc w:val="right"/>
            </w:pPr>
            <w:r>
              <w:rPr>
                <w:b/>
                <w:bCs/>
              </w:rPr>
              <w:t xml:space="preserve">$62,220.00</w:t>
            </w:r>
          </w:p>
        </w:tc>
      </w:tr>
      <w:tr>
        <w:tc>
          <w:tcPr/>
          <w:p>
            <w:pPr>
              <w:pStyle w:val="Compact"/>
            </w:pPr>
          </w:p>
        </w:tc>
        <w:tc>
          <w:tcPr/>
          <w:p>
            <w:pPr>
              <w:pStyle w:val="Compact"/>
              <w:jc w:val="left"/>
            </w:pPr>
            <w:r>
              <w:rPr>
                <w:b/>
                <w:bCs/>
              </w:rPr>
              <w:t xml:space="preserve">Total expense reductions</w:t>
            </w:r>
          </w:p>
        </w:tc>
        <w:tc>
          <w:tcPr/>
          <w:p>
            <w:pPr>
              <w:pStyle w:val="Compact"/>
            </w:pPr>
          </w:p>
        </w:tc>
        <w:tc>
          <w:tcPr/>
          <w:p>
            <w:pPr>
              <w:pStyle w:val="Compact"/>
              <w:jc w:val="right"/>
            </w:pPr>
            <w:r>
              <w:rPr>
                <w:b/>
                <w:bCs/>
              </w:rPr>
              <w:t xml:space="preserve">$2,100.00</w:t>
            </w:r>
          </w:p>
        </w:tc>
      </w:tr>
      <w:tr>
        <w:tc>
          <w:tcPr/>
          <w:p>
            <w:pPr>
              <w:pStyle w:val="Compact"/>
            </w:pPr>
          </w:p>
        </w:tc>
        <w:tc>
          <w:tcPr/>
          <w:p>
            <w:pPr>
              <w:pStyle w:val="Compact"/>
              <w:jc w:val="left"/>
            </w:pPr>
            <w:r>
              <w:rPr>
                <w:b/>
                <w:bCs/>
              </w:rPr>
              <w:t xml:space="preserve">TOTAL RECOMMENDED REDUCTIONS</w:t>
            </w:r>
          </w:p>
        </w:tc>
        <w:tc>
          <w:tcPr/>
          <w:p>
            <w:pPr>
              <w:pStyle w:val="Compact"/>
            </w:pPr>
          </w:p>
        </w:tc>
        <w:tc>
          <w:tcPr/>
          <w:p>
            <w:pPr>
              <w:pStyle w:val="Compact"/>
              <w:jc w:val="right"/>
            </w:pPr>
            <w:r>
              <w:rPr>
                <w:b/>
                <w:bCs/>
              </w:rPr>
              <w:t xml:space="preserve">$64,320.00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Attorney fees billed</w:t>
            </w:r>
          </w:p>
        </w:tc>
        <w:tc>
          <w:tcPr/>
          <w:p>
            <w:pPr>
              <w:pStyle w:val="Compact"/>
              <w:jc w:val="right"/>
            </w:pPr>
            <w:r>
              <w:t xml:space="preserve">$193,372.50</w:t>
            </w:r>
          </w:p>
        </w:tc>
      </w:tr>
      <w:tr>
        <w:tc>
          <w:tcPr/>
          <w:p>
            <w:pPr>
              <w:pStyle w:val="Compact"/>
              <w:jc w:val="left"/>
            </w:pPr>
            <w:r>
              <w:t xml:space="preserve">Less: attorney-fee reductions</w:t>
            </w:r>
          </w:p>
        </w:tc>
        <w:tc>
          <w:tcPr/>
          <w:p>
            <w:pPr>
              <w:pStyle w:val="Compact"/>
              <w:jc w:val="right"/>
            </w:pPr>
            <w:r>
              <w:t xml:space="preserve">($62,220.00)</w:t>
            </w:r>
          </w:p>
        </w:tc>
      </w:tr>
      <w:tr>
        <w:tc>
          <w:tcPr/>
          <w:p>
            <w:pPr>
              <w:pStyle w:val="Compact"/>
              <w:jc w:val="left"/>
            </w:pPr>
            <w:r>
              <w:rPr>
                <w:b/>
                <w:bCs/>
              </w:rPr>
              <w:t xml:space="preserve">Attorney fees recommended payable</w:t>
            </w:r>
          </w:p>
        </w:tc>
        <w:tc>
          <w:tcPr/>
          <w:p>
            <w:pPr>
              <w:pStyle w:val="Compact"/>
              <w:jc w:val="right"/>
            </w:pPr>
            <w:r>
              <w:rPr>
                <w:b/>
                <w:bCs/>
              </w:rPr>
              <w:t xml:space="preserve">$131,152.50</w:t>
            </w:r>
          </w:p>
        </w:tc>
      </w:tr>
      <w:tr>
        <w:tc>
          <w:tcPr/>
          <w:p>
            <w:pPr>
              <w:pStyle w:val="Compact"/>
              <w:jc w:val="left"/>
            </w:pPr>
            <w:r>
              <w:t xml:space="preserve">Expenses billed</w:t>
            </w:r>
          </w:p>
        </w:tc>
        <w:tc>
          <w:tcPr/>
          <w:p>
            <w:pPr>
              <w:pStyle w:val="Compact"/>
              <w:jc w:val="right"/>
            </w:pPr>
            <w:r>
              <w:t xml:space="preserve">$8,450.00</w:t>
            </w:r>
          </w:p>
        </w:tc>
      </w:tr>
      <w:tr>
        <w:tc>
          <w:tcPr/>
          <w:p>
            <w:pPr>
              <w:pStyle w:val="Compact"/>
              <w:jc w:val="left"/>
            </w:pPr>
            <w:r>
              <w:t xml:space="preserve">Less: expense reductions</w:t>
            </w:r>
          </w:p>
        </w:tc>
        <w:tc>
          <w:tcPr/>
          <w:p>
            <w:pPr>
              <w:pStyle w:val="Compact"/>
              <w:jc w:val="right"/>
            </w:pPr>
            <w:r>
              <w:t xml:space="preserve">($2,100.00)</w:t>
            </w:r>
          </w:p>
        </w:tc>
      </w:tr>
      <w:tr>
        <w:tc>
          <w:tcPr/>
          <w:p>
            <w:pPr>
              <w:pStyle w:val="Compact"/>
              <w:jc w:val="left"/>
            </w:pPr>
            <w:r>
              <w:rPr>
                <w:b/>
                <w:bCs/>
              </w:rPr>
              <w:t xml:space="preserve">Expenses recommended payable</w:t>
            </w:r>
          </w:p>
        </w:tc>
        <w:tc>
          <w:tcPr/>
          <w:p>
            <w:pPr>
              <w:pStyle w:val="Compact"/>
              <w:jc w:val="right"/>
            </w:pPr>
            <w:r>
              <w:rPr>
                <w:b/>
                <w:bCs/>
              </w:rPr>
              <w:t xml:space="preserve">$6,350.00</w:t>
            </w:r>
          </w:p>
        </w:tc>
      </w:tr>
      <w:tr>
        <w:tc>
          <w:tcPr/>
          <w:p>
            <w:pPr>
              <w:pStyle w:val="Compact"/>
              <w:jc w:val="left"/>
            </w:pPr>
            <w:r>
              <w:rPr>
                <w:b/>
                <w:bCs/>
              </w:rPr>
              <w:t xml:space="preserve">TOTAL RECOMMENDED PAYABLE</w:t>
            </w:r>
          </w:p>
        </w:tc>
        <w:tc>
          <w:tcPr/>
          <w:p>
            <w:pPr>
              <w:pStyle w:val="Compact"/>
              <w:jc w:val="right"/>
            </w:pPr>
            <w:r>
              <w:rPr>
                <w:b/>
                <w:bCs/>
              </w:rPr>
              <w:t xml:space="preserve">$137,502.50</w:t>
            </w:r>
          </w:p>
        </w:tc>
      </w:tr>
    </w:tbl>
    <w:p>
      <w:r>
        <w:pict>
          <v:rect style="width:0;height:1.5pt" o:hralign="center" o:hrstd="t" o:hr="t"/>
        </w:pict>
      </w:r>
    </w:p>
    <w:bookmarkEnd w:id="34"/>
    <w:bookmarkStart w:id="35" w:name="vii.-per-timekeeper-summary"/>
    <w:p>
      <w:pPr>
        <w:pStyle w:val="Heading2"/>
      </w:pPr>
      <w:r>
        <w:t xml:space="preserve">VII. Per-Timekeeper Summary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Timekeeper</w:t>
            </w:r>
          </w:p>
        </w:tc>
        <w:tc>
          <w:tcPr/>
          <w:p>
            <w:pPr>
              <w:pStyle w:val="Compact"/>
              <w:jc w:val="right"/>
            </w:pPr>
            <w:r>
              <w:t xml:space="preserve">Fees Billed</w:t>
            </w:r>
          </w:p>
        </w:tc>
        <w:tc>
          <w:tcPr/>
          <w:p>
            <w:pPr>
              <w:pStyle w:val="Compact"/>
              <w:jc w:val="right"/>
            </w:pPr>
            <w:r>
              <w:t xml:space="preserve">Reductions</w:t>
            </w:r>
          </w:p>
        </w:tc>
        <w:tc>
          <w:tcPr/>
          <w:p>
            <w:pPr>
              <w:pStyle w:val="Compact"/>
              <w:jc w:val="right"/>
            </w:pPr>
            <w:r>
              <w:t xml:space="preserve">Fees Payable</w:t>
            </w:r>
          </w:p>
        </w:tc>
      </w:tr>
      <w:tr>
        <w:tc>
          <w:tcPr/>
          <w:p>
            <w:pPr>
              <w:pStyle w:val="Compact"/>
              <w:jc w:val="left"/>
            </w:pPr>
            <w:r>
              <w:t xml:space="preserve">David Hargrove (Partner)</w:t>
            </w:r>
          </w:p>
        </w:tc>
        <w:tc>
          <w:tcPr/>
          <w:p>
            <w:pPr>
              <w:pStyle w:val="Compact"/>
              <w:jc w:val="right"/>
            </w:pPr>
            <w:r>
              <w:t xml:space="preserve">$37,922.50</w:t>
            </w:r>
          </w:p>
        </w:tc>
        <w:tc>
          <w:tcPr/>
          <w:p>
            <w:pPr>
              <w:pStyle w:val="Compact"/>
              <w:jc w:val="right"/>
            </w:pPr>
            <w:r>
              <w:t xml:space="preserve">$9,998.12</w:t>
            </w:r>
          </w:p>
        </w:tc>
        <w:tc>
          <w:tcPr/>
          <w:p>
            <w:pPr>
              <w:pStyle w:val="Compact"/>
              <w:jc w:val="right"/>
            </w:pPr>
            <w:r>
              <w:t xml:space="preserve">$27,924.38</w:t>
            </w:r>
          </w:p>
        </w:tc>
      </w:tr>
      <w:tr>
        <w:tc>
          <w:tcPr/>
          <w:p>
            <w:pPr>
              <w:pStyle w:val="Compact"/>
              <w:jc w:val="left"/>
            </w:pPr>
            <w:r>
              <w:t xml:space="preserve">Karen Cho (Senior Associate)</w:t>
            </w:r>
          </w:p>
        </w:tc>
        <w:tc>
          <w:tcPr/>
          <w:p>
            <w:pPr>
              <w:pStyle w:val="Compact"/>
              <w:jc w:val="right"/>
            </w:pPr>
            <w:r>
              <w:t xml:space="preserve">$46,250.00</w:t>
            </w:r>
          </w:p>
        </w:tc>
        <w:tc>
          <w:tcPr/>
          <w:p>
            <w:pPr>
              <w:pStyle w:val="Compact"/>
              <w:jc w:val="right"/>
            </w:pPr>
            <w:r>
              <w:t xml:space="preserve">$9,453.12</w:t>
            </w:r>
          </w:p>
        </w:tc>
        <w:tc>
          <w:tcPr/>
          <w:p>
            <w:pPr>
              <w:pStyle w:val="Compact"/>
              <w:jc w:val="right"/>
            </w:pPr>
            <w:r>
              <w:t xml:space="preserve">$36,796.88</w:t>
            </w:r>
          </w:p>
        </w:tc>
      </w:tr>
      <w:tr>
        <w:tc>
          <w:tcPr/>
          <w:p>
            <w:pPr>
              <w:pStyle w:val="Compact"/>
              <w:jc w:val="left"/>
            </w:pPr>
            <w:r>
              <w:t xml:space="preserve">James Pettersson (Mid-Level)</w:t>
            </w:r>
          </w:p>
        </w:tc>
        <w:tc>
          <w:tcPr/>
          <w:p>
            <w:pPr>
              <w:pStyle w:val="Compact"/>
              <w:jc w:val="right"/>
            </w:pPr>
            <w:r>
              <w:t xml:space="preserve">$39,187.50</w:t>
            </w:r>
          </w:p>
        </w:tc>
        <w:tc>
          <w:tcPr/>
          <w:p>
            <w:pPr>
              <w:pStyle w:val="Compact"/>
              <w:jc w:val="right"/>
            </w:pPr>
            <w:r>
              <w:t xml:space="preserve">$6,531.25</w:t>
            </w:r>
          </w:p>
        </w:tc>
        <w:tc>
          <w:tcPr/>
          <w:p>
            <w:pPr>
              <w:pStyle w:val="Compact"/>
              <w:jc w:val="right"/>
            </w:pPr>
            <w:r>
              <w:t xml:space="preserve">$32,656.25</w:t>
            </w:r>
          </w:p>
        </w:tc>
      </w:tr>
      <w:tr>
        <w:tc>
          <w:tcPr/>
          <w:p>
            <w:pPr>
              <w:pStyle w:val="Compact"/>
              <w:jc w:val="left"/>
            </w:pPr>
            <w:r>
              <w:t xml:space="preserve">Nina Barros (Mid-Level — unapproved)</w:t>
            </w:r>
          </w:p>
        </w:tc>
        <w:tc>
          <w:tcPr/>
          <w:p>
            <w:pPr>
              <w:pStyle w:val="Compact"/>
              <w:jc w:val="right"/>
            </w:pPr>
            <w:r>
              <w:t xml:space="preserve">$21,375.00</w:t>
            </w:r>
          </w:p>
        </w:tc>
        <w:tc>
          <w:tcPr/>
          <w:p>
            <w:pPr>
              <w:pStyle w:val="Compact"/>
              <w:jc w:val="right"/>
            </w:pPr>
            <w:r>
              <w:t xml:space="preserve">$21,375.00</w:t>
            </w:r>
          </w:p>
        </w:tc>
        <w:tc>
          <w:tcPr/>
          <w:p>
            <w:pPr>
              <w:pStyle w:val="Compact"/>
              <w:jc w:val="right"/>
            </w:pPr>
            <w:r>
              <w:t xml:space="preserve">$0.00</w:t>
            </w:r>
          </w:p>
        </w:tc>
      </w:tr>
      <w:tr>
        <w:tc>
          <w:tcPr/>
          <w:p>
            <w:pPr>
              <w:pStyle w:val="Compact"/>
              <w:jc w:val="left"/>
            </w:pPr>
            <w:r>
              <w:t xml:space="preserve">Tyler Webb (Junior Associate)</w:t>
            </w:r>
          </w:p>
        </w:tc>
        <w:tc>
          <w:tcPr/>
          <w:p>
            <w:pPr>
              <w:pStyle w:val="Compact"/>
              <w:jc w:val="right"/>
            </w:pPr>
            <w:r>
              <w:t xml:space="preserve">$13,125.00</w:t>
            </w:r>
          </w:p>
        </w:tc>
        <w:tc>
          <w:tcPr/>
          <w:p>
            <w:pPr>
              <w:pStyle w:val="Compact"/>
              <w:jc w:val="right"/>
            </w:pPr>
            <w:r>
              <w:t xml:space="preserve">$1,550.00</w:t>
            </w:r>
          </w:p>
        </w:tc>
        <w:tc>
          <w:tcPr/>
          <w:p>
            <w:pPr>
              <w:pStyle w:val="Compact"/>
              <w:jc w:val="right"/>
            </w:pPr>
            <w:r>
              <w:t xml:space="preserve">$11,575.00</w:t>
            </w:r>
          </w:p>
        </w:tc>
      </w:tr>
      <w:tr>
        <w:tc>
          <w:tcPr/>
          <w:p>
            <w:pPr>
              <w:pStyle w:val="Compact"/>
              <w:jc w:val="left"/>
            </w:pPr>
            <w:r>
              <w:t xml:space="preserve">Priya Sengupta (Junior — unapproved)</w:t>
            </w:r>
          </w:p>
        </w:tc>
        <w:tc>
          <w:tcPr/>
          <w:p>
            <w:pPr>
              <w:pStyle w:val="Compact"/>
              <w:jc w:val="right"/>
            </w:pPr>
            <w:r>
              <w:t xml:space="preserve">$10,312.50</w:t>
            </w:r>
          </w:p>
        </w:tc>
        <w:tc>
          <w:tcPr/>
          <w:p>
            <w:pPr>
              <w:pStyle w:val="Compact"/>
              <w:jc w:val="right"/>
            </w:pPr>
            <w:r>
              <w:t xml:space="preserve">$10,312.50</w:t>
            </w:r>
          </w:p>
        </w:tc>
        <w:tc>
          <w:tcPr/>
          <w:p>
            <w:pPr>
              <w:pStyle w:val="Compact"/>
              <w:jc w:val="right"/>
            </w:pPr>
            <w:r>
              <w:t xml:space="preserve">$0.00</w:t>
            </w:r>
          </w:p>
        </w:tc>
      </w:tr>
      <w:tr>
        <w:tc>
          <w:tcPr/>
          <w:p>
            <w:pPr>
              <w:pStyle w:val="Compact"/>
              <w:jc w:val="left"/>
            </w:pPr>
            <w:r>
              <w:t xml:space="preserve">Marcus Tate (Contract Attorney)</w:t>
            </w:r>
          </w:p>
        </w:tc>
        <w:tc>
          <w:tcPr/>
          <w:p>
            <w:pPr>
              <w:pStyle w:val="Compact"/>
              <w:jc w:val="right"/>
            </w:pPr>
            <w:r>
              <w:t xml:space="preserve">$25,200.00</w:t>
            </w:r>
          </w:p>
        </w:tc>
        <w:tc>
          <w:tcPr/>
          <w:p>
            <w:pPr>
              <w:pStyle w:val="Compact"/>
              <w:jc w:val="right"/>
            </w:pPr>
            <w:r>
              <w:t xml:space="preserve">$3,000.00</w:t>
            </w:r>
          </w:p>
        </w:tc>
        <w:tc>
          <w:tcPr/>
          <w:p>
            <w:pPr>
              <w:pStyle w:val="Compact"/>
              <w:jc w:val="right"/>
            </w:pPr>
            <w:r>
              <w:t xml:space="preserve">$22,200.00</w:t>
            </w:r>
          </w:p>
        </w:tc>
      </w:tr>
      <w:tr>
        <w:tc>
          <w:tcPr/>
          <w:p>
            <w:pPr>
              <w:pStyle w:val="Compact"/>
              <w:jc w:val="left"/>
            </w:pPr>
            <w:r>
              <w:rPr>
                <w:b/>
                <w:bCs/>
              </w:rPr>
              <w:t xml:space="preserve">Total</w:t>
            </w:r>
          </w:p>
        </w:tc>
        <w:tc>
          <w:tcPr/>
          <w:p>
            <w:pPr>
              <w:pStyle w:val="Compact"/>
              <w:jc w:val="right"/>
            </w:pPr>
            <w:r>
              <w:rPr>
                <w:b/>
                <w:bCs/>
              </w:rPr>
              <w:t xml:space="preserve">$193,372.50</w:t>
            </w:r>
          </w:p>
        </w:tc>
        <w:tc>
          <w:tcPr/>
          <w:p>
            <w:pPr>
              <w:pStyle w:val="Compact"/>
              <w:jc w:val="right"/>
            </w:pPr>
            <w:r>
              <w:rPr>
                <w:b/>
                <w:bCs/>
              </w:rPr>
              <w:t xml:space="preserve">$62,220.00</w:t>
            </w:r>
          </w:p>
        </w:tc>
        <w:tc>
          <w:tcPr/>
          <w:p>
            <w:pPr>
              <w:pStyle w:val="Compact"/>
              <w:jc w:val="right"/>
            </w:pPr>
            <w:r>
              <w:rPr>
                <w:b/>
                <w:bCs/>
              </w:rPr>
              <w:t xml:space="preserve">$131,152.50</w:t>
            </w:r>
          </w:p>
        </w:tc>
      </w:tr>
    </w:tbl>
    <w:p>
      <w:pPr>
        <w:pStyle w:val="BodyText"/>
      </w:pPr>
      <w:r>
        <w:rPr>
          <w:i/>
          <w:iCs/>
        </w:rPr>
        <w:t xml:space="preserve">Hargrove reductions:</w:t>
      </w:r>
      <w:r>
        <w:t xml:space="preserve"> </w:t>
      </w:r>
      <w:r>
        <w:t xml:space="preserve">block billing (Entries 32, 60, 70, 92, 98) $4,555.62; administrative write-off (Entry 111) $1,477.50; task appropriateness (Entries 9, 43) $3,965.00.</w:t>
      </w:r>
      <w:r>
        <w:t xml:space="preserve"> </w:t>
      </w:r>
      <w:r>
        <w:rPr>
          <w:i/>
          <w:iCs/>
        </w:rPr>
        <w:t xml:space="preserve">Cho reductions:</w:t>
      </w:r>
      <w:r>
        <w:t xml:space="preserve"> </w:t>
      </w:r>
      <w:r>
        <w:t xml:space="preserve">block billing (14 entries) $9,453.12.</w:t>
      </w:r>
      <w:r>
        <w:t xml:space="preserve"> </w:t>
      </w:r>
      <w:r>
        <w:rPr>
          <w:i/>
          <w:iCs/>
        </w:rPr>
        <w:t xml:space="preserve">Pettersson reductions:</w:t>
      </w:r>
      <w:r>
        <w:t xml:space="preserve"> </w:t>
      </w:r>
      <w:r>
        <w:t xml:space="preserve">block billing (7 entries) $3,443.75; administrative write-off (Entry 15) $712.50; deposition over-staffing (Entry 62) $2,375.00.</w:t>
      </w:r>
      <w:r>
        <w:t xml:space="preserve"> </w:t>
      </w:r>
      <w:r>
        <w:rPr>
          <w:i/>
          <w:iCs/>
        </w:rPr>
        <w:t xml:space="preserve">Webb reductions:</w:t>
      </w:r>
      <w:r>
        <w:t xml:space="preserve"> </w:t>
      </w:r>
      <w:r>
        <w:t xml:space="preserve">May 8 call over-staffing $937.50; routine-review re-rate (Entry 79) $612.50.</w:t>
      </w:r>
      <w:r>
        <w:t xml:space="preserve"> </w:t>
      </w:r>
      <w:r>
        <w:rPr>
          <w:i/>
          <w:iCs/>
        </w:rPr>
        <w:t xml:space="preserve">Tate reductions:</w:t>
      </w:r>
      <w:r>
        <w:t xml:space="preserve"> </w:t>
      </w:r>
      <w:r>
        <w:t xml:space="preserve">rate re-pricing (120 hrs × $25) $3,000.00.</w:t>
      </w:r>
    </w:p>
    <w:p>
      <w:r>
        <w:pict>
          <v:rect style="width:0;height:1.5pt" o:hralign="center" o:hrstd="t" o:hr="t"/>
        </w:pict>
      </w:r>
    </w:p>
    <w:bookmarkEnd w:id="35"/>
    <w:bookmarkStart w:id="36" w:name="viii.-recommended-next-steps"/>
    <w:p>
      <w:pPr>
        <w:pStyle w:val="Heading2"/>
      </w:pPr>
      <w:r>
        <w:t xml:space="preserve">VIII. Recommended Next Steps</w:t>
      </w:r>
    </w:p>
    <w:p>
      <w:pPr>
        <w:numPr>
          <w:ilvl w:val="0"/>
          <w:numId w:val="1006"/>
        </w:numPr>
      </w:pPr>
      <w:r>
        <w:rPr>
          <w:b/>
          <w:bCs/>
        </w:rPr>
        <w:t xml:space="preserve">Issue the reduction.</w:t>
      </w:r>
      <w:r>
        <w:t xml:space="preserve"> </w:t>
      </w:r>
      <w:r>
        <w:t xml:space="preserve">Pay</w:t>
      </w:r>
      <w:r>
        <w:t xml:space="preserve"> </w:t>
      </w:r>
      <w:r>
        <w:rPr>
          <w:b/>
          <w:bCs/>
        </w:rPr>
        <w:t xml:space="preserve">$137,502.50</w:t>
      </w:r>
      <w:r>
        <w:t xml:space="preserve"> </w:t>
      </w:r>
      <w:r>
        <w:t xml:space="preserve">of the $201,822.50 invoiced, with the $64,320.00 reduction and the basis for each component communicated to H&amp;L in writing, citing the specific Billing Guidelines sections.</w:t>
      </w:r>
    </w:p>
    <w:p>
      <w:pPr>
        <w:numPr>
          <w:ilvl w:val="0"/>
          <w:numId w:val="1006"/>
        </w:numPr>
      </w:pPr>
      <w:r>
        <w:rPr>
          <w:b/>
          <w:bCs/>
        </w:rPr>
        <w:t xml:space="preserve">Resolve the Barros and Sengupta staffing status.</w:t>
      </w:r>
      <w:r>
        <w:t xml:space="preserve"> </w:t>
      </w:r>
      <w:r>
        <w:t xml:space="preserve">Decide whether to (a) approve Nina Barros prospectively (and, if so, on what terms and effective date — fees for May remain disallowed because approval was not obtained before work commenced), or (b) decline the addition. Separately, require H&amp;L to either justify or remove Priya Sengupta; absent a written, approved request, her time should not appear on future invoices. Remind H&amp;L that § 4.2 pre-approval is required</w:t>
      </w:r>
      <w:r>
        <w:t xml:space="preserve"> </w:t>
      </w:r>
      <w:r>
        <w:rPr>
          <w:i/>
          <w:iCs/>
        </w:rPr>
        <w:t xml:space="preserve">before</w:t>
      </w:r>
      <w:r>
        <w:t xml:space="preserve"> </w:t>
      </w:r>
      <w:r>
        <w:t xml:space="preserve">work begins and that silence is not approval.</w:t>
      </w:r>
    </w:p>
    <w:p>
      <w:pPr>
        <w:numPr>
          <w:ilvl w:val="0"/>
          <w:numId w:val="1006"/>
        </w:numPr>
      </w:pPr>
      <w:r>
        <w:rPr>
          <w:b/>
          <w:bCs/>
        </w:rPr>
        <w:t xml:space="preserve">Correct the contract-attorney rate.</w:t>
      </w:r>
      <w:r>
        <w:t xml:space="preserve"> </w:t>
      </w:r>
      <w:r>
        <w:t xml:space="preserve">Direct H&amp;L to bill Marcus Tate at the approved $185/hr pass-through rate (with vendor invoices available on request) on all future invoices; confirm the $210 rate was not a markup.</w:t>
      </w:r>
    </w:p>
    <w:p>
      <w:pPr>
        <w:numPr>
          <w:ilvl w:val="0"/>
          <w:numId w:val="1006"/>
        </w:numPr>
      </w:pPr>
      <w:r>
        <w:rPr>
          <w:b/>
          <w:bCs/>
        </w:rPr>
        <w:t xml:space="preserve">Demand compliance with § 5.4.</w:t>
      </w:r>
      <w:r>
        <w:t xml:space="preserve"> </w:t>
      </w:r>
      <w:r>
        <w:t xml:space="preserve">Require H&amp;L to cease block billing and to resubmit the 26 block-billed entries as separate, individually timed line items within 15 days if it wishes to avoid the 25% reduction on future invoices.</w:t>
      </w:r>
    </w:p>
    <w:p>
      <w:pPr>
        <w:numPr>
          <w:ilvl w:val="0"/>
          <w:numId w:val="1006"/>
        </w:numPr>
      </w:pPr>
      <w:r>
        <w:rPr>
          <w:b/>
          <w:bCs/>
        </w:rPr>
        <w:t xml:space="preserve">Require the budget-to-actual reconciliation.</w:t>
      </w:r>
      <w:r>
        <w:t xml:space="preserve"> </w:t>
      </w:r>
      <w:r>
        <w:t xml:space="preserve">Withhold final payment pending H&amp;L’s submission of the § 7.2 / § 9.1(g) budget-to-actual reconciliation, including cumulative phase-to-date figures and a variance narrative.</w:t>
      </w:r>
    </w:p>
    <w:p>
      <w:pPr>
        <w:numPr>
          <w:ilvl w:val="0"/>
          <w:numId w:val="1006"/>
        </w:numPr>
      </w:pPr>
      <w:r>
        <w:rPr>
          <w:b/>
          <w:bCs/>
        </w:rPr>
        <w:t xml:space="preserve">Address the § 7.3 overage.</w:t>
      </w:r>
      <w:r>
        <w:t xml:space="preserve"> </w:t>
      </w:r>
      <w:r>
        <w:t xml:space="preserve">Notify H&amp;L that the May invoice exceeded the $189,750 threshold without pre-approval, that this is a recorded violation, and that any month projected to exceed the threshold requires advance written approval per § 7.3.</w:t>
      </w:r>
    </w:p>
    <w:p>
      <w:pPr>
        <w:numPr>
          <w:ilvl w:val="0"/>
          <w:numId w:val="1006"/>
        </w:numPr>
      </w:pPr>
      <w:r>
        <w:rPr>
          <w:b/>
          <w:bCs/>
        </w:rPr>
        <w:t xml:space="preserve">Expense documentation.</w:t>
      </w:r>
      <w:r>
        <w:t xml:space="preserve"> </w:t>
      </w:r>
      <w:r>
        <w:t xml:space="preserve">Request vendor invoices for the court-reporting, e-discovery, and courier charges before releasing those expense amounts; disallow the $2,100 travel expense in full.</w:t>
      </w:r>
    </w:p>
    <w:p>
      <w:pPr>
        <w:numPr>
          <w:ilvl w:val="0"/>
          <w:numId w:val="1006"/>
        </w:numPr>
      </w:pPr>
      <w:r>
        <w:rPr>
          <w:b/>
          <w:bCs/>
        </w:rPr>
        <w:t xml:space="preserve">Deposition staffing protocol.</w:t>
      </w:r>
      <w:r>
        <w:t xml:space="preserve"> </w:t>
      </w:r>
      <w:r>
        <w:t xml:space="preserve">Remind H&amp;L that depositions require advance approval for more than two billing timekeepers (§ 4.3) and that internal meetings are capped at three billing timekeepers; this is particularly relevant given the two additional former-employee depositions scheduled for June and early July.</w:t>
      </w:r>
    </w:p>
    <w:p>
      <w:pPr>
        <w:numPr>
          <w:ilvl w:val="0"/>
          <w:numId w:val="1006"/>
        </w:numPr>
      </w:pPr>
      <w:r>
        <w:rPr>
          <w:b/>
          <w:bCs/>
        </w:rPr>
        <w:t xml:space="preserve">Resubmission rights.</w:t>
      </w:r>
      <w:r>
        <w:t xml:space="preserve"> </w:t>
      </w:r>
      <w:r>
        <w:t xml:space="preserve">Inform H&amp;L of its right under §§ 5.4, 9.2, and 10.3 to resubmit corrected entries (e.g., un-block-billed entries; separated time for Entry 9) and to appeal any reduction in writing within 30 days.</w:t>
      </w:r>
    </w:p>
    <w:p>
      <w:r>
        <w:pict>
          <v:rect style="width:0;height:1.5pt" o:hralign="center" o:hrstd="t" o:hr="t"/>
        </w:pict>
      </w:r>
    </w:p>
    <w:p>
      <w:pPr>
        <w:pStyle w:val="FirstParagraph"/>
      </w:pPr>
      <w:r>
        <w:rPr>
          <w:i/>
          <w:iCs/>
        </w:rPr>
        <w:t xml:space="preserve">Prepared by the Pinnacle Health Systems Legal Department for internal billing-review purposes. This memorandum is privileged and confidential and constitutes attorney work product. It should not be disclosed to outside parties without the approval of the General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2026-06-26T23:33:56Z</dcterms:created>
  <dcterms:modified xsi:type="dcterms:W3CDTF">2026-06-26T23:33:56Z</dcterms:modified>
</cp:coreProperties>
</file>

<file path=docProps/custom.xml><?xml version="1.0" encoding="utf-8"?>
<Properties xmlns="http://schemas.openxmlformats.org/officeDocument/2006/custom-properties" xmlns:vt="http://schemas.openxmlformats.org/officeDocument/2006/docPropsVTypes"/>
</file>