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voice-review-memorandum"/>
    <w:p>
      <w:pPr>
        <w:pStyle w:val="Heading1"/>
      </w:pPr>
      <w:r>
        <w:t xml:space="preserve">INVOICE REVIEW MEMORANDUM</w:t>
      </w:r>
    </w:p>
    <w:p>
      <w:pPr>
        <w:pStyle w:val="FirstParagraph"/>
      </w:pPr>
      <w:r>
        <w:rPr>
          <w:b/>
          <w:bCs/>
        </w:rPr>
        <w:t xml:space="preserve">PRIVILEGED &amp; CONFIDENTIAL — PREPARED IN ANTICIPATION OF LITIGATION / ATTORNEY WORK PRODUCT</w:t>
      </w:r>
    </w:p>
    <w:p>
      <w:pPr>
        <w:pStyle w:val="BodyText"/>
      </w:pPr>
      <w:r>
        <w:rPr>
          <w:b/>
          <w:bCs/>
        </w:rPr>
        <w:t xml:space="preserve">TO:</w:t>
      </w:r>
      <w:r>
        <w:t xml:space="preserve"> </w:t>
      </w:r>
      <w:r>
        <w:t xml:space="preserve">Rachel Dominguez, Associate General Counsel (Designated In-House Counsel)</w:t>
      </w:r>
      <w:r>
        <w:t xml:space="preserve"> </w:t>
      </w:r>
      <w:r>
        <w:rPr>
          <w:b/>
          <w:bCs/>
        </w:rPr>
        <w:t xml:space="preserve">CC:</w:t>
      </w:r>
      <w:r>
        <w:t xml:space="preserve"> </w:t>
      </w:r>
      <w:r>
        <w:t xml:space="preserve">Sandra Whitmore, General Counsel</w:t>
      </w:r>
      <w:r>
        <w:t xml:space="preserve"> </w:t>
      </w:r>
      <w:r>
        <w:rPr>
          <w:b/>
          <w:bCs/>
        </w:rPr>
        <w:t xml:space="preserve">FROM:</w:t>
      </w:r>
      <w:r>
        <w:t xml:space="preserve"> </w:t>
      </w:r>
      <w:r>
        <w:t xml:space="preserve">Office of the General Counsel — Litigation Billing Review</w:t>
      </w:r>
      <w:r>
        <w:t xml:space="preserve"> </w:t>
      </w:r>
      <w:r>
        <w:rPr>
          <w:b/>
          <w:bCs/>
        </w:rPr>
        <w:t xml:space="preserve">DATE:</w:t>
      </w:r>
      <w:r>
        <w:t xml:space="preserve"> </w:t>
      </w:r>
      <w:r>
        <w:t xml:space="preserve">June 12, 2025</w:t>
      </w:r>
      <w:r>
        <w:t xml:space="preserve"> </w:t>
      </w:r>
      <w:r>
        <w:rPr>
          <w:b/>
          <w:bCs/>
        </w:rPr>
        <w:t xml:space="preserve">RE:</w:t>
      </w:r>
      <w:r>
        <w:t xml:space="preserve"> </w:t>
      </w:r>
      <w:r>
        <w:t xml:space="preserve">Review of Invoice No. HL-2025-05-PIN (Hargrove &amp; Linden LLP) — Billing Period May 1–31, 2025</w:t>
      </w:r>
      <w:r>
        <w:t xml:space="preserve"> </w:t>
      </w:r>
      <w:r>
        <w:rPr>
          <w:b/>
          <w:bCs/>
        </w:rPr>
        <w:t xml:space="preserve">MATTER:</w:t>
      </w:r>
      <w:r>
        <w:t xml:space="preserve"> </w:t>
      </w:r>
      <w:r>
        <w:rPr>
          <w:i/>
          <w:iCs/>
        </w:rPr>
        <w:t xml:space="preserve">Pinnacle Health Systems, Inc. v. MedCore Analytics, LLC</w:t>
      </w:r>
      <w:r>
        <w:t xml:space="preserve">, Case No. 1:24-cv-04187-RWS (N.D. Ga.)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reports the review of Invoice No. HL-2025-05-PIN submitted by 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for the May 1–31, 2025 billing period, measured against (i) the Approved Discovery-Phase Staffing Plan dated February 10, 2025 (the</w:t>
      </w:r>
      <w:r>
        <w:t xml:space="preserve"> </w:t>
      </w:r>
      <w:r>
        <w:t xml:space="preserve">“</w:t>
      </w:r>
      <w:r>
        <w:t xml:space="preserve">Staffing Plan</w:t>
      </w:r>
      <w:r>
        <w:t xml:space="preserve">”</w:t>
      </w:r>
      <w:r>
        <w:t xml:space="preserve">), (ii) Pinnacle’s Outside Counsel Billing Guidelines, effective January 1, 2023 (the</w:t>
      </w:r>
      <w:r>
        <w:t xml:space="preserve"> </w:t>
      </w:r>
      <w:r>
        <w:t xml:space="preserve">“</w:t>
      </w:r>
      <w:r>
        <w:t xml:space="preserve">Billing Guidelines</w:t>
      </w:r>
      <w:r>
        <w:t xml:space="preserve">”</w:t>
      </w:r>
      <w:r>
        <w:t xml:space="preserve">), (iii) the April 28 / May 1, 2025 staffing correspondence between Karen Cho and Rachel Dominguez, and (iv) H&amp;L’s Monthly Case Status Report dated June 1, 2025.</w:t>
      </w:r>
    </w:p>
    <w:p>
      <w:pPr>
        <w:pStyle w:val="BodyText"/>
      </w:pPr>
      <w:r>
        <w:t xml:space="preserve">The invoice states a</w:t>
      </w:r>
      <w:r>
        <w:t xml:space="preserve"> </w:t>
      </w:r>
      <w:r>
        <w:rPr>
          <w:b/>
          <w:bCs/>
        </w:rPr>
        <w:t xml:space="preserve">TOTAL DUE of $201,822.50</w:t>
      </w:r>
      <w:r>
        <w:t xml:space="preserve"> </w:t>
      </w:r>
      <w:r>
        <w:t xml:space="preserve">(attorney fees of $193,372.50 plus expenses of $8,450.00). The review identifies a</w:t>
      </w:r>
      <w:r>
        <w:t xml:space="preserve"> </w:t>
      </w:r>
      <w:r>
        <w:rPr>
          <w:b/>
          <w:bCs/>
        </w:rPr>
        <w:t xml:space="preserve">critical internal defect</w:t>
      </w:r>
      <w:r>
        <w:t xml:space="preserve"> </w:t>
      </w:r>
      <w:r>
        <w:t xml:space="preserve">— the invoice does not foot — together with multiple Billing Guidelines and Staffing Plan violations. Principal findings and the resulting reduction calculations are summarized below; full support appears in Sections V–VII.</w:t>
      </w:r>
    </w:p>
    <w:p>
      <w:pPr>
        <w:pStyle w:val="BodyText"/>
      </w:pPr>
      <w:r>
        <w:rPr>
          <w:b/>
          <w:bCs/>
        </w:rPr>
        <w:t xml:space="preserve">Bottom line.</w:t>
      </w:r>
      <w:r>
        <w:t xml:space="preserve"> </w:t>
      </w:r>
      <w:r>
        <w:t xml:space="preserve">Based on an entry-by-entry audit of the 117 time entries, the compliant (payable) amount is</w:t>
      </w:r>
      <w:r>
        <w:t xml:space="preserve"> </w:t>
      </w:r>
      <w:r>
        <w:rPr>
          <w:b/>
          <w:bCs/>
        </w:rPr>
        <w:t xml:space="preserve">$145,284.86</w:t>
      </w:r>
      <w:r>
        <w:t xml:space="preserve">, comprised of</w:t>
      </w:r>
      <w:r>
        <w:t xml:space="preserve"> </w:t>
      </w:r>
      <w:r>
        <w:rPr>
          <w:b/>
          <w:bCs/>
        </w:rPr>
        <w:t xml:space="preserve">$138,934.86 in attorney fees</w:t>
      </w:r>
      <w:r>
        <w:t xml:space="preserve"> </w:t>
      </w:r>
      <w:r>
        <w:t xml:space="preserve">and</w:t>
      </w:r>
      <w:r>
        <w:t xml:space="preserve"> </w:t>
      </w:r>
      <w:r>
        <w:rPr>
          <w:b/>
          <w:bCs/>
        </w:rPr>
        <w:t xml:space="preserve">$6,350.00 in expenses</w:t>
      </w:r>
      <w:r>
        <w:t xml:space="preserve">. This represents a total reduction of</w:t>
      </w:r>
      <w:r>
        <w:t xml:space="preserve"> </w:t>
      </w:r>
      <w:r>
        <w:rPr>
          <w:b/>
          <w:bCs/>
        </w:rPr>
        <w:t xml:space="preserve">$78,845.14</w:t>
      </w:r>
      <w:r>
        <w:t xml:space="preserve"> </w:t>
      </w:r>
      <w:r>
        <w:t xml:space="preserve">from the audited line-item total ($224,130.00), or</w:t>
      </w:r>
      <w:r>
        <w:t xml:space="preserve"> </w:t>
      </w:r>
      <w:r>
        <w:rPr>
          <w:b/>
          <w:bCs/>
        </w:rPr>
        <w:t xml:space="preserve">$56,537.64</w:t>
      </w:r>
      <w:r>
        <w:t xml:space="preserve"> </w:t>
      </w:r>
      <w:r>
        <w:t xml:space="preserve">below the invoice’s stated TOTAL DUE. The invoice should be</w:t>
      </w:r>
      <w:r>
        <w:t xml:space="preserve"> </w:t>
      </w:r>
      <w:r>
        <w:rPr>
          <w:b/>
          <w:bCs/>
        </w:rPr>
        <w:t xml:space="preserve">returned to the Firm for correction and reconciliation</w:t>
      </w:r>
      <w:r>
        <w:t xml:space="preserve"> </w:t>
      </w:r>
      <w:r>
        <w:t xml:space="preserve">before payment, and Pinnacle should pay no more than $145,284.86 (and only after a corrected, reconciled invoice is submitted).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Figure</w:t>
            </w:r>
          </w:p>
        </w:tc>
        <w:tc>
          <w:tcPr/>
          <w:p>
            <w:pPr>
              <w:pStyle w:val="Compact"/>
              <w:jc w:val="right"/>
            </w:pPr>
            <w:r>
              <w:t xml:space="preserve">Amount</w:t>
            </w:r>
          </w:p>
        </w:tc>
      </w:tr>
      <w:tr>
        <w:tc>
          <w:tcPr/>
          <w:p>
            <w:pPr>
              <w:pStyle w:val="Compact"/>
              <w:jc w:val="left"/>
            </w:pPr>
            <w:r>
              <w:t xml:space="preserve">Invoice TOTAL DUE as stated</w:t>
            </w:r>
          </w:p>
        </w:tc>
        <w:tc>
          <w:tcPr/>
          <w:p>
            <w:pPr>
              <w:pStyle w:val="Compact"/>
              <w:jc w:val="right"/>
            </w:pPr>
            <w:r>
              <w:t xml:space="preserve">$201,822.50</w:t>
            </w:r>
          </w:p>
        </w:tc>
      </w:tr>
      <w:tr>
        <w:tc>
          <w:tcPr/>
          <w:p>
            <w:pPr>
              <w:pStyle w:val="Compact"/>
              <w:jc w:val="left"/>
            </w:pPr>
            <w:r>
              <w:t xml:space="preserve">Stated attorney fees (Summary page)</w:t>
            </w:r>
          </w:p>
        </w:tc>
        <w:tc>
          <w:tcPr/>
          <w:p>
            <w:pPr>
              <w:pStyle w:val="Compact"/>
              <w:jc w:val="right"/>
            </w:pPr>
            <w:r>
              <w:t xml:space="preserve">$193,372.50</w:t>
            </w:r>
          </w:p>
        </w:tc>
      </w:tr>
      <w:tr>
        <w:tc>
          <w:tcPr/>
          <w:p>
            <w:pPr>
              <w:pStyle w:val="Compact"/>
              <w:jc w:val="left"/>
            </w:pPr>
            <w:r>
              <w:t xml:space="preserve">Stated expenses</w:t>
            </w:r>
          </w:p>
        </w:tc>
        <w:tc>
          <w:tcPr/>
          <w:p>
            <w:pPr>
              <w:pStyle w:val="Compact"/>
              <w:jc w:val="right"/>
            </w:pPr>
            <w:r>
              <w:t xml:space="preserve">$8,450.00</w:t>
            </w:r>
          </w:p>
        </w:tc>
      </w:tr>
      <w:tr>
        <w:tc>
          <w:tcPr/>
          <w:p>
            <w:pPr>
              <w:pStyle w:val="Compact"/>
              <w:jc w:val="left"/>
            </w:pPr>
            <w:r>
              <w:rPr>
                <w:b/>
                <w:bCs/>
              </w:rPr>
              <w:t xml:space="preserve">Audited Time Detail line-item fees (117 entries)</w:t>
            </w:r>
          </w:p>
        </w:tc>
        <w:tc>
          <w:tcPr/>
          <w:p>
            <w:pPr>
              <w:pStyle w:val="Compact"/>
              <w:jc w:val="right"/>
            </w:pPr>
            <w:r>
              <w:rPr>
                <w:b/>
                <w:bCs/>
              </w:rPr>
              <w:t xml:space="preserve">$215,680.00</w:t>
            </w:r>
          </w:p>
        </w:tc>
      </w:tr>
      <w:tr>
        <w:tc>
          <w:tcPr/>
          <w:p>
            <w:pPr>
              <w:pStyle w:val="Compact"/>
              <w:jc w:val="left"/>
            </w:pPr>
            <w:r>
              <w:t xml:space="preserve">Summary-vs.-detail discrepancy (fees)</w:t>
            </w:r>
          </w:p>
        </w:tc>
        <w:tc>
          <w:tcPr/>
          <w:p>
            <w:pPr>
              <w:pStyle w:val="Compact"/>
              <w:jc w:val="right"/>
            </w:pPr>
            <w:r>
              <w:t xml:space="preserve">+$22,307.50</w:t>
            </w:r>
          </w:p>
        </w:tc>
      </w:tr>
      <w:tr>
        <w:tc>
          <w:tcPr/>
          <w:p>
            <w:pPr>
              <w:pStyle w:val="Compact"/>
              <w:jc w:val="left"/>
            </w:pPr>
            <w:r>
              <w:rPr>
                <w:b/>
                <w:bCs/>
              </w:rPr>
              <w:t xml:space="preserve">Total recommended fee reduction</w:t>
            </w:r>
          </w:p>
        </w:tc>
        <w:tc>
          <w:tcPr/>
          <w:p>
            <w:pPr>
              <w:pStyle w:val="Compact"/>
              <w:jc w:val="right"/>
            </w:pPr>
            <w:r>
              <w:rPr>
                <w:b/>
                <w:bCs/>
              </w:rPr>
              <w:t xml:space="preserve">$76,745.14</w:t>
            </w:r>
          </w:p>
        </w:tc>
      </w:tr>
      <w:tr>
        <w:tc>
          <w:tcPr/>
          <w:p>
            <w:pPr>
              <w:pStyle w:val="Compact"/>
              <w:jc w:val="left"/>
            </w:pPr>
            <w:r>
              <w:rPr>
                <w:b/>
                <w:bCs/>
              </w:rPr>
              <w:t xml:space="preserve">Compliant attorney fees payable</w:t>
            </w:r>
          </w:p>
        </w:tc>
        <w:tc>
          <w:tcPr/>
          <w:p>
            <w:pPr>
              <w:pStyle w:val="Compact"/>
              <w:jc w:val="right"/>
            </w:pPr>
            <w:r>
              <w:rPr>
                <w:b/>
                <w:bCs/>
              </w:rPr>
              <w:t xml:space="preserve">$138,934.86</w:t>
            </w:r>
          </w:p>
        </w:tc>
      </w:tr>
      <w:tr>
        <w:tc>
          <w:tcPr/>
          <w:p>
            <w:pPr>
              <w:pStyle w:val="Compact"/>
              <w:jc w:val="left"/>
            </w:pPr>
            <w:r>
              <w:t xml:space="preserve">Total recommended expense reduction</w:t>
            </w:r>
          </w:p>
        </w:tc>
        <w:tc>
          <w:tcPr/>
          <w:p>
            <w:pPr>
              <w:pStyle w:val="Compact"/>
              <w:jc w:val="right"/>
            </w:pPr>
            <w:r>
              <w:t xml:space="preserve">$2,100.00</w:t>
            </w:r>
          </w:p>
        </w:tc>
      </w:tr>
      <w:tr>
        <w:tc>
          <w:tcPr/>
          <w:p>
            <w:pPr>
              <w:pStyle w:val="Compact"/>
              <w:jc w:val="left"/>
            </w:pPr>
            <w:r>
              <w:rPr>
                <w:b/>
                <w:bCs/>
              </w:rPr>
              <w:t xml:space="preserve">Compliant expenses payable</w:t>
            </w:r>
          </w:p>
        </w:tc>
        <w:tc>
          <w:tcPr/>
          <w:p>
            <w:pPr>
              <w:pStyle w:val="Compact"/>
              <w:jc w:val="right"/>
            </w:pPr>
            <w:r>
              <w:rPr>
                <w:b/>
                <w:bCs/>
              </w:rPr>
              <w:t xml:space="preserve">$6,350.00</w:t>
            </w:r>
          </w:p>
        </w:tc>
      </w:tr>
      <w:tr>
        <w:tc>
          <w:tcPr/>
          <w:p>
            <w:pPr>
              <w:pStyle w:val="Compact"/>
              <w:jc w:val="left"/>
            </w:pPr>
            <w:r>
              <w:rPr>
                <w:b/>
                <w:bCs/>
              </w:rPr>
              <w:t xml:space="preserve">Recommended total payable</w:t>
            </w:r>
          </w:p>
        </w:tc>
        <w:tc>
          <w:tcPr/>
          <w:p>
            <w:pPr>
              <w:pStyle w:val="Compact"/>
              <w:jc w:val="right"/>
            </w:pPr>
            <w:r>
              <w:rPr>
                <w:b/>
                <w:bCs/>
              </w:rPr>
              <w:t xml:space="preserve">$145,284.86</w:t>
            </w:r>
          </w:p>
        </w:tc>
      </w:tr>
    </w:tbl>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rPr>
          <w:b/>
          <w:bCs/>
        </w:rPr>
        <w:t xml:space="preserve">Invoice No. HL-2025-05-PIN</w:t>
      </w:r>
      <w:r>
        <w:t xml:space="preserve"> </w:t>
      </w:r>
      <w:r>
        <w:t xml:space="preserve">(H&amp;L), dated June 5, 2025 — Summary, Time Detail (117 entries), Expense Detail, and Rate Schedule tabs.</w:t>
      </w:r>
    </w:p>
    <w:p>
      <w:pPr>
        <w:pStyle w:val="Compact"/>
        <w:numPr>
          <w:ilvl w:val="0"/>
          <w:numId w:val="1001"/>
        </w:numPr>
      </w:pPr>
      <w:r>
        <w:rPr>
          <w:b/>
          <w:bCs/>
        </w:rPr>
        <w:t xml:space="preserve">Approved Discovery-Phase Staffing Plan</w:t>
      </w:r>
      <w:r>
        <w:t xml:space="preserve">, H&amp;L letter dated February 10, 2025, signed by Rachel Dominguez and Sandra Whitmore.</w:t>
      </w:r>
    </w:p>
    <w:p>
      <w:pPr>
        <w:pStyle w:val="Compact"/>
        <w:numPr>
          <w:ilvl w:val="0"/>
          <w:numId w:val="1001"/>
        </w:numPr>
      </w:pPr>
      <w:r>
        <w:rPr>
          <w:b/>
          <w:bCs/>
        </w:rPr>
        <w:t xml:space="preserve">Pinnacle Outside Counsel Billing Guidelines</w:t>
      </w:r>
      <w:r>
        <w:t xml:space="preserve">, effective January 1, 2023.</w:t>
      </w:r>
    </w:p>
    <w:p>
      <w:pPr>
        <w:pStyle w:val="Compact"/>
        <w:numPr>
          <w:ilvl w:val="0"/>
          <w:numId w:val="1001"/>
        </w:numPr>
      </w:pPr>
      <w:r>
        <w:rPr>
          <w:b/>
          <w:bCs/>
        </w:rPr>
        <w:t xml:space="preserve">Staffing correspondence</w:t>
      </w:r>
      <w:r>
        <w:t xml:space="preserve">: (a) email from Karen Cho to Rachel Dominguez dated April 28, 2025, requesting addition of Nina Barros; (b) reply from Rachel Dominguez dated May 1, 2025.</w:t>
      </w:r>
    </w:p>
    <w:p>
      <w:pPr>
        <w:pStyle w:val="Compact"/>
        <w:numPr>
          <w:ilvl w:val="0"/>
          <w:numId w:val="1001"/>
        </w:numPr>
      </w:pPr>
      <w:r>
        <w:rPr>
          <w:b/>
          <w:bCs/>
        </w:rPr>
        <w:t xml:space="preserve">Monthly Case Status Report</w:t>
      </w:r>
      <w:r>
        <w:t xml:space="preserve">, H&amp;L memorandum dated June 1, 2025.</w:t>
      </w:r>
    </w:p>
    <w:p>
      <w:r>
        <w:pict>
          <v:rect style="width:0;height:1.5pt" o:hralign="center" o:hrstd="t" o:hr="t"/>
        </w:pict>
      </w:r>
    </w:p>
    <w:bookmarkEnd w:id="21"/>
    <w:bookmarkStart w:id="22" w:name="iii.-invoice-overview"/>
    <w:p>
      <w:pPr>
        <w:pStyle w:val="Heading2"/>
      </w:pPr>
      <w:r>
        <w:t xml:space="preserve">III. Invoice Overview</w:t>
      </w:r>
    </w:p>
    <w:p>
      <w:pPr>
        <w:pStyle w:val="FirstParagraph"/>
      </w:pPr>
      <w:r>
        <w:t xml:space="preserve">The invoice covers May 1–31, 2025 and lists seven timekeepers. The Summary page reports the following: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 (Summary)</w:t>
            </w:r>
          </w:p>
        </w:tc>
        <w:tc>
          <w:tcPr/>
          <w:p>
            <w:pPr>
              <w:pStyle w:val="Compact"/>
              <w:jc w:val="right"/>
            </w:pPr>
            <w:r>
              <w:t xml:space="preserve">Fees (Summary)</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120.0</w:t>
            </w:r>
          </w:p>
        </w:tc>
        <w:tc>
          <w:tcPr/>
          <w:p>
            <w:pPr>
              <w:pStyle w:val="Compact"/>
              <w:jc w:val="right"/>
            </w:pPr>
            <w:r>
              <w:t xml:space="preserve">$25,200.00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422.5</w:t>
            </w:r>
          </w:p>
        </w:tc>
        <w:tc>
          <w:tcPr/>
          <w:p>
            <w:pPr>
              <w:pStyle w:val="Compact"/>
              <w:jc w:val="right"/>
            </w:pPr>
            <w:r>
              <w:rPr>
                <w:b/>
                <w:bCs/>
              </w:rPr>
              <w:t xml:space="preserve">$193,372.50</w:t>
            </w:r>
          </w:p>
        </w:tc>
      </w:tr>
    </w:tbl>
    <w:p>
      <w:pPr>
        <w:pStyle w:val="BodyText"/>
      </w:pPr>
      <w:r>
        <w:t xml:space="preserve">Expenses of $8,450.00 comprise court reporting ($3,200.00), travel ($2,100.00), e-discovery hosting ($2,650.00), and courier ($500.00).</w:t>
      </w:r>
    </w:p>
    <w:p>
      <w:r>
        <w:pict>
          <v:rect style="width:0;height:1.5pt" o:hralign="center" o:hrstd="t" o:hr="t"/>
        </w:pict>
      </w:r>
    </w:p>
    <w:bookmarkEnd w:id="22"/>
    <w:bookmarkStart w:id="23" w:name="Xf40c58dd9135300c9a11fe2bfd6a384e736768b"/>
    <w:p>
      <w:pPr>
        <w:pStyle w:val="Heading2"/>
      </w:pPr>
      <w:r>
        <w:t xml:space="preserve">IV. Critical Defect — The Invoice Does Not Foot</w:t>
      </w:r>
    </w:p>
    <w:p>
      <w:pPr>
        <w:pStyle w:val="FirstParagraph"/>
      </w:pPr>
      <w:r>
        <w:t xml:space="preserve">Before reaching the substantive findings, a threshold defect must be flagged:</w:t>
      </w:r>
      <w:r>
        <w:t xml:space="preserve"> </w:t>
      </w:r>
      <w:r>
        <w:rPr>
          <w:b/>
          <w:bCs/>
        </w:rPr>
        <w:t xml:space="preserve">the Summary page does not reconcile to the Time Detail.</w:t>
      </w:r>
      <w:r>
        <w:t xml:space="preserve"> </w:t>
      </w:r>
      <w:r>
        <w:t xml:space="preserve">When the 117 individual time entries on the Time Detail tab are summed, they total</w:t>
      </w:r>
      <w:r>
        <w:t xml:space="preserve"> </w:t>
      </w:r>
      <w:r>
        <w:rPr>
          <w:b/>
          <w:bCs/>
        </w:rPr>
        <w:t xml:space="preserve">483.5 hours and $215,680.00 in fees</w:t>
      </w:r>
      <w:r>
        <w:t xml:space="preserve"> </w:t>
      </w:r>
      <w:r>
        <w:t xml:space="preserve">—</w:t>
      </w:r>
      <w:r>
        <w:t xml:space="preserve"> </w:t>
      </w:r>
      <w:r>
        <w:rPr>
          <w:b/>
          <w:bCs/>
        </w:rPr>
        <w:t xml:space="preserve">61.0 hours and $22,307.50 more</w:t>
      </w:r>
      <w:r>
        <w:t xml:space="preserve"> </w:t>
      </w:r>
      <w:r>
        <w:t xml:space="preserve">than the $193,372.50 / 422.5-hour figure shown on both the Summary page and the Time Detail’s own SUBTOTAL row. The variance is not concentrated in one timekeeper; it affects most of the team: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Summary (hrs/fees)</w:t>
            </w:r>
          </w:p>
        </w:tc>
        <w:tc>
          <w:tcPr/>
          <w:p>
            <w:pPr>
              <w:pStyle w:val="Compact"/>
              <w:jc w:val="left"/>
            </w:pPr>
            <w:r>
              <w:t xml:space="preserve">Detail line items (hrs/fees)</w:t>
            </w:r>
          </w:p>
        </w:tc>
        <w:tc>
          <w:tcPr/>
          <w:p>
            <w:pPr>
              <w:pStyle w:val="Compact"/>
              <w:jc w:val="left"/>
            </w:pPr>
            <w:r>
              <w:t xml:space="preserve">Variance</w:t>
            </w:r>
          </w:p>
        </w:tc>
      </w:tr>
      <w:tr>
        <w:tc>
          <w:tcPr/>
          <w:p>
            <w:pPr>
              <w:pStyle w:val="Compact"/>
              <w:jc w:val="left"/>
            </w:pPr>
            <w:r>
              <w:t xml:space="preserve">David Hargrove</w:t>
            </w:r>
          </w:p>
        </w:tc>
        <w:tc>
          <w:tcPr/>
          <w:p>
            <w:pPr>
              <w:pStyle w:val="Compact"/>
              <w:jc w:val="left"/>
            </w:pPr>
            <w:r>
              <w:t xml:space="preserve">38.5 / $37,922.50</w:t>
            </w:r>
          </w:p>
        </w:tc>
        <w:tc>
          <w:tcPr/>
          <w:p>
            <w:pPr>
              <w:pStyle w:val="Compact"/>
              <w:jc w:val="left"/>
            </w:pPr>
            <w:r>
              <w:t xml:space="preserve">38.5 / $37,922.50</w:t>
            </w:r>
          </w:p>
        </w:tc>
        <w:tc>
          <w:tcPr/>
          <w:p>
            <w:pPr>
              <w:pStyle w:val="Compact"/>
              <w:jc w:val="left"/>
            </w:pPr>
            <w:r>
              <w:t xml:space="preserve">$0.00</w:t>
            </w:r>
          </w:p>
        </w:tc>
      </w:tr>
      <w:tr>
        <w:tc>
          <w:tcPr/>
          <w:p>
            <w:pPr>
              <w:pStyle w:val="Compact"/>
              <w:jc w:val="left"/>
            </w:pPr>
            <w:r>
              <w:t xml:space="preserve">Karen Cho</w:t>
            </w:r>
          </w:p>
        </w:tc>
        <w:tc>
          <w:tcPr/>
          <w:p>
            <w:pPr>
              <w:pStyle w:val="Compact"/>
              <w:jc w:val="left"/>
            </w:pPr>
            <w:r>
              <w:t xml:space="preserve">74.0 / $46,250.00</w:t>
            </w:r>
          </w:p>
        </w:tc>
        <w:tc>
          <w:tcPr/>
          <w:p>
            <w:pPr>
              <w:pStyle w:val="Compact"/>
              <w:jc w:val="left"/>
            </w:pPr>
            <w:r>
              <w:t xml:space="preserve">89.5 / $55,937.50</w:t>
            </w:r>
          </w:p>
        </w:tc>
        <w:tc>
          <w:tcPr/>
          <w:p>
            <w:pPr>
              <w:pStyle w:val="Compact"/>
              <w:jc w:val="left"/>
            </w:pPr>
            <w:r>
              <w:t xml:space="preserve">+$9,687.50</w:t>
            </w:r>
          </w:p>
        </w:tc>
      </w:tr>
      <w:tr>
        <w:tc>
          <w:tcPr/>
          <w:p>
            <w:pPr>
              <w:pStyle w:val="Compact"/>
              <w:jc w:val="left"/>
            </w:pPr>
            <w:r>
              <w:t xml:space="preserve">James Pettersson</w:t>
            </w:r>
          </w:p>
        </w:tc>
        <w:tc>
          <w:tcPr/>
          <w:p>
            <w:pPr>
              <w:pStyle w:val="Compact"/>
              <w:jc w:val="left"/>
            </w:pPr>
            <w:r>
              <w:t xml:space="preserve">82.5 / $39,187.50</w:t>
            </w:r>
          </w:p>
        </w:tc>
        <w:tc>
          <w:tcPr/>
          <w:p>
            <w:pPr>
              <w:pStyle w:val="Compact"/>
              <w:jc w:val="left"/>
            </w:pPr>
            <w:r>
              <w:t xml:space="preserve">91.0 / $43,225.00</w:t>
            </w:r>
          </w:p>
        </w:tc>
        <w:tc>
          <w:tcPr/>
          <w:p>
            <w:pPr>
              <w:pStyle w:val="Compact"/>
              <w:jc w:val="left"/>
            </w:pPr>
            <w:r>
              <w:t xml:space="preserve">+$4,037.50</w:t>
            </w:r>
          </w:p>
        </w:tc>
      </w:tr>
      <w:tr>
        <w:tc>
          <w:tcPr/>
          <w:p>
            <w:pPr>
              <w:pStyle w:val="Compact"/>
              <w:jc w:val="left"/>
            </w:pPr>
            <w:r>
              <w:t xml:space="preserve">Nina Barros</w:t>
            </w:r>
          </w:p>
        </w:tc>
        <w:tc>
          <w:tcPr/>
          <w:p>
            <w:pPr>
              <w:pStyle w:val="Compact"/>
              <w:jc w:val="left"/>
            </w:pPr>
            <w:r>
              <w:t xml:space="preserve">45.0 / $21,375.00</w:t>
            </w:r>
          </w:p>
        </w:tc>
        <w:tc>
          <w:tcPr/>
          <w:p>
            <w:pPr>
              <w:pStyle w:val="Compact"/>
              <w:jc w:val="left"/>
            </w:pPr>
            <w:r>
              <w:t xml:space="preserve">49.0 / $23,275.00</w:t>
            </w:r>
          </w:p>
        </w:tc>
        <w:tc>
          <w:tcPr/>
          <w:p>
            <w:pPr>
              <w:pStyle w:val="Compact"/>
              <w:jc w:val="left"/>
            </w:pPr>
            <w:r>
              <w:t xml:space="preserve">+$1,900.00</w:t>
            </w:r>
          </w:p>
        </w:tc>
      </w:tr>
      <w:tr>
        <w:tc>
          <w:tcPr/>
          <w:p>
            <w:pPr>
              <w:pStyle w:val="Compact"/>
              <w:jc w:val="left"/>
            </w:pPr>
            <w:r>
              <w:t xml:space="preserve">Tyler Webb</w:t>
            </w:r>
          </w:p>
        </w:tc>
        <w:tc>
          <w:tcPr/>
          <w:p>
            <w:pPr>
              <w:pStyle w:val="Compact"/>
              <w:jc w:val="left"/>
            </w:pPr>
            <w:r>
              <w:t xml:space="preserve">35.0 / $13,125.00</w:t>
            </w:r>
          </w:p>
        </w:tc>
        <w:tc>
          <w:tcPr/>
          <w:p>
            <w:pPr>
              <w:pStyle w:val="Compact"/>
              <w:jc w:val="left"/>
            </w:pPr>
            <w:r>
              <w:t xml:space="preserve">34.0 / $12,750.00</w:t>
            </w:r>
          </w:p>
        </w:tc>
        <w:tc>
          <w:tcPr/>
          <w:p>
            <w:pPr>
              <w:pStyle w:val="Compact"/>
              <w:jc w:val="left"/>
            </w:pPr>
            <w:r>
              <w:t xml:space="preserve">−$375.00</w:t>
            </w:r>
          </w:p>
        </w:tc>
      </w:tr>
      <w:tr>
        <w:tc>
          <w:tcPr/>
          <w:p>
            <w:pPr>
              <w:pStyle w:val="Compact"/>
              <w:jc w:val="left"/>
            </w:pPr>
            <w:r>
              <w:t xml:space="preserve">Priya Sengupta</w:t>
            </w:r>
          </w:p>
        </w:tc>
        <w:tc>
          <w:tcPr/>
          <w:p>
            <w:pPr>
              <w:pStyle w:val="Compact"/>
              <w:jc w:val="left"/>
            </w:pPr>
            <w:r>
              <w:t xml:space="preserve">27.5 / $10,312.50</w:t>
            </w:r>
          </w:p>
        </w:tc>
        <w:tc>
          <w:tcPr/>
          <w:p>
            <w:pPr>
              <w:pStyle w:val="Compact"/>
              <w:jc w:val="left"/>
            </w:pPr>
            <w:r>
              <w:t xml:space="preserve">27.0 / $10,125.00</w:t>
            </w:r>
          </w:p>
        </w:tc>
        <w:tc>
          <w:tcPr/>
          <w:p>
            <w:pPr>
              <w:pStyle w:val="Compact"/>
              <w:jc w:val="left"/>
            </w:pPr>
            <w:r>
              <w:t xml:space="preserve">−$187.50</w:t>
            </w:r>
          </w:p>
        </w:tc>
      </w:tr>
      <w:tr>
        <w:tc>
          <w:tcPr/>
          <w:p>
            <w:pPr>
              <w:pStyle w:val="Compact"/>
              <w:jc w:val="left"/>
            </w:pPr>
            <w:r>
              <w:t xml:space="preserve">Marcus Tate</w:t>
            </w:r>
          </w:p>
        </w:tc>
        <w:tc>
          <w:tcPr/>
          <w:p>
            <w:pPr>
              <w:pStyle w:val="Compact"/>
              <w:jc w:val="left"/>
            </w:pPr>
            <w:r>
              <w:t xml:space="preserve">120.0 / $25,200.00</w:t>
            </w:r>
          </w:p>
        </w:tc>
        <w:tc>
          <w:tcPr/>
          <w:p>
            <w:pPr>
              <w:pStyle w:val="Compact"/>
              <w:jc w:val="left"/>
            </w:pPr>
            <w:r>
              <w:t xml:space="preserve">154.5 / $32,445.00</w:t>
            </w:r>
          </w:p>
        </w:tc>
        <w:tc>
          <w:tcPr/>
          <w:p>
            <w:pPr>
              <w:pStyle w:val="Compact"/>
              <w:jc w:val="left"/>
            </w:pPr>
            <w:r>
              <w:t xml:space="preserve">+$7,245.00</w:t>
            </w:r>
          </w:p>
        </w:tc>
      </w:tr>
      <w:tr>
        <w:tc>
          <w:tcPr/>
          <w:p>
            <w:pPr>
              <w:pStyle w:val="Compact"/>
              <w:jc w:val="left"/>
            </w:pPr>
            <w:r>
              <w:rPr>
                <w:b/>
                <w:bCs/>
              </w:rPr>
              <w:t xml:space="preserve">Total</w:t>
            </w:r>
          </w:p>
        </w:tc>
        <w:tc>
          <w:tcPr/>
          <w:p>
            <w:pPr>
              <w:pStyle w:val="Compact"/>
              <w:jc w:val="left"/>
            </w:pPr>
            <w:r>
              <w:rPr>
                <w:b/>
                <w:bCs/>
              </w:rPr>
              <w:t xml:space="preserve">422.5 / $193,372.50</w:t>
            </w:r>
          </w:p>
        </w:tc>
        <w:tc>
          <w:tcPr/>
          <w:p>
            <w:pPr>
              <w:pStyle w:val="Compact"/>
              <w:jc w:val="left"/>
            </w:pPr>
            <w:r>
              <w:rPr>
                <w:b/>
                <w:bCs/>
              </w:rPr>
              <w:t xml:space="preserve">483.5 / $215,680.00</w:t>
            </w:r>
          </w:p>
        </w:tc>
        <w:tc>
          <w:tcPr/>
          <w:p>
            <w:pPr>
              <w:pStyle w:val="Compact"/>
              <w:jc w:val="left"/>
            </w:pPr>
            <w:r>
              <w:rPr>
                <w:b/>
                <w:bCs/>
              </w:rPr>
              <w:t xml:space="preserve">+$22,307.50</w:t>
            </w:r>
          </w:p>
        </w:tc>
      </w:tr>
    </w:tbl>
    <w:p>
      <w:pPr>
        <w:pStyle w:val="BodyText"/>
      </w:pPr>
      <w:r>
        <w:t xml:space="preserve">This is a nonconformance with Billing Guidelines</w:t>
      </w:r>
      <w:r>
        <w:t xml:space="preserve"> </w:t>
      </w:r>
      <w:r>
        <w:rPr>
          <w:b/>
          <w:bCs/>
        </w:rPr>
        <w:t xml:space="preserve">Section 9.1(d) and (e)</w:t>
      </w:r>
      <w:r>
        <w:t xml:space="preserve">, which require a summary page that reconciles to a time-detail page, and it makes the invoice unreliable as submitted. Notably, the variance runs in the Firm’s favor on the Summary (the Summary</w:t>
      </w:r>
      <w:r>
        <w:t xml:space="preserve"> </w:t>
      </w:r>
      <w:r>
        <w:rPr>
          <w:i/>
          <w:iCs/>
        </w:rPr>
        <w:t xml:space="preserve">understates</w:t>
      </w:r>
      <w:r>
        <w:t xml:space="preserve"> </w:t>
      </w:r>
      <w:r>
        <w:t xml:space="preserve">the line items), but an invoice whose summary and detail do not agree cannot be reliably audited or paid.</w:t>
      </w:r>
      <w:r>
        <w:t xml:space="preserve"> </w:t>
      </w:r>
      <w:r>
        <w:rPr>
          <w:b/>
          <w:bCs/>
        </w:rPr>
        <w:t xml:space="preserve">Recommendation: return the invoice for correction and reconciliation</w:t>
      </w:r>
      <w:r>
        <w:t xml:space="preserve"> </w:t>
      </w:r>
      <w:r>
        <w:t xml:space="preserve">as a condition of payment. The substantive review below is performed on the 117 line items (the auditable record), and the reduction calculations are measured against the audited line-item fee total of $215,680.00.</w:t>
      </w:r>
    </w:p>
    <w:p>
      <w:r>
        <w:pict>
          <v:rect style="width:0;height:1.5pt" o:hralign="center" o:hrstd="t" o:hr="t"/>
        </w:pict>
      </w:r>
    </w:p>
    <w:bookmarkEnd w:id="23"/>
    <w:bookmarkStart w:id="37" w:name="v.-findings-and-recommended-reductions"/>
    <w:p>
      <w:pPr>
        <w:pStyle w:val="Heading2"/>
      </w:pPr>
      <w:r>
        <w:t xml:space="preserve">V. Findings and Recommended Reductions</w:t>
      </w:r>
    </w:p>
    <w:bookmarkStart w:id="24" w:name="Xb5cc2afaad3370bdceba0db53f1504bbad69e83"/>
    <w:p>
      <w:pPr>
        <w:pStyle w:val="Heading3"/>
      </w:pPr>
      <w:r>
        <w:t xml:space="preserve">A. Unapproved Timekeepers — Billing Guidelines § 4.2; Staffing Plan §§ 2.3, 2.4, 4</w:t>
      </w:r>
    </w:p>
    <w:p>
      <w:pPr>
        <w:pStyle w:val="FirstParagraph"/>
      </w:pPr>
      <w:r>
        <w:t xml:space="preserve">Section 4.2 of the Billing Guidelines requires that any addition to or substitution on the Approved Staffing Plan be</w:t>
      </w:r>
      <w:r>
        <w:t xml:space="preserve"> </w:t>
      </w:r>
      <w:r>
        <w:rPr>
          <w:b/>
          <w:bCs/>
        </w:rPr>
        <w:t xml:space="preserve">pre-approved in writing</w:t>
      </w:r>
      <w:r>
        <w:t xml:space="preserve"> </w:t>
      </w:r>
      <w:r>
        <w:t xml:space="preserve">by the Designated In-House Counsel</w:t>
      </w:r>
      <w:r>
        <w:t xml:space="preserve"> </w:t>
      </w:r>
      <w:r>
        <w:rPr>
          <w:b/>
          <w:bCs/>
        </w:rPr>
        <w:t xml:space="preserve">before</w:t>
      </w:r>
      <w:r>
        <w:t xml:space="preserve"> </w:t>
      </w:r>
      <w:r>
        <w:t xml:space="preserve">the new timekeeper performs billable work, and provides that after-the-fact changes</w:t>
      </w:r>
      <w:r>
        <w:t xml:space="preserve"> </w:t>
      </w:r>
      <w:r>
        <w:t xml:space="preserve">“</w:t>
      </w:r>
      <w:r>
        <w:t xml:space="preserve">are subject to reduction or rejection of all fees attributable to the unapproved timekeeper, at Pinnacle’s sole discretion.</w:t>
      </w:r>
      <w:r>
        <w:t xml:space="preserve">”</w:t>
      </w:r>
      <w:r>
        <w:t xml:space="preserve"> </w:t>
      </w:r>
      <w:r>
        <w:t xml:space="preserve">The Staffing Plan is explicit that its roster is the</w:t>
      </w:r>
      <w:r>
        <w:t xml:space="preserve"> </w:t>
      </w:r>
      <w:r>
        <w:t xml:space="preserve">“</w:t>
      </w:r>
      <w:r>
        <w:t xml:space="preserve">complete and exclusive</w:t>
      </w:r>
      <w:r>
        <w:t xml:space="preserve">”</w:t>
      </w:r>
      <w:r>
        <w:t xml:space="preserve"> </w:t>
      </w:r>
      <w:r>
        <w:t xml:space="preserve">approved team, that</w:t>
      </w:r>
      <w:r>
        <w:t xml:space="preserve"> </w:t>
      </w:r>
      <w:r>
        <w:rPr>
          <w:b/>
          <w:bCs/>
        </w:rPr>
        <w:t xml:space="preserve">James Pettersson is the only mid-level associate</w:t>
      </w:r>
      <w:r>
        <w:t xml:space="preserve"> </w:t>
      </w:r>
      <w:r>
        <w:t xml:space="preserve">authorized on the matter, and that</w:t>
      </w:r>
      <w:r>
        <w:t xml:space="preserve"> </w:t>
      </w:r>
      <w:r>
        <w:rPr>
          <w:b/>
          <w:bCs/>
        </w:rPr>
        <w:t xml:space="preserve">only one junior associate</w:t>
      </w:r>
      <w:r>
        <w:t xml:space="preserve"> </w:t>
      </w:r>
      <w:r>
        <w:t xml:space="preserve">may bill at any given time (with Tyler Webb as the then-current assignment); adding a second junior</w:t>
      </w:r>
      <w:r>
        <w:t xml:space="preserve"> </w:t>
      </w:r>
      <w:r>
        <w:t xml:space="preserve">“</w:t>
      </w:r>
      <w:r>
        <w:t xml:space="preserve">would constitute a staffing change requiring prior written approval under Section 4.2.</w:t>
      </w:r>
      <w:r>
        <w:t xml:space="preserve">”</w:t>
      </w:r>
    </w:p>
    <w:p>
      <w:pPr>
        <w:pStyle w:val="BodyText"/>
      </w:pPr>
      <w:r>
        <w:rPr>
          <w:b/>
          <w:bCs/>
        </w:rPr>
        <w:t xml:space="preserve">1. Nina Barros (Mid-Level Associate) — $23,275.00 recommended rejection.</w:t>
      </w:r>
      <w:r>
        <w:t xml:space="preserve"> </w:t>
      </w:r>
      <w:r>
        <w:t xml:space="preserve">Ms. Barros billed 49.0 hours at $475/hr ($23,275.00). She is not on the Approved Staffing Plan. The only written request to add her is Karen Cho’s email of</w:t>
      </w:r>
      <w:r>
        <w:t xml:space="preserve"> </w:t>
      </w:r>
      <w:r>
        <w:rPr>
          <w:b/>
          <w:bCs/>
        </w:rPr>
        <w:t xml:space="preserve">April 28, 2025</w:t>
      </w:r>
      <w:r>
        <w:t xml:space="preserve">. Rachel Dominguez’s reply of</w:t>
      </w:r>
      <w:r>
        <w:t xml:space="preserve"> </w:t>
      </w:r>
      <w:r>
        <w:rPr>
          <w:b/>
          <w:bCs/>
        </w:rPr>
        <w:t xml:space="preserve">May 1, 2025</w:t>
      </w:r>
      <w:r>
        <w:t xml:space="preserve"> </w:t>
      </w:r>
      <w:r>
        <w:t xml:space="preserve">expressly did</w:t>
      </w:r>
      <w:r>
        <w:t xml:space="preserve"> </w:t>
      </w:r>
      <w:r>
        <w:rPr>
          <w:b/>
          <w:bCs/>
        </w:rPr>
        <w:t xml:space="preserve">not</w:t>
      </w:r>
      <w:r>
        <w:t xml:space="preserve"> </w:t>
      </w:r>
      <w:r>
        <w:t xml:space="preserve">approve the addition — she stated she needed to</w:t>
      </w:r>
      <w:r>
        <w:t xml:space="preserve"> </w:t>
      </w:r>
      <w:r>
        <w:t xml:space="preserve">“</w:t>
      </w:r>
      <w:r>
        <w:t xml:space="preserve">review this with Sandra and get back to you,</w:t>
      </w:r>
      <w:r>
        <w:t xml:space="preserve">”</w:t>
      </w:r>
      <w:r>
        <w:t xml:space="preserve"> </w:t>
      </w:r>
      <w:r>
        <w:t xml:space="preserve">wanted to</w:t>
      </w:r>
      <w:r>
        <w:t xml:space="preserve"> </w:t>
      </w:r>
      <w:r>
        <w:t xml:space="preserve">“</w:t>
      </w:r>
      <w:r>
        <w:t xml:space="preserve">check where things stand against the current budget and staffing plan,</w:t>
      </w:r>
      <w:r>
        <w:t xml:space="preserve">”</w:t>
      </w:r>
      <w:r>
        <w:t xml:space="preserve"> </w:t>
      </w:r>
      <w:r>
        <w:t xml:space="preserve">and would</w:t>
      </w:r>
      <w:r>
        <w:t xml:space="preserve"> </w:t>
      </w:r>
      <w:r>
        <w:t xml:space="preserve">“</w:t>
      </w:r>
      <w:r>
        <w:t xml:space="preserve">try to circle back with you early next week.</w:t>
      </w:r>
      <w:r>
        <w:t xml:space="preserve">”</w:t>
      </w:r>
      <w:r>
        <w:t xml:space="preserve"> </w:t>
      </w:r>
      <w:r>
        <w:rPr>
          <w:b/>
          <w:bCs/>
        </w:rPr>
        <w:t xml:space="preserve">No approval was ever issued.</w:t>
      </w:r>
      <w:r>
        <w:t xml:space="preserve"> </w:t>
      </w:r>
      <w:r>
        <w:t xml:space="preserve">Section 4.2 is explicit that</w:t>
      </w:r>
      <w:r>
        <w:t xml:space="preserve"> </w:t>
      </w:r>
      <w:r>
        <w:t xml:space="preserve">“</w:t>
      </w:r>
      <w:r>
        <w:t xml:space="preserve">the absence of a response shall not constitute approval,</w:t>
      </w:r>
      <w:r>
        <w:t xml:space="preserve">”</w:t>
      </w:r>
      <w:r>
        <w:t xml:space="preserve"> </w:t>
      </w:r>
      <w:r>
        <w:t xml:space="preserve">and that Pinnacle’s five-business-day response commitment does not convert a non-response into consent; Ms. Dominguez’s May 1 reply was, on its face, a deferral (</w:t>
      </w:r>
      <w:r>
        <w:t xml:space="preserve">“</w:t>
      </w:r>
      <w:r>
        <w:t xml:space="preserve">I’ll try to circle back with you early next week</w:t>
      </w:r>
      <w:r>
        <w:t xml:space="preserve">”</w:t>
      </w:r>
      <w:r>
        <w:t xml:space="preserve">), not an approval, and no subsequent written approval appears in the record. The June 1 Case Status Report confirms Ms. Barros worked</w:t>
      </w:r>
      <w:r>
        <w:t xml:space="preserve"> </w:t>
      </w:r>
      <w:r>
        <w:t xml:space="preserve">“</w:t>
      </w:r>
      <w:r>
        <w:t xml:space="preserve">consistent with the request submitted to Ms. Dominguez on April 28, 2025</w:t>
      </w:r>
      <w:r>
        <w:t xml:space="preserve">”</w:t>
      </w:r>
      <w:r>
        <w:t xml:space="preserve"> </w:t>
      </w:r>
      <w:r>
        <w:t xml:space="preserve">— a request is not an approval. No exigent-circumstance notification was made within 24 hours under § 4.2, and none is suggested by the record (the cited need was ordinary discovery volume, not an emergency). Because the Staffing Plan limits the matter to one mid-level associate and no written approval was given,</w:t>
      </w:r>
      <w:r>
        <w:t xml:space="preserve"> </w:t>
      </w:r>
      <w:r>
        <w:rPr>
          <w:b/>
          <w:bCs/>
        </w:rPr>
        <w:t xml:space="preserve">all $23,275.00 is recommended for rejection</w:t>
      </w:r>
      <w:r>
        <w:t xml:space="preserve"> </w:t>
      </w:r>
      <w:r>
        <w:t xml:space="preserve">under § 4.2.</w:t>
      </w:r>
    </w:p>
    <w:p>
      <w:pPr>
        <w:pStyle w:val="BodyText"/>
      </w:pPr>
      <w:r>
        <w:rPr>
          <w:b/>
          <w:bCs/>
        </w:rPr>
        <w:t xml:space="preserve">2. Priya Sengupta (Junior Associate) — $10,125.00 recommended rejection.</w:t>
      </w:r>
      <w:r>
        <w:t xml:space="preserve"> </w:t>
      </w:r>
      <w:r>
        <w:t xml:space="preserve">Ms. Sengupta billed 27.0 hours at $375/hr ($10,125.00). She is not on the Approved Staffing Plan, and</w:t>
      </w:r>
      <w:r>
        <w:t xml:space="preserve"> </w:t>
      </w:r>
      <w:r>
        <w:rPr>
          <w:b/>
          <w:bCs/>
        </w:rPr>
        <w:t xml:space="preserve">no written request to add her appears anywhere in the record</w:t>
      </w:r>
      <w:r>
        <w:t xml:space="preserve"> </w:t>
      </w:r>
      <w:r>
        <w:t xml:space="preserve">(the Rate Schedule tab merely notes</w:t>
      </w:r>
      <w:r>
        <w:t xml:space="preserve"> </w:t>
      </w:r>
      <w:r>
        <w:t xml:space="preserve">“</w:t>
      </w:r>
      <w:r>
        <w:t xml:space="preserve">Added May 2025</w:t>
      </w:r>
      <w:r>
        <w:t xml:space="preserve">”</w:t>
      </w:r>
      <w:r>
        <w:t xml:space="preserve"> </w:t>
      </w:r>
      <w:r>
        <w:t xml:space="preserve">with no approval status). She is a</w:t>
      </w:r>
      <w:r>
        <w:t xml:space="preserve"> </w:t>
      </w:r>
      <w:r>
        <w:rPr>
          <w:b/>
          <w:bCs/>
        </w:rPr>
        <w:t xml:space="preserve">second junior associate</w:t>
      </w:r>
      <w:r>
        <w:t xml:space="preserve"> </w:t>
      </w:r>
      <w:r>
        <w:t xml:space="preserve">billing concurrently with Tyler Webb, which the Staffing Plan (§ 2.4) expressly states</w:t>
      </w:r>
      <w:r>
        <w:t xml:space="preserve"> </w:t>
      </w:r>
      <w:r>
        <w:t xml:space="preserve">“</w:t>
      </w:r>
      <w:r>
        <w:t xml:space="preserve">would constitute a staffing change requiring prior written approval under Section 4.2.</w:t>
      </w:r>
      <w:r>
        <w:t xml:space="preserve">”</w:t>
      </w:r>
      <w:r>
        <w:t xml:space="preserve"> </w:t>
      </w:r>
      <w:r>
        <w:rPr>
          <w:b/>
          <w:bCs/>
        </w:rPr>
        <w:t xml:space="preserve">All $10,125.00 is recommended for rejection</w:t>
      </w:r>
      <w:r>
        <w:t xml:space="preserve"> </w:t>
      </w:r>
      <w:r>
        <w:t xml:space="preserve">under § 4.2.</w:t>
      </w:r>
    </w:p>
    <w:p>
      <w:pPr>
        <w:pStyle w:val="BodyText"/>
      </w:pPr>
      <w:r>
        <w:rPr>
          <w:b/>
          <w:bCs/>
        </w:rPr>
        <w:t xml:space="preserve">Subtotal — unapproved timekeepers: $33,400.00.</w:t>
      </w:r>
    </w:p>
    <w:bookmarkEnd w:id="24"/>
    <w:bookmarkStart w:id="25" w:name="X4133459f126899038f1bcbd34dfaefbb4044a8f"/>
    <w:p>
      <w:pPr>
        <w:pStyle w:val="Heading3"/>
      </w:pPr>
      <w:r>
        <w:t xml:space="preserve">B. Contract Attorney Rate Exceeds Approved Rate and Cap — § 5.1, § 4.4; Staffing Plan §§ 2.5, 6</w:t>
      </w:r>
    </w:p>
    <w:p>
      <w:pPr>
        <w:pStyle w:val="FirstParagraph"/>
      </w:pPr>
      <w:r>
        <w:t xml:space="preserve">Marcus Tate (contract attorney, sourced through Redwood Document Solutions) was billed at</w:t>
      </w:r>
      <w:r>
        <w:t xml:space="preserve"> </w:t>
      </w:r>
      <w:r>
        <w:rPr>
          <w:b/>
          <w:bCs/>
        </w:rPr>
        <w:t xml:space="preserve">$210/hr</w:t>
      </w:r>
      <w:r>
        <w:t xml:space="preserve"> </w:t>
      </w:r>
      <w:r>
        <w:t xml:space="preserve">for 154.5 hours ($32,445.00). This rate exceeds</w:t>
      </w:r>
      <w:r>
        <w:t xml:space="preserve"> </w:t>
      </w:r>
      <w:r>
        <w:rPr>
          <w:b/>
          <w:bCs/>
        </w:rPr>
        <w:t xml:space="preserve">both</w:t>
      </w:r>
      <w:r>
        <w:t xml:space="preserve"> </w:t>
      </w:r>
      <w:r>
        <w:t xml:space="preserve">(a) the</w:t>
      </w:r>
      <w:r>
        <w:t xml:space="preserve"> </w:t>
      </w:r>
      <w:r>
        <w:rPr>
          <w:b/>
          <w:bCs/>
        </w:rPr>
        <w:t xml:space="preserve">$200/hr cap</w:t>
      </w:r>
      <w:r>
        <w:t xml:space="preserve"> </w:t>
      </w:r>
      <w:r>
        <w:t xml:space="preserve">for contract attorneys in Billing Guidelines § 5.1, and (b) the</w:t>
      </w:r>
      <w:r>
        <w:t xml:space="preserve"> </w:t>
      </w:r>
      <w:r>
        <w:rPr>
          <w:b/>
          <w:bCs/>
        </w:rPr>
        <w:t xml:space="preserve">$185/hr pass-through rate</w:t>
      </w:r>
      <w:r>
        <w:t xml:space="preserve"> </w:t>
      </w:r>
      <w:r>
        <w:t xml:space="preserve">expressly approved in the Staffing Plan (§§ 2.5 and 6), which states the rate is</w:t>
      </w:r>
      <w:r>
        <w:t xml:space="preserve"> </w:t>
      </w:r>
      <w:r>
        <w:t xml:space="preserve">“</w:t>
      </w:r>
      <w:r>
        <w:t xml:space="preserve">pass-through at vendor rates with no firm markup.</w:t>
      </w:r>
      <w:r>
        <w:t xml:space="preserve">”</w:t>
      </w:r>
      <w:r>
        <w:t xml:space="preserve"> </w:t>
      </w:r>
      <w:r>
        <w:t xml:space="preserve">Section 5.1 provides that rates in excess of the caps</w:t>
      </w:r>
      <w:r>
        <w:t xml:space="preserve"> </w:t>
      </w:r>
      <w:r>
        <w:t xml:space="preserve">“</w:t>
      </w:r>
      <w:r>
        <w:t xml:space="preserve">will be automatically reduced to the applicable cap,</w:t>
      </w:r>
      <w:r>
        <w:t xml:space="preserve">”</w:t>
      </w:r>
      <w:r>
        <w:t xml:space="preserve"> </w:t>
      </w:r>
      <w:r>
        <w:t xml:space="preserve">and § 4.4 requires contract-attorney rates to be passed through at actual cost with no markup. The approved $185 rate governs as the agreed matter rate.</w:t>
      </w:r>
      <w:r>
        <w:t xml:space="preserve"> </w:t>
      </w:r>
      <w:r>
        <w:rPr>
          <w:b/>
          <w:bCs/>
        </w:rPr>
        <w:t xml:space="preserve">Reduction: ($210 − $185) × 154.5 hrs = $3,862.50.</w:t>
      </w:r>
      <w:r>
        <w:t xml:space="preserve"> </w:t>
      </w:r>
      <w:r>
        <w:t xml:space="preserve">(Even reduction only to the $200 cap would yield $1,545.00; the approved $185 rate controls.) The Firm should also be required to substantiate that $210 reflects the vendor’s actual rate with no markup, as the Staffing Plan represents.</w:t>
      </w:r>
    </w:p>
    <w:bookmarkEnd w:id="25"/>
    <w:bookmarkStart w:id="26" w:name="c.-block-billing-5.4"/>
    <w:p>
      <w:pPr>
        <w:pStyle w:val="Heading3"/>
      </w:pPr>
      <w:r>
        <w:t xml:space="preserve">C. Block Billing — § 5.4</w:t>
      </w:r>
    </w:p>
    <w:p>
      <w:pPr>
        <w:pStyle w:val="FirstParagraph"/>
      </w:pPr>
      <w:r>
        <w:t xml:space="preserve">Section 5.4 prohibits combining two or more discrete tasks into a single line item and mandates an</w:t>
      </w:r>
      <w:r>
        <w:t xml:space="preserve"> </w:t>
      </w:r>
      <w:r>
        <w:rPr>
          <w:b/>
          <w:bCs/>
        </w:rPr>
        <w:t xml:space="preserve">automatic 25% reduction</w:t>
      </w:r>
      <w:r>
        <w:t xml:space="preserve"> </w:t>
      </w:r>
      <w:r>
        <w:t xml:space="preserve">to the fees of each block-billed entry. The invoice contains pervasive block billing. Fifty-two (52) entries by approved timekeepers combine multiple discrete tasks without separately allocating time. Representative examples:</w:t>
      </w:r>
    </w:p>
    <w:p>
      <w:pPr>
        <w:pStyle w:val="Compact"/>
        <w:numPr>
          <w:ilvl w:val="0"/>
          <w:numId w:val="1002"/>
        </w:numPr>
      </w:pPr>
      <w:r>
        <w:rPr>
          <w:b/>
          <w:bCs/>
        </w:rPr>
        <w:t xml:space="preserve">Entry 2</w:t>
      </w:r>
      <w:r>
        <w:t xml:space="preserve"> </w:t>
      </w:r>
      <w:r>
        <w:t xml:space="preserve">(Pettersson):</w:t>
      </w:r>
      <w:r>
        <w:t xml:space="preserve"> </w:t>
      </w:r>
      <w:r>
        <w:t xml:space="preserve">“</w:t>
      </w:r>
      <w:r>
        <w:t xml:space="preserve">Draft responses to MedCore’s Second Set of Interrogatories (Nos. 12–18);</w:t>
      </w:r>
      <w:r>
        <w:t xml:space="preserve"> </w:t>
      </w:r>
      <w:r>
        <w:rPr>
          <w:b/>
          <w:bCs/>
        </w:rPr>
        <w:t xml:space="preserve">research</w:t>
      </w:r>
      <w:r>
        <w:t xml:space="preserve"> </w:t>
      </w:r>
      <w:r>
        <w:t xml:space="preserve">Georgia Trade Secrets Act preemption…</w:t>
      </w:r>
      <w:r>
        <w:t xml:space="preserve">”</w:t>
      </w:r>
      <w:r>
        <w:t xml:space="preserve"> </w:t>
      </w:r>
      <w:r>
        <w:t xml:space="preserve">— drafting + research.</w:t>
      </w:r>
    </w:p>
    <w:p>
      <w:pPr>
        <w:pStyle w:val="Compact"/>
        <w:numPr>
          <w:ilvl w:val="0"/>
          <w:numId w:val="1002"/>
        </w:numPr>
      </w:pPr>
      <w:r>
        <w:rPr>
          <w:b/>
          <w:bCs/>
        </w:rPr>
        <w:t xml:space="preserve">Entry 20</w:t>
      </w:r>
      <w:r>
        <w:t xml:space="preserve"> </w:t>
      </w:r>
      <w:r>
        <w:t xml:space="preserve">(Cho):</w:t>
      </w:r>
      <w:r>
        <w:t xml:space="preserve"> </w:t>
      </w:r>
      <w:r>
        <w:t xml:space="preserve">“</w:t>
      </w:r>
      <w:r>
        <w:t xml:space="preserve">Review and revise draft motion to compel;</w:t>
      </w:r>
      <w:r>
        <w:t xml:space="preserve"> </w:t>
      </w:r>
      <w:r>
        <w:rPr>
          <w:b/>
          <w:bCs/>
        </w:rPr>
        <w:t xml:space="preserve">analyze</w:t>
      </w:r>
      <w:r>
        <w:t xml:space="preserve"> </w:t>
      </w:r>
      <w:r>
        <w:t xml:space="preserve">MedCore privilege log…;</w:t>
      </w:r>
      <w:r>
        <w:t xml:space="preserve"> </w:t>
      </w:r>
      <w:r>
        <w:rPr>
          <w:b/>
          <w:bCs/>
        </w:rPr>
        <w:t xml:space="preserve">confer</w:t>
      </w:r>
      <w:r>
        <w:t xml:space="preserve"> </w:t>
      </w:r>
      <w:r>
        <w:t xml:space="preserve">with D. Hargrove regarding motion strategy.</w:t>
      </w:r>
      <w:r>
        <w:t xml:space="preserve">”</w:t>
      </w:r>
      <w:r>
        <w:t xml:space="preserve"> </w:t>
      </w:r>
      <w:r>
        <w:t xml:space="preserve">— three tasks.</w:t>
      </w:r>
    </w:p>
    <w:p>
      <w:pPr>
        <w:pStyle w:val="Compact"/>
        <w:numPr>
          <w:ilvl w:val="0"/>
          <w:numId w:val="1002"/>
        </w:numPr>
      </w:pPr>
      <w:r>
        <w:rPr>
          <w:b/>
          <w:bCs/>
        </w:rPr>
        <w:t xml:space="preserve">Entry 61</w:t>
      </w:r>
      <w:r>
        <w:t xml:space="preserve"> </w:t>
      </w:r>
      <w:r>
        <w:t xml:space="preserve">(Cho):</w:t>
      </w:r>
      <w:r>
        <w:t xml:space="preserve"> </w:t>
      </w:r>
      <w:r>
        <w:t xml:space="preserve">“</w:t>
      </w:r>
      <w:r>
        <w:t xml:space="preserve">Prepare for and</w:t>
      </w:r>
      <w:r>
        <w:t xml:space="preserve"> </w:t>
      </w:r>
      <w:r>
        <w:rPr>
          <w:b/>
          <w:bCs/>
        </w:rPr>
        <w:t xml:space="preserve">attend</w:t>
      </w:r>
      <w:r>
        <w:t xml:space="preserve"> </w:t>
      </w:r>
      <w:r>
        <w:t xml:space="preserve">deposition of Dr. Rebecca Liu…;</w:t>
      </w:r>
      <w:r>
        <w:t xml:space="preserve"> </w:t>
      </w:r>
      <w:r>
        <w:rPr>
          <w:b/>
          <w:bCs/>
        </w:rPr>
        <w:t xml:space="preserve">post-deposition analysis</w:t>
      </w:r>
      <w:r>
        <w:t xml:space="preserve"> </w:t>
      </w:r>
      <w:r>
        <w:t xml:space="preserve">and team debrief.</w:t>
      </w:r>
      <w:r>
        <w:t xml:space="preserve">”</w:t>
      </w:r>
      <w:r>
        <w:t xml:space="preserve"> </w:t>
      </w:r>
      <w:r>
        <w:t xml:space="preserve">— three tasks.</w:t>
      </w:r>
    </w:p>
    <w:p>
      <w:pPr>
        <w:pStyle w:val="Compact"/>
        <w:numPr>
          <w:ilvl w:val="0"/>
          <w:numId w:val="1002"/>
        </w:numPr>
      </w:pPr>
      <w:r>
        <w:rPr>
          <w:b/>
          <w:bCs/>
        </w:rPr>
        <w:t xml:space="preserve">Entry 92</w:t>
      </w:r>
      <w:r>
        <w:t xml:space="preserve"> </w:t>
      </w:r>
      <w:r>
        <w:t xml:space="preserve">(Hargrove):</w:t>
      </w:r>
      <w:r>
        <w:t xml:space="preserve"> </w:t>
      </w:r>
      <w:r>
        <w:t xml:space="preserve">“</w:t>
      </w:r>
      <w:r>
        <w:t xml:space="preserve">Prepare for and</w:t>
      </w:r>
      <w:r>
        <w:t xml:space="preserve"> </w:t>
      </w:r>
      <w:r>
        <w:rPr>
          <w:b/>
          <w:bCs/>
        </w:rPr>
        <w:t xml:space="preserve">conduct strategy session</w:t>
      </w:r>
      <w:r>
        <w:t xml:space="preserve">…;</w:t>
      </w:r>
      <w:r>
        <w:t xml:space="preserve"> </w:t>
      </w:r>
      <w:r>
        <w:rPr>
          <w:b/>
          <w:bCs/>
        </w:rPr>
        <w:t xml:space="preserve">draft outline</w:t>
      </w:r>
      <w:r>
        <w:t xml:space="preserve"> </w:t>
      </w:r>
      <w:r>
        <w:t xml:space="preserve">for expert discovery plan.</w:t>
      </w:r>
      <w:r>
        <w:t xml:space="preserve"> </w:t>
      </w:r>
      <w:r>
        <w:rPr>
          <w:b/>
          <w:bCs/>
        </w:rPr>
        <w:t xml:space="preserve">Review and edit</w:t>
      </w:r>
      <w:r>
        <w:t xml:space="preserve"> </w:t>
      </w:r>
      <w:r>
        <w:t xml:space="preserve">interrogatory responses…</w:t>
      </w:r>
      <w:r>
        <w:t xml:space="preserve">”</w:t>
      </w:r>
      <w:r>
        <w:t xml:space="preserve"> </w:t>
      </w:r>
      <w:r>
        <w:t xml:space="preserve">— three tasks.</w:t>
      </w:r>
    </w:p>
    <w:p>
      <w:pPr>
        <w:pStyle w:val="Compact"/>
        <w:numPr>
          <w:ilvl w:val="0"/>
          <w:numId w:val="1002"/>
        </w:numPr>
      </w:pPr>
      <w:r>
        <w:rPr>
          <w:b/>
          <w:bCs/>
        </w:rPr>
        <w:t xml:space="preserve">Entry 9</w:t>
      </w:r>
      <w:r>
        <w:t xml:space="preserve"> </w:t>
      </w:r>
      <w:r>
        <w:t xml:space="preserve">(Hargrove):</w:t>
      </w:r>
      <w:r>
        <w:t xml:space="preserve"> </w:t>
      </w:r>
      <w:r>
        <w:t xml:space="preserve">“</w:t>
      </w:r>
      <w:r>
        <w:t xml:space="preserve">Review and analyze documents…;</w:t>
      </w:r>
      <w:r>
        <w:t xml:space="preserve"> </w:t>
      </w:r>
      <w:r>
        <w:rPr>
          <w:b/>
          <w:bCs/>
        </w:rPr>
        <w:t xml:space="preserve">prepare detailed memorandum</w:t>
      </w:r>
      <w:r>
        <w:t xml:space="preserve">…</w:t>
      </w:r>
      <w:r>
        <w:t xml:space="preserve">”</w:t>
      </w:r>
      <w:r>
        <w:t xml:space="preserve"> </w:t>
      </w:r>
      <w:r>
        <w:t xml:space="preserve">— review + memorandum.</w:t>
      </w:r>
    </w:p>
    <w:p>
      <w:pPr>
        <w:pStyle w:val="Compact"/>
        <w:numPr>
          <w:ilvl w:val="0"/>
          <w:numId w:val="1002"/>
        </w:numPr>
      </w:pPr>
      <w:r>
        <w:t xml:space="preserve">Numerous</w:t>
      </w:r>
      <w:r>
        <w:t xml:space="preserve"> </w:t>
      </w:r>
      <w:r>
        <w:t xml:space="preserve">“</w:t>
      </w:r>
      <w:r>
        <w:t xml:space="preserve">research …; prepare/draft research memorandum</w:t>
      </w:r>
      <w:r>
        <w:t xml:space="preserve">”</w:t>
      </w:r>
      <w:r>
        <w:t xml:space="preserve"> </w:t>
      </w:r>
      <w:r>
        <w:t xml:space="preserve">entries (e.g., Webb entries 8, 17, 41, 58, 86, 96, 103, 117), which combine researching with drafting the memorandum — two discrete tasks under the § 5.4 examples.</w:t>
      </w:r>
    </w:p>
    <w:p>
      <w:pPr>
        <w:pStyle w:val="FirstParagraph"/>
      </w:pPr>
      <w:r>
        <w:t xml:space="preserve">Applying the automatic 25% reduction to each block-billed entry (and, for Entry 9, to the post-task-releveling amount, see Section V.D) yields a</w:t>
      </w:r>
      <w:r>
        <w:t xml:space="preserve"> </w:t>
      </w:r>
      <w:r>
        <w:rPr>
          <w:b/>
          <w:bCs/>
        </w:rPr>
        <w:t xml:space="preserve">block-billing reduction of $29,402.64.</w:t>
      </w:r>
      <w:r>
        <w:t xml:space="preserve"> </w:t>
      </w:r>
      <w:r>
        <w:t xml:space="preserve">Pursuant to § 5.4, this reduction is</w:t>
      </w:r>
      <w:r>
        <w:t xml:space="preserve"> </w:t>
      </w:r>
      <w:r>
        <w:rPr>
          <w:b/>
          <w:bCs/>
        </w:rPr>
        <w:t xml:space="preserve">curable</w:t>
      </w:r>
      <w:r>
        <w:t xml:space="preserve">: the Firm may avoid it by resubmitting each block-billed entry as separate line items with individually allocated time within</w:t>
      </w:r>
      <w:r>
        <w:t xml:space="preserve"> </w:t>
      </w:r>
      <w:r>
        <w:rPr>
          <w:b/>
          <w:bCs/>
        </w:rPr>
        <w:t xml:space="preserve">15 days</w:t>
      </w:r>
      <w:r>
        <w:t xml:space="preserve"> </w:t>
      </w:r>
      <w:r>
        <w:t xml:space="preserve">of notice. The reduction is therefore recommended as a holdback pending such resubmission; if the Firm cures the block billing, the payable would be recalculated upward accordingly (subject to all other reductions, which are not curable by resubmission).</w:t>
      </w:r>
    </w:p>
    <w:bookmarkEnd w:id="26"/>
    <w:bookmarkStart w:id="27" w:name="Xa52fe8a05a227e0bed6e6698d3fbae8683453b0"/>
    <w:p>
      <w:pPr>
        <w:pStyle w:val="Heading3"/>
      </w:pPr>
      <w:r>
        <w:t xml:space="preserve">D. Timekeeper-to-Task Appropriateness — § 6.1</w:t>
      </w:r>
    </w:p>
    <w:p>
      <w:pPr>
        <w:pStyle w:val="FirstParagraph"/>
      </w:pPr>
      <w:r>
        <w:t xml:space="preserve">Section 6.1 requires each task to be staffed to the lowest-cost timekeeper capable of performing it and specifies rate reductions where senior timekeepers perform routine work.</w:t>
      </w:r>
    </w:p>
    <w:p>
      <w:pPr>
        <w:numPr>
          <w:ilvl w:val="0"/>
          <w:numId w:val="1003"/>
        </w:numPr>
      </w:pPr>
      <w:r>
        <w:rPr>
          <w:b/>
          <w:bCs/>
        </w:rPr>
        <w:t xml:space="preserve">Entry 9 — Partner document review (D. Hargrove, $985).</w:t>
      </w:r>
      <w:r>
        <w:t xml:space="preserve"> </w:t>
      </w:r>
      <w:r>
        <w:t xml:space="preserve">“</w:t>
      </w:r>
      <w:r>
        <w:t xml:space="preserve">Review and analyze documents produced by MedCore…; prepare detailed memorandum summarizing key findings for client.</w:t>
      </w:r>
      <w:r>
        <w:t xml:space="preserve">”</w:t>
      </w:r>
      <w:r>
        <w:t xml:space="preserve"> </w:t>
      </w:r>
      <w:r>
        <w:t xml:space="preserve">Document review by a partner is presumptively inappropriate under § 6.1(a). Because the review was strategic (calibrating the review protocol and producing a client memorandum, per the Case Status Report) and involved legal judgment, the entry is re-leveled to the</w:t>
      </w:r>
      <w:r>
        <w:t xml:space="preserve"> </w:t>
      </w:r>
      <w:r>
        <w:rPr>
          <w:b/>
          <w:bCs/>
        </w:rPr>
        <w:t xml:space="preserve">junior associate rate of $375</w:t>
      </w:r>
      <w:r>
        <w:t xml:space="preserve">. Reduction: ($985 − $375) × 4.5 hrs =</w:t>
      </w:r>
      <w:r>
        <w:t xml:space="preserve"> </w:t>
      </w:r>
      <w:r>
        <w:rPr>
          <w:b/>
          <w:bCs/>
        </w:rPr>
        <w:t xml:space="preserve">$2,745.00</w:t>
      </w:r>
      <w:r>
        <w:t xml:space="preserve"> </w:t>
      </w:r>
      <w:r>
        <w:t xml:space="preserve">(the entry is also block-billed, so the 25% block reduction is then applied to the re-leveled amount, an additional $421.88, counted within the Section V.C block total).</w:t>
      </w:r>
    </w:p>
    <w:p>
      <w:pPr>
        <w:numPr>
          <w:ilvl w:val="0"/>
          <w:numId w:val="1003"/>
        </w:numPr>
      </w:pPr>
      <w:r>
        <w:rPr>
          <w:b/>
          <w:bCs/>
        </w:rPr>
        <w:t xml:space="preserve">Entry 43 — Partner cite-checking (D. Hargrove, $985).</w:t>
      </w:r>
      <w:r>
        <w:t xml:space="preserve"> </w:t>
      </w:r>
      <w:r>
        <w:t xml:space="preserve">“</w:t>
      </w:r>
      <w:r>
        <w:t xml:space="preserve">Review and revise cite-check memorandum prepared by T. Webb; finalize citations for motion to compel brief.</w:t>
      </w:r>
      <w:r>
        <w:t xml:space="preserve">”</w:t>
      </w:r>
      <w:r>
        <w:t xml:space="preserve"> </w:t>
      </w:r>
      <w:r>
        <w:t xml:space="preserve">Cite-checking by a partner is presumptively inappropriate under § 6.1(b); the appropriate rate is the</w:t>
      </w:r>
      <w:r>
        <w:t xml:space="preserve"> </w:t>
      </w:r>
      <w:r>
        <w:rPr>
          <w:b/>
          <w:bCs/>
        </w:rPr>
        <w:t xml:space="preserve">junior associate rate of $375</w:t>
      </w:r>
      <w:r>
        <w:t xml:space="preserve">. Reduction: ($985 − $375) × 2.0 hrs =</w:t>
      </w:r>
      <w:r>
        <w:t xml:space="preserve"> </w:t>
      </w:r>
      <w:r>
        <w:rPr>
          <w:b/>
          <w:bCs/>
        </w:rPr>
        <w:t xml:space="preserve">$1,220.00.</w:t>
      </w:r>
    </w:p>
    <w:p>
      <w:pPr>
        <w:numPr>
          <w:ilvl w:val="0"/>
          <w:numId w:val="1003"/>
        </w:numPr>
      </w:pPr>
      <w:r>
        <w:rPr>
          <w:b/>
          <w:bCs/>
        </w:rPr>
        <w:t xml:space="preserve">Entry 79 — Junior associate routine first-level document review (T. Webb, $375).</w:t>
      </w:r>
      <w:r>
        <w:t xml:space="preserve"> </w:t>
      </w:r>
      <w:r>
        <w:t xml:space="preserve">“</w:t>
      </w:r>
      <w:r>
        <w:t xml:space="preserve">Review third batch of MedCore production documents for relevance and privilege.</w:t>
      </w:r>
      <w:r>
        <w:t xml:space="preserve">”</w:t>
      </w:r>
      <w:r>
        <w:t xml:space="preserve"> </w:t>
      </w:r>
      <w:r>
        <w:t xml:space="preserve">Under § 6.1, routine first-level document review by a junior associate is reduced to the</w:t>
      </w:r>
      <w:r>
        <w:t xml:space="preserve"> </w:t>
      </w:r>
      <w:r>
        <w:rPr>
          <w:b/>
          <w:bCs/>
        </w:rPr>
        <w:t xml:space="preserve">contract attorney rate of $200</w:t>
      </w:r>
      <w:r>
        <w:t xml:space="preserve">. Reduction: ($375 − $200) × 3.5 hrs =</w:t>
      </w:r>
      <w:r>
        <w:t xml:space="preserve"> </w:t>
      </w:r>
      <w:r>
        <w:rPr>
          <w:b/>
          <w:bCs/>
        </w:rPr>
        <w:t xml:space="preserve">$612.50.</w:t>
      </w:r>
    </w:p>
    <w:p>
      <w:pPr>
        <w:pStyle w:val="FirstParagraph"/>
      </w:pPr>
      <w:r>
        <w:rPr>
          <w:b/>
          <w:bCs/>
        </w:rPr>
        <w:t xml:space="preserve">Subtotal — task appropriateness: $4,577.50</w:t>
      </w:r>
      <w:r>
        <w:t xml:space="preserve"> </w:t>
      </w:r>
      <w:r>
        <w:t xml:space="preserve">(comprising $2,745.00 + $1,220.00 + $612.50; the $421.88 block component of Entry 9 is reported within the block-billing total in Section V.C).</w:t>
      </w:r>
    </w:p>
    <w:bookmarkEnd w:id="27"/>
    <w:bookmarkStart w:id="28" w:name="X5b8154d7bab6fc2938b454d8592c0c2d9bfb472"/>
    <w:p>
      <w:pPr>
        <w:pStyle w:val="Heading3"/>
      </w:pPr>
      <w:r>
        <w:t xml:space="preserve">E. Administrative / Non-Billable Tasks — § 6.1(g)–(k); § 8.2</w:t>
      </w:r>
    </w:p>
    <w:p>
      <w:pPr>
        <w:pStyle w:val="FirstParagraph"/>
      </w:pPr>
      <w:r>
        <w:t xml:space="preserve">Section 6.1(g)–(k) identifies scheduling, coordination with court reporters/vendors, and similar logistics as non-billable administrative overhead, and § 8.2 treats billing preparation as overhead.</w:t>
      </w:r>
    </w:p>
    <w:p>
      <w:pPr>
        <w:numPr>
          <w:ilvl w:val="0"/>
          <w:numId w:val="1004"/>
        </w:numPr>
      </w:pPr>
      <w:r>
        <w:rPr>
          <w:b/>
          <w:bCs/>
        </w:rPr>
        <w:t xml:space="preserve">Entry 15 — Deposition scheduling/coordination (J. Pettersson, $475).</w:t>
      </w:r>
      <w:r>
        <w:t xml:space="preserve"> </w:t>
      </w:r>
      <w:r>
        <w:t xml:space="preserve">“</w:t>
      </w:r>
      <w:r>
        <w:t xml:space="preserve">Schedule depositions of three remaining witnesses; coordinate court reporter availability; confirm deposition locations.</w:t>
      </w:r>
      <w:r>
        <w:t xml:space="preserve">”</w:t>
      </w:r>
      <w:r>
        <w:t xml:space="preserve"> </w:t>
      </w:r>
      <w:r>
        <w:t xml:space="preserve">This is entirely administrative (§ 6.1(g), (h)).</w:t>
      </w:r>
      <w:r>
        <w:t xml:space="preserve"> </w:t>
      </w:r>
      <w:r>
        <w:rPr>
          <w:b/>
          <w:bCs/>
        </w:rPr>
        <w:t xml:space="preserve">Write off: $712.50.</w:t>
      </w:r>
    </w:p>
    <w:p>
      <w:pPr>
        <w:numPr>
          <w:ilvl w:val="0"/>
          <w:numId w:val="1004"/>
        </w:numPr>
      </w:pPr>
      <w:r>
        <w:rPr>
          <w:b/>
          <w:bCs/>
        </w:rPr>
        <w:t xml:space="preserve">Entry 111 — Billing/invoice preparation (D. Hargrove, $985).</w:t>
      </w:r>
      <w:r>
        <w:t xml:space="preserve"> </w:t>
      </w:r>
      <w:r>
        <w:t xml:space="preserve">“</w:t>
      </w:r>
      <w:r>
        <w:t xml:space="preserve">Review monthly billing summary and case status report; prepare cover memorandum for May 2025 invoice.</w:t>
      </w:r>
      <w:r>
        <w:t xml:space="preserve">”</w:t>
      </w:r>
      <w:r>
        <w:t xml:space="preserve"> </w:t>
      </w:r>
      <w:r>
        <w:t xml:space="preserve">Invoice and billing-summary preparation is firm overhead, not billable client work.</w:t>
      </w:r>
      <w:r>
        <w:t xml:space="preserve"> </w:t>
      </w:r>
      <w:r>
        <w:rPr>
          <w:b/>
          <w:bCs/>
        </w:rPr>
        <w:t xml:space="preserve">Write off: $1,477.50.</w:t>
      </w:r>
    </w:p>
    <w:p>
      <w:pPr>
        <w:pStyle w:val="FirstParagraph"/>
      </w:pPr>
      <w:r>
        <w:rPr>
          <w:b/>
          <w:bCs/>
        </w:rPr>
        <w:t xml:space="preserve">Subtotal — administrative: $2,190.00.</w:t>
      </w:r>
    </w:p>
    <w:p>
      <w:pPr>
        <w:pStyle w:val="BodyText"/>
      </w:pPr>
      <w:r>
        <w:rPr>
          <w:i/>
          <w:iCs/>
        </w:rPr>
        <w:t xml:space="preserve">Additional administrative components embedded in block-billed entries</w:t>
      </w:r>
      <w:r>
        <w:t xml:space="preserve"> </w:t>
      </w:r>
      <w:r>
        <w:t xml:space="preserve">(e.g.,</w:t>
      </w:r>
      <w:r>
        <w:t xml:space="preserve"> </w:t>
      </w:r>
      <w:r>
        <w:t xml:space="preserve">“</w:t>
      </w:r>
      <w:r>
        <w:t xml:space="preserve">coordinate filing deadlines</w:t>
      </w:r>
      <w:r>
        <w:t xml:space="preserve">”</w:t>
      </w:r>
      <w:r>
        <w:t xml:space="preserve"> </w:t>
      </w:r>
      <w:r>
        <w:t xml:space="preserve">(Entry 12);</w:t>
      </w:r>
      <w:r>
        <w:t xml:space="preserve"> </w:t>
      </w:r>
      <w:r>
        <w:t xml:space="preserve">“</w:t>
      </w:r>
      <w:r>
        <w:t xml:space="preserve">coordinate with court clerk regarding filing requirements</w:t>
      </w:r>
      <w:r>
        <w:t xml:space="preserve">”</w:t>
      </w:r>
      <w:r>
        <w:t xml:space="preserve"> </w:t>
      </w:r>
      <w:r>
        <w:t xml:space="preserve">(Entries 34, 77);</w:t>
      </w:r>
      <w:r>
        <w:t xml:space="preserve"> </w:t>
      </w:r>
      <w:r>
        <w:t xml:space="preserve">“</w:t>
      </w:r>
      <w:r>
        <w:t xml:space="preserve">coordinate logistics</w:t>
      </w:r>
      <w:r>
        <w:t xml:space="preserve">”</w:t>
      </w:r>
      <w:r>
        <w:t xml:space="preserve"> </w:t>
      </w:r>
      <w:r>
        <w:t xml:space="preserve">(Entries 51, 94);</w:t>
      </w:r>
      <w:r>
        <w:t xml:space="preserve"> </w:t>
      </w:r>
      <w:r>
        <w:t xml:space="preserve">“</w:t>
      </w:r>
      <w:r>
        <w:t xml:space="preserve">supervise filing and service</w:t>
      </w:r>
      <w:r>
        <w:t xml:space="preserve">”</w:t>
      </w:r>
      <w:r>
        <w:t xml:space="preserve"> </w:t>
      </w:r>
      <w:r>
        <w:t xml:space="preserve">(Entries 35, 78);</w:t>
      </w:r>
      <w:r>
        <w:t xml:space="preserve"> </w:t>
      </w:r>
      <w:r>
        <w:t xml:space="preserve">“</w:t>
      </w:r>
      <w:r>
        <w:t xml:space="preserve">coordinate scheduling</w:t>
      </w:r>
      <w:r>
        <w:t xml:space="preserve">”</w:t>
      </w:r>
      <w:r>
        <w:t xml:space="preserve"> </w:t>
      </w:r>
      <w:r>
        <w:t xml:space="preserve">(Entry 113);</w:t>
      </w:r>
      <w:r>
        <w:t xml:space="preserve"> </w:t>
      </w:r>
      <w:r>
        <w:t xml:space="preserve">“</w:t>
      </w:r>
      <w:r>
        <w:t xml:space="preserve">review and compile billing summaries</w:t>
      </w:r>
      <w:r>
        <w:t xml:space="preserve">”</w:t>
      </w:r>
      <w:r>
        <w:t xml:space="preserve"> </w:t>
      </w:r>
      <w:r>
        <w:t xml:space="preserve">(Entry 114)) are addressed through the 25% block-billing reduction in Section V.C and should be separately itemized as non-billable if the Firm resubmits those entries.</w:t>
      </w:r>
    </w:p>
    <w:bookmarkEnd w:id="28"/>
    <w:bookmarkStart w:id="29" w:name="f.-excess-internal-meeting-staffing-4.3"/>
    <w:p>
      <w:pPr>
        <w:pStyle w:val="Heading3"/>
      </w:pPr>
      <w:r>
        <w:t xml:space="preserve">F. Excess Internal-Meeting Staffing — § 4.3</w:t>
      </w:r>
    </w:p>
    <w:p>
      <w:pPr>
        <w:pStyle w:val="FirstParagraph"/>
      </w:pPr>
      <w:r>
        <w:t xml:space="preserve">Section 4.3 caps billing timekeepers for any single internal meeting or conference call at</w:t>
      </w:r>
      <w:r>
        <w:t xml:space="preserve"> </w:t>
      </w:r>
      <w:r>
        <w:rPr>
          <w:b/>
          <w:bCs/>
        </w:rPr>
        <w:t xml:space="preserve">three (3)</w:t>
      </w:r>
      <w:r>
        <w:t xml:space="preserve">, even for Substantive Case-Strategy Sessions, and requires advance designation when more than three are expected. The</w:t>
      </w:r>
      <w:r>
        <w:t xml:space="preserve"> </w:t>
      </w:r>
      <w:r>
        <w:rPr>
          <w:b/>
          <w:bCs/>
        </w:rPr>
        <w:t xml:space="preserve">May 8, 2025 team strategy call</w:t>
      </w:r>
      <w:r>
        <w:t xml:space="preserve"> </w:t>
      </w:r>
      <w:r>
        <w:t xml:space="preserve">was billed by</w:t>
      </w:r>
      <w:r>
        <w:t xml:space="preserve"> </w:t>
      </w:r>
      <w:r>
        <w:rPr>
          <w:b/>
          <w:bCs/>
        </w:rPr>
        <w:t xml:space="preserve">five</w:t>
      </w:r>
      <w:r>
        <w:t xml:space="preserve"> </w:t>
      </w:r>
      <w:r>
        <w:t xml:space="preserve">timekeepers: Hargrove (Entry 22), Cho (Entry 23), Pettersson (Entry 24), Barros (Entry 25), and Webb (Entry 26). No advance designation was made. The two most junior attendees should be disallowed:</w:t>
      </w:r>
      <w:r>
        <w:t xml:space="preserve"> </w:t>
      </w:r>
      <w:r>
        <w:rPr>
          <w:b/>
          <w:bCs/>
        </w:rPr>
        <w:t xml:space="preserve">Webb (Entry 26, $937.50)</w:t>
      </w:r>
      <w:r>
        <w:t xml:space="preserve"> </w:t>
      </w:r>
      <w:r>
        <w:t xml:space="preserve">and</w:t>
      </w:r>
      <w:r>
        <w:t xml:space="preserve"> </w:t>
      </w:r>
      <w:r>
        <w:rPr>
          <w:b/>
          <w:bCs/>
        </w:rPr>
        <w:t xml:space="preserve">Barros (Entry 25)</w:t>
      </w:r>
      <w:r>
        <w:t xml:space="preserve">. Barros’s time is already rejected in full as an unapproved timekeeper (Section V.A), so the net additional reduction is</w:t>
      </w:r>
      <w:r>
        <w:t xml:space="preserve"> </w:t>
      </w:r>
      <w:r>
        <w:rPr>
          <w:b/>
          <w:bCs/>
        </w:rPr>
        <w:t xml:space="preserve">Webb’s $937.50.</w:t>
      </w:r>
      <w:r>
        <w:t xml:space="preserve"> </w:t>
      </w:r>
      <w:r>
        <w:t xml:space="preserve">The three most senior approved timekeepers (Hargrove, Cho, Pettersson) remain payable for the call.</w:t>
      </w:r>
    </w:p>
    <w:bookmarkEnd w:id="29"/>
    <w:bookmarkStart w:id="30" w:name="g.-excess-deposition-staffing-4.3"/>
    <w:p>
      <w:pPr>
        <w:pStyle w:val="Heading3"/>
      </w:pPr>
      <w:r>
        <w:t xml:space="preserve">G. Excess Deposition Staffing — § 4.3</w:t>
      </w:r>
    </w:p>
    <w:p>
      <w:pPr>
        <w:pStyle w:val="FirstParagraph"/>
      </w:pPr>
      <w:r>
        <w:t xml:space="preserve">Section 4.3 permits more than one billing attorney at a deposition but requires</w:t>
      </w:r>
      <w:r>
        <w:t xml:space="preserve"> </w:t>
      </w:r>
      <w:r>
        <w:rPr>
          <w:b/>
          <w:bCs/>
        </w:rPr>
        <w:t xml:space="preserve">advance approval</w:t>
      </w:r>
      <w:r>
        <w:t xml:space="preserve"> </w:t>
      </w:r>
      <w:r>
        <w:t xml:space="preserve">(requested no later than five business days before the deposition) for</w:t>
      </w:r>
      <w:r>
        <w:t xml:space="preserve"> </w:t>
      </w:r>
      <w:r>
        <w:rPr>
          <w:b/>
          <w:bCs/>
        </w:rPr>
        <w:t xml:space="preserve">more than two (2)</w:t>
      </w:r>
      <w:r>
        <w:t xml:space="preserve"> </w:t>
      </w:r>
      <w:r>
        <w:t xml:space="preserve">billing timekeepers; absent such approval, Pinnacle may</w:t>
      </w:r>
      <w:r>
        <w:t xml:space="preserve"> </w:t>
      </w:r>
      <w:r>
        <w:t xml:space="preserve">“</w:t>
      </w:r>
      <w:r>
        <w:t xml:space="preserve">reduce the time of the additional timekeepers in their entirety.</w:t>
      </w:r>
      <w:r>
        <w:t xml:space="preserve">”</w:t>
      </w:r>
      <w:r>
        <w:t xml:space="preserve"> </w:t>
      </w:r>
      <w:r>
        <w:t xml:space="preserve">The</w:t>
      </w:r>
      <w:r>
        <w:t xml:space="preserve"> </w:t>
      </w:r>
      <w:r>
        <w:rPr>
          <w:b/>
          <w:bCs/>
        </w:rPr>
        <w:t xml:space="preserve">Dr. Rebecca Liu deposition on May 19, 2025</w:t>
      </w:r>
      <w:r>
        <w:t xml:space="preserve"> </w:t>
      </w:r>
      <w:r>
        <w:t xml:space="preserve">was attended by</w:t>
      </w:r>
      <w:r>
        <w:t xml:space="preserve"> </w:t>
      </w:r>
      <w:r>
        <w:rPr>
          <w:b/>
          <w:bCs/>
        </w:rPr>
        <w:t xml:space="preserve">three</w:t>
      </w:r>
      <w:r>
        <w:t xml:space="preserve"> </w:t>
      </w:r>
      <w:r>
        <w:t xml:space="preserve">billing timekeepers: Hargrove (Entry 60), Cho (Entry 61), and Pettersson (Entry 62). No advance approval for a third attorney was requested or given (the record contains none). Cho conducted the direct examination and Hargrove attended as lead partner/observer — the two primary timekeepers. Pettersson attended to</w:t>
      </w:r>
      <w:r>
        <w:t xml:space="preserve"> </w:t>
      </w:r>
      <w:r>
        <w:t xml:space="preserve">“</w:t>
      </w:r>
      <w:r>
        <w:t xml:space="preserve">manage the exhibit presentation, take detailed notes, and prepare a comprehensive testimony summary</w:t>
      </w:r>
      <w:r>
        <w:t xml:space="preserve">”</w:t>
      </w:r>
      <w:r>
        <w:t xml:space="preserve"> </w:t>
      </w:r>
      <w:r>
        <w:t xml:space="preserve">(Case Status Report), a support role that is the</w:t>
      </w:r>
      <w:r>
        <w:t xml:space="preserve"> </w:t>
      </w:r>
      <w:r>
        <w:t xml:space="preserve">“</w:t>
      </w:r>
      <w:r>
        <w:t xml:space="preserve">additional</w:t>
      </w:r>
      <w:r>
        <w:t xml:space="preserve">”</w:t>
      </w:r>
      <w:r>
        <w:t xml:space="preserve"> </w:t>
      </w:r>
      <w:r>
        <w:t xml:space="preserve">third timekeeper.</w:t>
      </w:r>
      <w:r>
        <w:t xml:space="preserve"> </w:t>
      </w:r>
      <w:r>
        <w:rPr>
          <w:b/>
          <w:bCs/>
        </w:rPr>
        <w:t xml:space="preserve">Reduction: Entry 62 in its entirety = $2,375.00.</w:t>
      </w:r>
    </w:p>
    <w:bookmarkEnd w:id="30"/>
    <w:bookmarkStart w:id="31" w:name="h.-monthly-budget-overage-7.3"/>
    <w:p>
      <w:pPr>
        <w:pStyle w:val="Heading3"/>
      </w:pPr>
      <w:r>
        <w:t xml:space="preserve">H. Monthly Budget Overage — § 7.3</w:t>
      </w:r>
    </w:p>
    <w:p>
      <w:pPr>
        <w:pStyle w:val="FirstParagraph"/>
      </w:pPr>
      <w:r>
        <w:t xml:space="preserve">The Staffing Plan establishes an approved monthly attorney-fee range of</w:t>
      </w:r>
      <w:r>
        <w:t xml:space="preserve"> </w:t>
      </w:r>
      <w:r>
        <w:rPr>
          <w:b/>
          <w:bCs/>
        </w:rPr>
        <w:t xml:space="preserve">$95,000–$165,000</w:t>
      </w:r>
      <w:r>
        <w:t xml:space="preserve"> </w:t>
      </w:r>
      <w:r>
        <w:t xml:space="preserve">and, per § 7.3, a maximum payable without pre-approval of</w:t>
      </w:r>
      <w:r>
        <w:t xml:space="preserve"> </w:t>
      </w:r>
      <w:r>
        <w:rPr>
          <w:b/>
          <w:bCs/>
        </w:rPr>
        <w:t xml:space="preserve">115% of the high end = $189,750.00.</w:t>
      </w:r>
      <w:r>
        <w:t xml:space="preserve"> </w:t>
      </w:r>
      <w:r>
        <w:t xml:space="preserve">The invoice exceeds that ceiling under either measure of the fees: the</w:t>
      </w:r>
      <w:r>
        <w:t xml:space="preserve"> </w:t>
      </w:r>
      <w:r>
        <w:rPr>
          <w:b/>
          <w:bCs/>
        </w:rPr>
        <w:t xml:space="preserve">audited line-item total of $215,680.00</w:t>
      </w:r>
      <w:r>
        <w:t xml:space="preserve"> </w:t>
      </w:r>
      <w:r>
        <w:t xml:space="preserve">exceeds the cap by</w:t>
      </w:r>
      <w:r>
        <w:t xml:space="preserve"> </w:t>
      </w:r>
      <w:r>
        <w:rPr>
          <w:b/>
          <w:bCs/>
        </w:rPr>
        <w:t xml:space="preserve">$25,930.00</w:t>
      </w:r>
      <w:r>
        <w:t xml:space="preserve">, and even the</w:t>
      </w:r>
      <w:r>
        <w:t xml:space="preserve"> </w:t>
      </w:r>
      <w:r>
        <w:rPr>
          <w:b/>
          <w:bCs/>
        </w:rPr>
        <w:t xml:space="preserve">Summary’s $193,372.50</w:t>
      </w:r>
      <w:r>
        <w:t xml:space="preserve"> </w:t>
      </w:r>
      <w:r>
        <w:t xml:space="preserve">exceeds it by</w:t>
      </w:r>
      <w:r>
        <w:t xml:space="preserve"> </w:t>
      </w:r>
      <w:r>
        <w:rPr>
          <w:b/>
          <w:bCs/>
        </w:rPr>
        <w:t xml:space="preserve">$3,622.50.</w:t>
      </w:r>
      <w:r>
        <w:t xml:space="preserve"> </w:t>
      </w:r>
      <w:r>
        <w:t xml:space="preserve">No pre-approval of the overage was requested or given, in violation of § 7.3.</w:t>
      </w:r>
    </w:p>
    <w:p>
      <w:pPr>
        <w:pStyle w:val="BodyText"/>
      </w:pPr>
      <w:r>
        <w:t xml:space="preserve">After the specific reductions recommended above — most importantly the rejection of the two unapproved timekeepers ($33,400.00), which alone caused the overage — the compliant fee amount of</w:t>
      </w:r>
      <w:r>
        <w:t xml:space="preserve"> </w:t>
      </w:r>
      <w:r>
        <w:rPr>
          <w:b/>
          <w:bCs/>
        </w:rPr>
        <w:t xml:space="preserve">$138,934.86</w:t>
      </w:r>
      <w:r>
        <w:t xml:space="preserve"> </w:t>
      </w:r>
      <w:r>
        <w:t xml:space="preserve">falls</w:t>
      </w:r>
      <w:r>
        <w:t xml:space="preserve"> </w:t>
      </w:r>
      <w:r>
        <w:rPr>
          <w:b/>
          <w:bCs/>
        </w:rPr>
        <w:t xml:space="preserve">below</w:t>
      </w:r>
      <w:r>
        <w:t xml:space="preserve"> </w:t>
      </w:r>
      <w:r>
        <w:t xml:space="preserve">the $189,750 cap. Accordingly, no</w:t>
      </w:r>
      <w:r>
        <w:t xml:space="preserve"> </w:t>
      </w:r>
      <w:r>
        <w:rPr>
          <w:i/>
          <w:iCs/>
        </w:rPr>
        <w:t xml:space="preserve">additional</w:t>
      </w:r>
      <w:r>
        <w:t xml:space="preserve"> </w:t>
      </w:r>
      <w:r>
        <w:t xml:space="preserve">dollar reduction under § 7.3 is required to be stacked on top of the specific reductions (doing so would double-count the unapproved-timekeeper fees that drove the overage). The overage nonetheless remains a</w:t>
      </w:r>
      <w:r>
        <w:t xml:space="preserve"> </w:t>
      </w:r>
      <w:r>
        <w:rPr>
          <w:b/>
          <w:bCs/>
        </w:rPr>
        <w:t xml:space="preserve">documented compliance violation</w:t>
      </w:r>
      <w:r>
        <w:t xml:space="preserve">: the Firm exceeded the budget ceiling without the required pre-approval. Pinnacle should (i) require written pre-approval before any future month exceeding the cap, (ii) note the violation for the file, and (iii) recognize that it retains the independent right under § 7.3 to cap the gross invoice at $189,750 if it elects to enforce that remedy separately.</w:t>
      </w:r>
    </w:p>
    <w:bookmarkEnd w:id="31"/>
    <w:bookmarkStart w:id="32" w:name="i.-staffing-plan-hour-range-overages"/>
    <w:p>
      <w:pPr>
        <w:pStyle w:val="Heading3"/>
      </w:pPr>
      <w:r>
        <w:t xml:space="preserve">I. Staffing Plan Hour-Range Overages</w:t>
      </w:r>
    </w:p>
    <w:p>
      <w:pPr>
        <w:pStyle w:val="FirstParagraph"/>
      </w:pPr>
      <w:r>
        <w:t xml:space="preserve">The Staffing Plan’s expected monthly hour ranges were exceeded for several timekeepers (measured against the audited line items), indicating budget-management concerns (the ranges are soft targets, but the pattern is notable):</w:t>
      </w:r>
    </w:p>
    <w:p>
      <w:pPr>
        <w:pStyle w:val="Compact"/>
        <w:numPr>
          <w:ilvl w:val="0"/>
          <w:numId w:val="1005"/>
        </w:numPr>
      </w:pPr>
      <w:r>
        <w:rPr>
          <w:b/>
          <w:bCs/>
        </w:rPr>
        <w:t xml:space="preserve">David Hargrove:</w:t>
      </w:r>
      <w:r>
        <w:t xml:space="preserve"> </w:t>
      </w:r>
      <w:r>
        <w:t xml:space="preserve">38.5 hrs vs. plan 15–25 hrs —</w:t>
      </w:r>
      <w:r>
        <w:t xml:space="preserve"> </w:t>
      </w:r>
      <w:r>
        <w:rPr>
          <w:b/>
          <w:bCs/>
        </w:rPr>
        <w:t xml:space="preserve">54% over</w:t>
      </w:r>
      <w:r>
        <w:t xml:space="preserve"> </w:t>
      </w:r>
      <w:r>
        <w:t xml:space="preserve">the high end. The Case Status Report acknowledges the elevation (Liu deposition, May 27 strategy session, personal document review) and predicts a return to typical levels in June/July.</w:t>
      </w:r>
    </w:p>
    <w:p>
      <w:pPr>
        <w:pStyle w:val="Compact"/>
        <w:numPr>
          <w:ilvl w:val="0"/>
          <w:numId w:val="1005"/>
        </w:numPr>
      </w:pPr>
      <w:r>
        <w:rPr>
          <w:b/>
          <w:bCs/>
        </w:rPr>
        <w:t xml:space="preserve">Karen Cho:</w:t>
      </w:r>
      <w:r>
        <w:t xml:space="preserve"> </w:t>
      </w:r>
      <w:r>
        <w:t xml:space="preserve">89.5 hrs vs. plan 50–80 hrs — 12% over the high end.</w:t>
      </w:r>
    </w:p>
    <w:p>
      <w:pPr>
        <w:pStyle w:val="Compact"/>
        <w:numPr>
          <w:ilvl w:val="0"/>
          <w:numId w:val="1005"/>
        </w:numPr>
      </w:pPr>
      <w:r>
        <w:rPr>
          <w:b/>
          <w:bCs/>
        </w:rPr>
        <w:t xml:space="preserve">James Pettersson:</w:t>
      </w:r>
      <w:r>
        <w:t xml:space="preserve"> </w:t>
      </w:r>
      <w:r>
        <w:t xml:space="preserve">91.0 hrs vs. plan 60–90 hrs — 1% over the high end.</w:t>
      </w:r>
    </w:p>
    <w:p>
      <w:pPr>
        <w:pStyle w:val="Compact"/>
        <w:numPr>
          <w:ilvl w:val="0"/>
          <w:numId w:val="1005"/>
        </w:numPr>
      </w:pPr>
      <w:r>
        <w:rPr>
          <w:b/>
          <w:bCs/>
        </w:rPr>
        <w:t xml:space="preserve">Marcus Tate:</w:t>
      </w:r>
      <w:r>
        <w:t xml:space="preserve"> </w:t>
      </w:r>
      <w:r>
        <w:t xml:space="preserve">154.5 hrs vs. plan 80–150 hrs — 3% over the high end.</w:t>
      </w:r>
    </w:p>
    <w:p>
      <w:pPr>
        <w:pStyle w:val="Compact"/>
        <w:numPr>
          <w:ilvl w:val="0"/>
          <w:numId w:val="1005"/>
        </w:numPr>
      </w:pPr>
      <w:r>
        <w:rPr>
          <w:b/>
          <w:bCs/>
        </w:rPr>
        <w:t xml:space="preserve">Junior associate pool:</w:t>
      </w:r>
      <w:r>
        <w:t xml:space="preserve"> </w:t>
      </w:r>
      <w:r>
        <w:t xml:space="preserve">61.0 combined hours across</w:t>
      </w:r>
      <w:r>
        <w:t xml:space="preserve"> </w:t>
      </w:r>
      <w:r>
        <w:rPr>
          <w:b/>
          <w:bCs/>
        </w:rPr>
        <w:t xml:space="preserve">two</w:t>
      </w:r>
      <w:r>
        <w:t xml:space="preserve"> </w:t>
      </w:r>
      <w:r>
        <w:t xml:space="preserve">junior associates (Webb 34.0 + Sengupta 27.0), versus the plan’s one-junior rule.</w:t>
      </w:r>
    </w:p>
    <w:p>
      <w:pPr>
        <w:pStyle w:val="FirstParagraph"/>
      </w:pPr>
      <w:r>
        <w:t xml:space="preserve">These overages are flagged for monitoring; the binding budget control is the § 7.3 cap addressed in Section V.H.</w:t>
      </w:r>
    </w:p>
    <w:bookmarkEnd w:id="32"/>
    <w:bookmarkStart w:id="33" w:name="j.-expenses-8"/>
    <w:p>
      <w:pPr>
        <w:pStyle w:val="Heading3"/>
      </w:pPr>
      <w:r>
        <w:t xml:space="preserve">J. Expenses — § 8</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Vendor</w:t>
            </w:r>
          </w:p>
        </w:tc>
        <w:tc>
          <w:tcPr/>
          <w:p>
            <w:pPr>
              <w:pStyle w:val="Compact"/>
              <w:jc w:val="right"/>
            </w:pPr>
            <w:r>
              <w:t xml:space="preserve">Amount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Court reporting (Liu depo)</w:t>
            </w:r>
          </w:p>
        </w:tc>
        <w:tc>
          <w:tcPr/>
          <w:p>
            <w:pPr>
              <w:pStyle w:val="Compact"/>
              <w:jc w:val="left"/>
            </w:pPr>
            <w:r>
              <w:t xml:space="preserve">Grayson Court Reporting Services</w:t>
            </w:r>
          </w:p>
        </w:tc>
        <w:tc>
          <w:tcPr/>
          <w:p>
            <w:pPr>
              <w:pStyle w:val="Compact"/>
              <w:jc w:val="right"/>
            </w:pPr>
            <w:r>
              <w:t xml:space="preserve">$3,200.00</w:t>
            </w:r>
          </w:p>
        </w:tc>
        <w:tc>
          <w:tcPr/>
          <w:p>
            <w:pPr>
              <w:pStyle w:val="Compact"/>
              <w:jc w:val="left"/>
            </w:pPr>
            <w:r>
              <w:rPr>
                <w:b/>
                <w:bCs/>
              </w:rPr>
              <w:t xml:space="preserve">Approve</w:t>
            </w:r>
            <w:r>
              <w:t xml:space="preserve"> </w:t>
            </w:r>
            <w:r>
              <w:t xml:space="preserve">(approved vendor, § 8.1). Flag</w:t>
            </w:r>
            <w:r>
              <w:t xml:space="preserve"> </w:t>
            </w:r>
            <w:r>
              <w:t xml:space="preserve">“</w:t>
            </w:r>
            <w:r>
              <w:t xml:space="preserve">expedited delivery</w:t>
            </w:r>
            <w:r>
              <w:t xml:space="preserve">”</w:t>
            </w:r>
            <w:r>
              <w:t xml:space="preserve"> </w:t>
            </w:r>
            <w:r>
              <w:t xml:space="preserve">premium — verify receipt and confirm transcript charged at standard rates.</w:t>
            </w:r>
          </w:p>
        </w:tc>
      </w:tr>
      <w:tr>
        <w:tc>
          <w:tcPr/>
          <w:p>
            <w:pPr>
              <w:pStyle w:val="Compact"/>
              <w:jc w:val="left"/>
            </w:pPr>
            <w:r>
              <w:t xml:space="preserve">2</w:t>
            </w:r>
          </w:p>
        </w:tc>
        <w:tc>
          <w:tcPr/>
          <w:p>
            <w:pPr>
              <w:pStyle w:val="Compact"/>
              <w:jc w:val="left"/>
            </w:pPr>
            <w:r>
              <w:t xml:space="preserve">Travel (Hargrove &amp; Cho to Liu depo)</w:t>
            </w:r>
          </w:p>
        </w:tc>
        <w:tc>
          <w:tcPr/>
          <w:p>
            <w:pPr>
              <w:pStyle w:val="Compact"/>
              <w:jc w:val="left"/>
            </w:pPr>
            <w:r>
              <w:t xml:space="preserve">Various</w:t>
            </w:r>
          </w:p>
        </w:tc>
        <w:tc>
          <w:tcPr/>
          <w:p>
            <w:pPr>
              <w:pStyle w:val="Compact"/>
              <w:jc w:val="right"/>
            </w:pPr>
            <w:r>
              <w:t xml:space="preserve">$2,100.00</w:t>
            </w:r>
          </w:p>
        </w:tc>
        <w:tc>
          <w:tcPr/>
          <w:p>
            <w:pPr>
              <w:pStyle w:val="Compact"/>
              <w:jc w:val="left"/>
            </w:pPr>
            <w:r>
              <w:rPr>
                <w:b/>
                <w:bCs/>
              </w:rPr>
              <w:t xml:space="preserve">Reject — $2,100.00.</w:t>
            </w:r>
          </w:p>
        </w:tc>
      </w:tr>
      <w:tr>
        <w:tc>
          <w:tcPr/>
          <w:p>
            <w:pPr>
              <w:pStyle w:val="Compact"/>
              <w:jc w:val="left"/>
            </w:pPr>
            <w:r>
              <w:t xml:space="preserve">3</w:t>
            </w:r>
          </w:p>
        </w:tc>
        <w:tc>
          <w:tcPr/>
          <w:p>
            <w:pPr>
              <w:pStyle w:val="Compact"/>
              <w:jc w:val="left"/>
            </w:pPr>
            <w:r>
              <w:t xml:space="preserve">E-discovery hosting (May 2025)</w:t>
            </w:r>
          </w:p>
        </w:tc>
        <w:tc>
          <w:tcPr/>
          <w:p>
            <w:pPr>
              <w:pStyle w:val="Compact"/>
              <w:jc w:val="left"/>
            </w:pPr>
            <w:r>
              <w:t xml:space="preserve">Tripoint Litigation Support LLC</w:t>
            </w:r>
          </w:p>
        </w:tc>
        <w:tc>
          <w:tcPr/>
          <w:p>
            <w:pPr>
              <w:pStyle w:val="Compact"/>
              <w:jc w:val="right"/>
            </w:pPr>
            <w:r>
              <w:t xml:space="preserve">$2,650.00</w:t>
            </w:r>
          </w:p>
        </w:tc>
        <w:tc>
          <w:tcPr/>
          <w:p>
            <w:pPr>
              <w:pStyle w:val="Compact"/>
              <w:jc w:val="left"/>
            </w:pPr>
            <w:r>
              <w:rPr>
                <w:b/>
                <w:bCs/>
              </w:rPr>
              <w:t xml:space="preserve">Approve</w:t>
            </w:r>
            <w:r>
              <w:t xml:space="preserve"> </w:t>
            </w:r>
            <w:r>
              <w:t xml:space="preserve">(approved vendor). Flag pre-approval verification under § 8.1.</w:t>
            </w:r>
          </w:p>
        </w:tc>
      </w:tr>
      <w:tr>
        <w:tc>
          <w:tcPr/>
          <w:p>
            <w:pPr>
              <w:pStyle w:val="Compact"/>
              <w:jc w:val="left"/>
            </w:pPr>
            <w:r>
              <w:t xml:space="preserve">4</w:t>
            </w:r>
          </w:p>
        </w:tc>
        <w:tc>
          <w:tcPr/>
          <w:p>
            <w:pPr>
              <w:pStyle w:val="Compact"/>
              <w:jc w:val="left"/>
            </w:pPr>
            <w:r>
              <w:t xml:space="preserve">Courier/delivery</w:t>
            </w:r>
          </w:p>
        </w:tc>
        <w:tc>
          <w:tcPr/>
          <w:p>
            <w:pPr>
              <w:pStyle w:val="Compact"/>
              <w:jc w:val="left"/>
            </w:pPr>
            <w:r>
              <w:t xml:space="preserve">Various</w:t>
            </w:r>
          </w:p>
        </w:tc>
        <w:tc>
          <w:tcPr/>
          <w:p>
            <w:pPr>
              <w:pStyle w:val="Compact"/>
              <w:jc w:val="right"/>
            </w:pPr>
            <w:r>
              <w:t xml:space="preserve">$500.00</w:t>
            </w:r>
          </w:p>
        </w:tc>
        <w:tc>
          <w:tcPr/>
          <w:p>
            <w:pPr>
              <w:pStyle w:val="Compact"/>
              <w:jc w:val="left"/>
            </w:pPr>
            <w:r>
              <w:rPr>
                <w:b/>
                <w:bCs/>
              </w:rPr>
              <w:t xml:space="preserve">Approve</w:t>
            </w:r>
            <w:r>
              <w:t xml:space="preserve"> </w:t>
            </w:r>
            <w:r>
              <w:t xml:space="preserve">(time-sensitive service/filing, § 8.1). Verify receipt.</w:t>
            </w:r>
          </w:p>
        </w:tc>
      </w:tr>
    </w:tbl>
    <w:p>
      <w:pPr>
        <w:pStyle w:val="BodyText"/>
      </w:pPr>
      <w:r>
        <w:rPr>
          <w:b/>
          <w:bCs/>
        </w:rPr>
        <w:t xml:space="preserve">Travel expense — $2,100.00 rejected.</w:t>
      </w:r>
      <w:r>
        <w:t xml:space="preserve"> </w:t>
      </w:r>
      <w:r>
        <w:t xml:space="preserve">The Dr. Rebecca Liu deposition was taken</w:t>
      </w:r>
      <w:r>
        <w:t xml:space="preserve"> </w:t>
      </w:r>
      <w:r>
        <w:rPr>
          <w:b/>
          <w:bCs/>
        </w:rPr>
        <w:t xml:space="preserve">at the offices of Hargrove &amp; Linden LLP in Atlanta, Georgia</w:t>
      </w:r>
      <w:r>
        <w:t xml:space="preserve"> </w:t>
      </w:r>
      <w:r>
        <w:t xml:space="preserve">(Case Status Report § III.B). Hargrove and Cho are H&amp;L attorneys based in Atlanta; their</w:t>
      </w:r>
      <w:r>
        <w:t xml:space="preserve"> </w:t>
      </w:r>
      <w:r>
        <w:t xml:space="preserve">“</w:t>
      </w:r>
      <w:r>
        <w:t xml:space="preserve">travel</w:t>
      </w:r>
      <w:r>
        <w:t xml:space="preserve">”</w:t>
      </w:r>
      <w:r>
        <w:t xml:space="preserve"> </w:t>
      </w:r>
      <w:r>
        <w:t xml:space="preserve">(mileage, parking, meals) to attend a deposition at their</w:t>
      </w:r>
      <w:r>
        <w:t xml:space="preserve"> </w:t>
      </w:r>
      <w:r>
        <w:rPr>
          <w:b/>
          <w:bCs/>
        </w:rPr>
        <w:t xml:space="preserve">own firm’s office</w:t>
      </w:r>
      <w:r>
        <w:t xml:space="preserve"> </w:t>
      </w:r>
      <w:r>
        <w:t xml:space="preserve">is</w:t>
      </w:r>
      <w:r>
        <w:t xml:space="preserve"> </w:t>
      </w:r>
      <w:r>
        <w:rPr>
          <w:b/>
          <w:bCs/>
        </w:rPr>
        <w:t xml:space="preserve">local travel within the Atlanta metropolitan area</w:t>
      </w:r>
      <w:r>
        <w:t xml:space="preserve">, which § 6.4 makes</w:t>
      </w:r>
      <w:r>
        <w:t xml:space="preserve"> </w:t>
      </w:r>
      <w:r>
        <w:t xml:space="preserve">“</w:t>
      </w:r>
      <w:r>
        <w:t xml:space="preserve">not billable under any circumstances.</w:t>
      </w:r>
      <w:r>
        <w:t xml:space="preserve">”</w:t>
      </w:r>
      <w:r>
        <w:t xml:space="preserve"> </w:t>
      </w:r>
      <w:r>
        <w:t xml:space="preserve">The meals are separately non-reimbursable under § 8.2 (not out-of-town travel). In addition, § 8.3 requires pre-approval for any travel exceeding $1,000 in the aggregate; this $2,100 expense was not pre-approved. The entire amount is disallowed.</w:t>
      </w:r>
    </w:p>
    <w:p>
      <w:pPr>
        <w:pStyle w:val="BodyText"/>
      </w:pPr>
      <w:r>
        <w:rPr>
          <w:b/>
          <w:bCs/>
        </w:rPr>
        <w:t xml:space="preserve">Expense reduction: $2,100.00. Compliant expenses: $6,350.00.</w:t>
      </w:r>
    </w:p>
    <w:bookmarkEnd w:id="33"/>
    <w:bookmarkStart w:id="34" w:name="k.-invoice-format-and-compliance-9"/>
    <w:p>
      <w:pPr>
        <w:pStyle w:val="Heading3"/>
      </w:pPr>
      <w:r>
        <w:t xml:space="preserve">K. Invoice Format and Compliance — § 9</w:t>
      </w:r>
    </w:p>
    <w:p>
      <w:pPr>
        <w:pStyle w:val="Compact"/>
        <w:numPr>
          <w:ilvl w:val="0"/>
          <w:numId w:val="1006"/>
        </w:numPr>
      </w:pPr>
      <w:r>
        <w:rPr>
          <w:b/>
          <w:bCs/>
        </w:rPr>
        <w:t xml:space="preserve">No budget-to-actual reconciliation.</w:t>
      </w:r>
      <w:r>
        <w:t xml:space="preserve"> </w:t>
      </w:r>
      <w:r>
        <w:t xml:space="preserve">Section 7.2 / 9.1(g) requires a budget-to-actual reconciliation (approved range, actuals, cumulative, % consumed, and narrative of variances &gt; 10%). The invoice contains</w:t>
      </w:r>
      <w:r>
        <w:t xml:space="preserve"> </w:t>
      </w:r>
      <w:r>
        <w:rPr>
          <w:b/>
          <w:bCs/>
        </w:rPr>
        <w:t xml:space="preserve">none</w:t>
      </w:r>
      <w:r>
        <w:t xml:space="preserve">. Nonconformance. (The fees are far more than 10% over the $130,000 midpoint of the approved range, so a variance narrative was specifically required and is absent.)</w:t>
      </w:r>
    </w:p>
    <w:p>
      <w:pPr>
        <w:pStyle w:val="Compact"/>
        <w:numPr>
          <w:ilvl w:val="0"/>
          <w:numId w:val="1006"/>
        </w:numPr>
      </w:pPr>
      <w:r>
        <w:rPr>
          <w:b/>
          <w:bCs/>
        </w:rPr>
        <w:t xml:space="preserve">Summary does not reconcile to detail</w:t>
      </w:r>
      <w:r>
        <w:t xml:space="preserve"> </w:t>
      </w:r>
      <w:r>
        <w:t xml:space="preserve">(Section IV). Nonconformance with § 9.1(d), (e).</w:t>
      </w:r>
    </w:p>
    <w:p>
      <w:pPr>
        <w:pStyle w:val="Compact"/>
        <w:numPr>
          <w:ilvl w:val="0"/>
          <w:numId w:val="1006"/>
        </w:numPr>
      </w:pPr>
      <w:r>
        <w:rPr>
          <w:b/>
          <w:bCs/>
        </w:rPr>
        <w:t xml:space="preserve">Missing Pinnacle matter number (§ 9.1(a)).</w:t>
      </w:r>
      <w:r>
        <w:t xml:space="preserve"> </w:t>
      </w:r>
      <w:r>
        <w:t xml:space="preserve">Section 9.1(a) requires the invoice to state the</w:t>
      </w:r>
      <w:r>
        <w:t xml:space="preserve"> </w:t>
      </w:r>
      <w:r>
        <w:t xml:space="preserve">“</w:t>
      </w:r>
      <w:r>
        <w:t xml:space="preserve">Matter name and Pinnacle matter number.</w:t>
      </w:r>
      <w:r>
        <w:t xml:space="preserve">”</w:t>
      </w:r>
      <w:r>
        <w:t xml:space="preserve"> </w:t>
      </w:r>
      <w:r>
        <w:t xml:space="preserve">The invoice states the matter name and the</w:t>
      </w:r>
      <w:r>
        <w:t xml:space="preserve"> </w:t>
      </w:r>
      <w:r>
        <w:rPr>
          <w:i/>
          <w:iCs/>
        </w:rPr>
        <w:t xml:space="preserve">court</w:t>
      </w:r>
      <w:r>
        <w:t xml:space="preserve"> </w:t>
      </w:r>
      <w:r>
        <w:t xml:space="preserve">case number (1:24-cv-04187-RWS) but no Pinnacle internal matter number. Nonconformance; the corrected invoice should include the Pinnacle matter number assigned to this engagement.</w:t>
      </w:r>
    </w:p>
    <w:p>
      <w:pPr>
        <w:pStyle w:val="Compact"/>
        <w:numPr>
          <w:ilvl w:val="0"/>
          <w:numId w:val="1006"/>
        </w:numPr>
      </w:pPr>
      <w:r>
        <w:rPr>
          <w:b/>
          <w:bCs/>
        </w:rPr>
        <w:t xml:space="preserve">Invoice timeliness — compliant (§ 9.1).</w:t>
      </w:r>
      <w:r>
        <w:t xml:space="preserve"> </w:t>
      </w:r>
      <w:r>
        <w:t xml:space="preserve">Section 9.1 requires submission</w:t>
      </w:r>
      <w:r>
        <w:t xml:space="preserve"> </w:t>
      </w:r>
      <w:r>
        <w:t xml:space="preserve">“</w:t>
      </w:r>
      <w:r>
        <w:t xml:space="preserve">no later than the fifteenth (15th) day of the month following the billing period.</w:t>
      </w:r>
      <w:r>
        <w:t xml:space="preserve">”</w:t>
      </w:r>
      <w:r>
        <w:t xml:space="preserve"> </w:t>
      </w:r>
      <w:r>
        <w:t xml:space="preserve">The invoice is dated</w:t>
      </w:r>
      <w:r>
        <w:t xml:space="preserve"> </w:t>
      </w:r>
      <w:r>
        <w:rPr>
          <w:b/>
          <w:bCs/>
        </w:rPr>
        <w:t xml:space="preserve">June 5, 2025</w:t>
      </w:r>
      <w:r>
        <w:t xml:space="preserve">, for the May 1–31, 2025 period — eight days before the June 15 deadline.</w:t>
      </w:r>
      <w:r>
        <w:t xml:space="preserve"> </w:t>
      </w:r>
      <w:r>
        <w:rPr>
          <w:b/>
          <w:bCs/>
        </w:rPr>
        <w:t xml:space="preserve">Timely.</w:t>
      </w:r>
      <w:r>
        <w:t xml:space="preserve"> </w:t>
      </w:r>
      <w:r>
        <w:t xml:space="preserve">No reduction.</w:t>
      </w:r>
    </w:p>
    <w:p>
      <w:pPr>
        <w:pStyle w:val="Compact"/>
        <w:numPr>
          <w:ilvl w:val="0"/>
          <w:numId w:val="1006"/>
        </w:numPr>
      </w:pPr>
      <w:r>
        <w:rPr>
          <w:b/>
          <w:bCs/>
        </w:rPr>
        <w:t xml:space="preserve">Time-entry narratives — compliant (§ 9.2).</w:t>
      </w:r>
      <w:r>
        <w:t xml:space="preserve"> </w:t>
      </w:r>
      <w:r>
        <w:t xml:space="preserve">Section 9.2 prohibits vague descriptions such as</w:t>
      </w:r>
      <w:r>
        <w:t xml:space="preserve"> </w:t>
      </w:r>
      <w:r>
        <w:t xml:space="preserve">“</w:t>
      </w:r>
      <w:r>
        <w:t xml:space="preserve">legal research,</w:t>
      </w:r>
      <w:r>
        <w:t xml:space="preserve">”</w:t>
      </w:r>
      <w:r>
        <w:t xml:space="preserve"> </w:t>
      </w:r>
      <w:r>
        <w:t xml:space="preserve">“</w:t>
      </w:r>
      <w:r>
        <w:t xml:space="preserve">review documents,</w:t>
      </w:r>
      <w:r>
        <w:t xml:space="preserve">”</w:t>
      </w:r>
      <w:r>
        <w:t xml:space="preserve"> </w:t>
      </w:r>
      <w:r>
        <w:t xml:space="preserve">or</w:t>
      </w:r>
      <w:r>
        <w:t xml:space="preserve"> </w:t>
      </w:r>
      <w:r>
        <w:t xml:space="preserve">“</w:t>
      </w:r>
      <w:r>
        <w:t xml:space="preserve">attention to matter.</w:t>
      </w:r>
      <w:r>
        <w:t xml:space="preserve">”</w:t>
      </w:r>
      <w:r>
        <w:t xml:space="preserve"> </w:t>
      </w:r>
      <w:r>
        <w:t xml:space="preserve">A scan of all 117 entries found</w:t>
      </w:r>
      <w:r>
        <w:t xml:space="preserve"> </w:t>
      </w:r>
      <w:r>
        <w:rPr>
          <w:b/>
          <w:bCs/>
        </w:rPr>
        <w:t xml:space="preserve">no bare-vague entries</w:t>
      </w:r>
      <w:r>
        <w:t xml:space="preserve">; each narrative identifies the specific subject, document set, or issue (e.g.,</w:t>
      </w:r>
      <w:r>
        <w:t xml:space="preserve"> </w:t>
      </w:r>
      <w:r>
        <w:t xml:space="preserve">“</w:t>
      </w:r>
      <w:r>
        <w:t xml:space="preserve">Research Georgia Trade Secrets Act preemption of common-law claims…</w:t>
      </w:r>
      <w:r>
        <w:t xml:space="preserve">”</w:t>
      </w:r>
      <w:r>
        <w:t xml:space="preserve">;</w:t>
      </w:r>
      <w:r>
        <w:t xml:space="preserve"> </w:t>
      </w:r>
      <w:r>
        <w:t xml:space="preserve">“</w:t>
      </w:r>
      <w:r>
        <w:t xml:space="preserve">Review third batch of MedCore production documents for relevance and privilege</w:t>
      </w:r>
      <w:r>
        <w:t xml:space="preserve">”</w:t>
      </w:r>
      <w:r>
        <w:t xml:space="preserve">). Narratives are</w:t>
      </w:r>
      <w:r>
        <w:t xml:space="preserve"> </w:t>
      </w:r>
      <w:r>
        <w:rPr>
          <w:b/>
          <w:bCs/>
        </w:rPr>
        <w:t xml:space="preserve">adequate</w:t>
      </w:r>
      <w:r>
        <w:t xml:space="preserve">; no § 9.2 reduction. (The 0.5-hour increment practice in item 7 below does, however, limit the granularity of the time allocation within otherwise-adequate narratives.)</w:t>
      </w:r>
    </w:p>
    <w:p>
      <w:pPr>
        <w:pStyle w:val="Compact"/>
        <w:numPr>
          <w:ilvl w:val="0"/>
          <w:numId w:val="1006"/>
        </w:numPr>
      </w:pPr>
      <w:r>
        <w:rPr>
          <w:b/>
          <w:bCs/>
        </w:rPr>
        <w:t xml:space="preserve">E-billing platform submission</w:t>
      </w:r>
      <w:r>
        <w:t xml:space="preserve"> </w:t>
      </w:r>
      <w:r>
        <w:t xml:space="preserve">(§ 9.4) cannot be verified from the file as received; confirm the invoice was submitted through Pinnacle’s designated e-billing system.</w:t>
      </w:r>
    </w:p>
    <w:p>
      <w:pPr>
        <w:pStyle w:val="Compact"/>
        <w:numPr>
          <w:ilvl w:val="0"/>
          <w:numId w:val="1006"/>
        </w:numPr>
      </w:pPr>
      <w:r>
        <w:rPr>
          <w:b/>
          <w:bCs/>
        </w:rPr>
        <w:t xml:space="preserve">Billing increments (§ 5.5).</w:t>
      </w:r>
      <w:r>
        <w:t xml:space="preserve"> </w:t>
      </w:r>
      <w:r>
        <w:t xml:space="preserve">All 117 entries are recorded in</w:t>
      </w:r>
      <w:r>
        <w:t xml:space="preserve"> </w:t>
      </w:r>
      <w:r>
        <w:rPr>
          <w:b/>
          <w:bCs/>
        </w:rPr>
        <w:t xml:space="preserve">0.5-hour increments</w:t>
      </w:r>
      <w:r>
        <w:t xml:space="preserve"> </w:t>
      </w:r>
      <w:r>
        <w:t xml:space="preserve">(verified: every entry is a multiple of 0.5), rather than the required increments of no greater than 0.1 hour. No entries use quarter-hour (0.25) increments, so the specific § 5.5 rounding-down remedy (0.25 → 0.1) produces no dollar reduction (0.5 is already a multiple of 0.1); however, the coarse 0.5-hour practice violates the</w:t>
      </w:r>
      <w:r>
        <w:t xml:space="preserve"> </w:t>
      </w:r>
      <w:r>
        <w:t xml:space="preserve">“</w:t>
      </w:r>
      <w:r>
        <w:t xml:space="preserve">no greater than one-tenth of an hour</w:t>
      </w:r>
      <w:r>
        <w:t xml:space="preserve">”</w:t>
      </w:r>
      <w:r>
        <w:t xml:space="preserve"> </w:t>
      </w:r>
      <w:r>
        <w:t xml:space="preserve">recording standard and is a nonconformance to be corrected going forward.</w:t>
      </w:r>
    </w:p>
    <w:p>
      <w:pPr>
        <w:pStyle w:val="Compact"/>
        <w:numPr>
          <w:ilvl w:val="0"/>
          <w:numId w:val="1006"/>
        </w:numPr>
      </w:pPr>
      <w:r>
        <w:rPr>
          <w:b/>
          <w:bCs/>
        </w:rPr>
        <w:t xml:space="preserve">Payment-terms conflict (§ 9.3).</w:t>
      </w:r>
      <w:r>
        <w:t xml:space="preserve"> </w:t>
      </w:r>
      <w:r>
        <w:t xml:space="preserve">The invoice states</w:t>
      </w:r>
      <w:r>
        <w:t xml:space="preserve"> </w:t>
      </w:r>
      <w:r>
        <w:t xml:space="preserve">“</w:t>
      </w:r>
      <w:r>
        <w:t xml:space="preserve">Net 30 days from invoice date (due July 5, 2025).</w:t>
      </w:r>
      <w:r>
        <w:t xml:space="preserve">”</w:t>
      </w:r>
      <w:r>
        <w:t xml:space="preserve"> </w:t>
      </w:r>
      <w:r>
        <w:t xml:space="preserve">Section 9.3 provides that Pinnacle</w:t>
      </w:r>
      <w:r>
        <w:t xml:space="preserve"> </w:t>
      </w:r>
      <w:r>
        <w:t xml:space="preserve">“</w:t>
      </w:r>
      <w:r>
        <w:t xml:space="preserve">will review and process compliant invoices within forty-five (45) days of receipt,</w:t>
      </w:r>
      <w:r>
        <w:t xml:space="preserve">”</w:t>
      </w:r>
      <w:r>
        <w:t xml:space="preserve"> </w:t>
      </w:r>
      <w:r>
        <w:t xml:space="preserve">and § 1.2 makes the Guidelines govern absent an express, specific deviation in the engagement letter. No engagement-letter deviation authorizing a 30-day term appears in the record. The Firm’s 30-day demand is therefore</w:t>
      </w:r>
      <w:r>
        <w:t xml:space="preserve"> </w:t>
      </w:r>
      <w:r>
        <w:rPr>
          <w:b/>
          <w:bCs/>
        </w:rPr>
        <w:t xml:space="preserve">not controlling</w:t>
      </w:r>
      <w:r>
        <w:t xml:space="preserve">; Pinnacle’s 45-day review window governs, and payment is not overdue before 45 days from receipt. No reduction, but the corrected invoice should not assert a term shorter than the Guidelines allow.</w:t>
      </w:r>
    </w:p>
    <w:bookmarkEnd w:id="34"/>
    <w:bookmarkStart w:id="35" w:name="l.-other-observations"/>
    <w:p>
      <w:pPr>
        <w:pStyle w:val="Heading3"/>
      </w:pPr>
      <w:r>
        <w:t xml:space="preserve">L. Other Observations</w:t>
      </w:r>
    </w:p>
    <w:p>
      <w:pPr>
        <w:pStyle w:val="Compact"/>
        <w:numPr>
          <w:ilvl w:val="0"/>
          <w:numId w:val="1007"/>
        </w:numPr>
      </w:pPr>
      <w:r>
        <w:rPr>
          <w:b/>
          <w:bCs/>
        </w:rPr>
        <w:t xml:space="preserve">Narrative inconsistency (minor).</w:t>
      </w:r>
      <w:r>
        <w:t xml:space="preserve"> </w:t>
      </w:r>
      <w:r>
        <w:t xml:space="preserve">The invoice references</w:t>
      </w:r>
      <w:r>
        <w:t xml:space="preserve"> </w:t>
      </w:r>
      <w:r>
        <w:t xml:space="preserve">“</w:t>
      </w:r>
      <w:r>
        <w:t xml:space="preserve">MedCore’s Second Set of Interrogatories (Nos. 12–24)</w:t>
      </w:r>
      <w:r>
        <w:t xml:space="preserve">”</w:t>
      </w:r>
      <w:r>
        <w:t xml:space="preserve"> </w:t>
      </w:r>
      <w:r>
        <w:t xml:space="preserve">(Entries 2, 6, 11), while the Case Status Report refers to</w:t>
      </w:r>
      <w:r>
        <w:t xml:space="preserve"> </w:t>
      </w:r>
      <w:r>
        <w:t xml:space="preserve">“</w:t>
      </w:r>
      <w:r>
        <w:t xml:space="preserve">MedCore’s interrogatories</w:t>
      </w:r>
      <w:r>
        <w:t xml:space="preserve">”</w:t>
      </w:r>
      <w:r>
        <w:t xml:space="preserve"> </w:t>
      </w:r>
      <w:r>
        <w:t xml:space="preserve">without specifying the set and separately describes the motion to compel as concerning</w:t>
      </w:r>
      <w:r>
        <w:t xml:space="preserve"> </w:t>
      </w:r>
      <w:r>
        <w:t xml:space="preserve">“</w:t>
      </w:r>
      <w:r>
        <w:t xml:space="preserve">Pinnacle’s First Set of Interrogatories (Nos. 1–25).</w:t>
      </w:r>
      <w:r>
        <w:t xml:space="preserve">”</w:t>
      </w:r>
      <w:r>
        <w:t xml:space="preserve"> </w:t>
      </w:r>
      <w:r>
        <w:t xml:space="preserve">This should be clarified with the Firm but is not a basis for reduction.</w:t>
      </w:r>
    </w:p>
    <w:p>
      <w:pPr>
        <w:pStyle w:val="Compact"/>
        <w:numPr>
          <w:ilvl w:val="0"/>
          <w:numId w:val="1007"/>
        </w:numPr>
      </w:pPr>
      <w:r>
        <w:rPr>
          <w:b/>
          <w:bCs/>
        </w:rPr>
        <w:t xml:space="preserve">Multiple review layers / over-lawyering (§ 6.2).</w:t>
      </w:r>
      <w:r>
        <w:t xml:space="preserve"> </w:t>
      </w:r>
      <w:r>
        <w:t xml:space="preserve">Several work products received multiple senior review layers (e.g., the motion to compel: Pettersson draft → Cho review → Hargrove review; Liu deposition outline: Pettersson → Cho → Hargrove conferences). The lead partner’s final review and approval of key filings is within his approved role (Staffing Plan § 2.1), so no hard reduction is applied, but the pattern of heavy senior review is flagged for monitoring against the § 6.2</w:t>
      </w:r>
      <w:r>
        <w:t xml:space="preserve"> </w:t>
      </w:r>
      <w:r>
        <w:t xml:space="preserve">“</w:t>
      </w:r>
      <w:r>
        <w:t xml:space="preserve">single round of review is presumptively reasonable</w:t>
      </w:r>
      <w:r>
        <w:t xml:space="preserve">”</w:t>
      </w:r>
      <w:r>
        <w:t xml:space="preserve"> </w:t>
      </w:r>
      <w:r>
        <w:t xml:space="preserve">standard.</w:t>
      </w:r>
    </w:p>
    <w:p>
      <w:pPr>
        <w:pStyle w:val="Compact"/>
        <w:numPr>
          <w:ilvl w:val="0"/>
          <w:numId w:val="1007"/>
        </w:numPr>
      </w:pPr>
      <w:r>
        <w:rPr>
          <w:b/>
          <w:bCs/>
        </w:rPr>
        <w:t xml:space="preserve">“</w:t>
      </w:r>
      <w:r>
        <w:rPr>
          <w:b/>
          <w:bCs/>
        </w:rPr>
        <w:t xml:space="preserve">Getting up to speed</w:t>
      </w:r>
      <w:r>
        <w:rPr>
          <w:b/>
          <w:bCs/>
        </w:rPr>
        <w:t xml:space="preserve">”</w:t>
      </w:r>
      <w:r>
        <w:rPr>
          <w:b/>
          <w:bCs/>
        </w:rPr>
        <w:t xml:space="preserve"> </w:t>
      </w:r>
      <w:r>
        <w:rPr>
          <w:b/>
          <w:bCs/>
        </w:rPr>
        <w:t xml:space="preserve">time (§ 6.3).</w:t>
      </w:r>
      <w:r>
        <w:t xml:space="preserve"> </w:t>
      </w:r>
      <w:r>
        <w:t xml:space="preserve">To the extent any Barros or Sengupta time constitutes onboarding/</w:t>
      </w:r>
      <w:r>
        <w:t xml:space="preserve">“</w:t>
      </w:r>
      <w:r>
        <w:t xml:space="preserve">getting up to speed,</w:t>
      </w:r>
      <w:r>
        <w:t xml:space="preserve">”</w:t>
      </w:r>
      <w:r>
        <w:t xml:space="preserve"> </w:t>
      </w:r>
      <w:r>
        <w:t xml:space="preserve">it is non-billable under § 6.3 beyond a single 2.0-hour briefing; this is moot as to those timekeepers because their fees are recommended for rejection in full under § 4.2.</w:t>
      </w:r>
    </w:p>
    <w:bookmarkEnd w:id="35"/>
    <w:bookmarkStart w:id="36" w:name="Xc1632341dfc43f2098b17de20827d100c323309"/>
    <w:p>
      <w:pPr>
        <w:pStyle w:val="Heading3"/>
      </w:pPr>
      <w:r>
        <w:t xml:space="preserve">M. Compliance Confirmed and No-Finding Items</w:t>
      </w:r>
    </w:p>
    <w:p>
      <w:pPr>
        <w:pStyle w:val="FirstParagraph"/>
      </w:pPr>
      <w:r>
        <w:t xml:space="preserve">The following were examined and found</w:t>
      </w:r>
      <w:r>
        <w:t xml:space="preserve"> </w:t>
      </w:r>
      <w:r>
        <w:rPr>
          <w:b/>
          <w:bCs/>
        </w:rPr>
        <w:t xml:space="preserve">compliant or not present</w:t>
      </w:r>
      <w:r>
        <w:t xml:space="preserve">; they are recorded so the review is complete and so that compliant dimensions are not mistaken for omissions.</w:t>
      </w:r>
    </w:p>
    <w:p>
      <w:pPr>
        <w:pStyle w:val="Compact"/>
        <w:numPr>
          <w:ilvl w:val="0"/>
          <w:numId w:val="1008"/>
        </w:numPr>
      </w:pPr>
      <w:r>
        <w:rPr>
          <w:b/>
          <w:bCs/>
        </w:rPr>
        <w:t xml:space="preserve">Rate-cap compliance for approved timekeepers (§ 5.1) — compliant.</w:t>
      </w:r>
      <w:r>
        <w:t xml:space="preserve"> </w:t>
      </w:r>
      <w:r>
        <w:t xml:space="preserve">Each approved timekeeper’s rate is within the § 5.1 cap: David Hargrove $985 (cap $1,000); Karen Cho $625 (cap $650); James Pettersson $475 (cap $500); Tyler Webb $375 (cap $400); Priya Sengupta $375 (cap $400). The only rate-cap excess is Marcus Tate at $210 (cap $200), addressed in Section V.B. No rate-cap reduction applies to the five approved attorney timekeepers.</w:t>
      </w:r>
    </w:p>
    <w:p>
      <w:pPr>
        <w:pStyle w:val="Compact"/>
        <w:numPr>
          <w:ilvl w:val="0"/>
          <w:numId w:val="1008"/>
        </w:numPr>
      </w:pPr>
      <w:r>
        <w:rPr>
          <w:b/>
          <w:bCs/>
        </w:rPr>
        <w:t xml:space="preserve">No timekeeper misclassification (§ 5.1) — no finding.</w:t>
      </w:r>
      <w:r>
        <w:t xml:space="preserve"> </w:t>
      </w:r>
      <w:r>
        <w:t xml:space="preserve">Section 5.1 prohibits circumventing caps by reclassifying timekeepers. The classifications on the invoice match the timekeepers’ experience levels (e.g., Pettersson and Barros as 4th-year mid-level associates; Webb 2nd-year and Sengupta 1st-year as junior associates; Tate as contract attorney). No misclassification is identified; no adjustment on this basis.</w:t>
      </w:r>
    </w:p>
    <w:p>
      <w:pPr>
        <w:pStyle w:val="Compact"/>
        <w:numPr>
          <w:ilvl w:val="0"/>
          <w:numId w:val="1008"/>
        </w:numPr>
      </w:pPr>
      <w:r>
        <w:rPr>
          <w:b/>
          <w:bCs/>
        </w:rPr>
        <w:t xml:space="preserve">No travel</w:t>
      </w:r>
      <w:r>
        <w:rPr>
          <w:b/>
          <w:bCs/>
        </w:rPr>
        <w:t xml:space="preserve"> </w:t>
      </w:r>
      <w:r>
        <w:rPr>
          <w:b/>
          <w:bCs/>
          <w:i/>
          <w:iCs/>
        </w:rPr>
        <w:t xml:space="preserve">time</w:t>
      </w:r>
      <w:r>
        <w:rPr>
          <w:b/>
          <w:bCs/>
        </w:rPr>
        <w:t xml:space="preserve"> </w:t>
      </w:r>
      <w:r>
        <w:rPr>
          <w:b/>
          <w:bCs/>
        </w:rPr>
        <w:t xml:space="preserve">billed (§ 6.4) — no finding / N/A.</w:t>
      </w:r>
      <w:r>
        <w:t xml:space="preserve"> </w:t>
      </w:r>
      <w:r>
        <w:t xml:space="preserve">Section 6.4 governs travel</w:t>
      </w:r>
      <w:r>
        <w:t xml:space="preserve"> </w:t>
      </w:r>
      <w:r>
        <w:rPr>
          <w:i/>
          <w:iCs/>
        </w:rPr>
        <w:t xml:space="preserve">time</w:t>
      </w:r>
      <w:r>
        <w:t xml:space="preserve"> </w:t>
      </w:r>
      <w:r>
        <w:t xml:space="preserve">billed at 50% (and bars local Atlanta travel entirely). No timekeeper billed travel time for the May 19 Liu deposition; the deposition-attendance entries (60, 61, 62) are for attending/defending the deposition, not travel. The travel</w:t>
      </w:r>
      <w:r>
        <w:t xml:space="preserve"> </w:t>
      </w:r>
      <w:r>
        <w:rPr>
          <w:i/>
          <w:iCs/>
        </w:rPr>
        <w:t xml:space="preserve">expense</w:t>
      </w:r>
      <w:r>
        <w:t xml:space="preserve"> </w:t>
      </w:r>
      <w:r>
        <w:t xml:space="preserve">issue is addressed separately in Section V.J. No § 6.4 time reduction applies.</w:t>
      </w:r>
    </w:p>
    <w:p>
      <w:pPr>
        <w:pStyle w:val="Compact"/>
        <w:numPr>
          <w:ilvl w:val="0"/>
          <w:numId w:val="1008"/>
        </w:numPr>
      </w:pPr>
      <w:r>
        <w:rPr>
          <w:b/>
          <w:bCs/>
        </w:rPr>
        <w:t xml:space="preserve">No § 7.4 budget-adjustment request made.</w:t>
      </w:r>
      <w:r>
        <w:t xml:space="preserve"> </w:t>
      </w:r>
      <w:r>
        <w:t xml:space="preserve">Section 7.4 permits Outside Counsel to request a phase budget adjustment when circumstances change materially (e.g., unexpected discovery volume), but such adjustments</w:t>
      </w:r>
      <w:r>
        <w:t xml:space="preserve"> </w:t>
      </w:r>
      <w:r>
        <w:t xml:space="preserve">“</w:t>
      </w:r>
      <w:r>
        <w:t xml:space="preserve">do not retroactively validate prior overages.</w:t>
      </w:r>
      <w:r>
        <w:t xml:space="preserve">”</w:t>
      </w:r>
      <w:r>
        <w:t xml:space="preserve"> </w:t>
      </w:r>
      <w:r>
        <w:t xml:space="preserve">Although the third production (~85,000 documents) is the type of development § 7.4 contemplates,</w:t>
      </w:r>
      <w:r>
        <w:t xml:space="preserve"> </w:t>
      </w:r>
      <w:r>
        <w:rPr>
          <w:b/>
          <w:bCs/>
        </w:rPr>
        <w:t xml:space="preserve">no written budget-adjustment request was submitted</w:t>
      </w:r>
      <w:r>
        <w:t xml:space="preserve"> </w:t>
      </w:r>
      <w:r>
        <w:t xml:space="preserve">for May 2025, and none is referenced in the Case Status Report. The Firm therefore cannot rely on § 7.4 to cure the § 7.3 overage. If the Firm believes the increased volume justifies a higher ceiling prospectively, it should submit a § 7.4 request with supporting justification and a revised budget for June–September 2025; any approval would apply prospectively only.</w:t>
      </w:r>
    </w:p>
    <w:p>
      <w:pPr>
        <w:pStyle w:val="Compact"/>
        <w:numPr>
          <w:ilvl w:val="0"/>
          <w:numId w:val="1008"/>
        </w:numPr>
      </w:pPr>
      <w:r>
        <w:rPr>
          <w:b/>
          <w:bCs/>
        </w:rPr>
        <w:t xml:space="preserve">Approved-vendor usage (§ 8.4 / Appendix B) — compliant.</w:t>
      </w:r>
      <w:r>
        <w:t xml:space="preserve"> </w:t>
      </w:r>
      <w:r>
        <w:t xml:space="preserve">The three vendor categories used are all Pinnacle-approved: e-discovery hosting (Tripoint Litigation Support LLC), court reporting (Grayson Court Reporting Services), and contract-attorney staffing (Redwood Document Solutions, sourcing Marcus Tate). No non-approved vendor was used; no § 8.4 violation on vendor selection (the Tate</w:t>
      </w:r>
      <w:r>
        <w:t xml:space="preserve"> </w:t>
      </w:r>
      <w:r>
        <w:rPr>
          <w:i/>
          <w:iCs/>
        </w:rPr>
        <w:t xml:space="preserve">rate</w:t>
      </w:r>
      <w:r>
        <w:t xml:space="preserve">, not vendor selection, is the issue in Section V.B).</w:t>
      </w:r>
    </w:p>
    <w:p>
      <w:pPr>
        <w:pStyle w:val="Compact"/>
        <w:numPr>
          <w:ilvl w:val="0"/>
          <w:numId w:val="1008"/>
        </w:numPr>
      </w:pPr>
      <w:r>
        <w:rPr>
          <w:b/>
          <w:bCs/>
        </w:rPr>
        <w:t xml:space="preserve">Designated in-house counsel routing (§ 3.2) — compliant.</w:t>
      </w:r>
      <w:r>
        <w:t xml:space="preserve"> </w:t>
      </w:r>
      <w:r>
        <w:t xml:space="preserve">The staffing request and case-status correspondence were directed to Rachel Dominguez, the Designated In-House Counsel, consistent with § 3.2. No violation.</w:t>
      </w:r>
    </w:p>
    <w:p>
      <w:r>
        <w:pict>
          <v:rect style="width:0;height:1.5pt" o:hralign="center" o:hrstd="t" o:hr="t"/>
        </w:pict>
      </w:r>
    </w:p>
    <w:bookmarkEnd w:id="36"/>
    <w:bookmarkEnd w:id="37"/>
    <w:bookmarkStart w:id="42" w:name="vi.-reduction-summary"/>
    <w:p>
      <w:pPr>
        <w:pStyle w:val="Heading2"/>
      </w:pPr>
      <w:r>
        <w:t xml:space="preserve">VI. Reduction Summary</w:t>
      </w:r>
    </w:p>
    <w:bookmarkStart w:id="38" w:name="X4e93a2ebb03d221257df20c909fe7e5d33c2835"/>
    <w:p>
      <w:pPr>
        <w:pStyle w:val="Heading3"/>
      </w:pPr>
      <w:r>
        <w:t xml:space="preserve">Fee reductions (baseline: audited Time Detail line-item total of $215,680.00)</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Authority</w:t>
            </w:r>
          </w:p>
        </w:tc>
        <w:tc>
          <w:tcPr/>
          <w:p>
            <w:pPr>
              <w:pStyle w:val="Compact"/>
              <w:jc w:val="right"/>
            </w:pPr>
            <w:r>
              <w:t xml:space="preserve">Reduction</w:t>
            </w:r>
          </w:p>
        </w:tc>
      </w:tr>
      <w:tr>
        <w:tc>
          <w:tcPr/>
          <w:p>
            <w:pPr>
              <w:pStyle w:val="Compact"/>
              <w:jc w:val="left"/>
            </w:pPr>
            <w:r>
              <w:t xml:space="preserve">1</w:t>
            </w:r>
          </w:p>
        </w:tc>
        <w:tc>
          <w:tcPr/>
          <w:p>
            <w:pPr>
              <w:pStyle w:val="Compact"/>
              <w:jc w:val="left"/>
            </w:pPr>
            <w:r>
              <w:t xml:space="preserve">Unapproved timekeeper — Nina Barros (49.0 hrs)</w:t>
            </w:r>
          </w:p>
        </w:tc>
        <w:tc>
          <w:tcPr/>
          <w:p>
            <w:pPr>
              <w:pStyle w:val="Compact"/>
              <w:jc w:val="left"/>
            </w:pPr>
            <w:r>
              <w:t xml:space="preserve">§ 4.2; Plan §§ 2.3, 4</w:t>
            </w:r>
          </w:p>
        </w:tc>
        <w:tc>
          <w:tcPr/>
          <w:p>
            <w:pPr>
              <w:pStyle w:val="Compact"/>
              <w:jc w:val="right"/>
            </w:pPr>
            <w:r>
              <w:t xml:space="preserve">$23,275.00</w:t>
            </w:r>
          </w:p>
        </w:tc>
      </w:tr>
      <w:tr>
        <w:tc>
          <w:tcPr/>
          <w:p>
            <w:pPr>
              <w:pStyle w:val="Compact"/>
              <w:jc w:val="left"/>
            </w:pPr>
            <w:r>
              <w:t xml:space="preserve">2</w:t>
            </w:r>
          </w:p>
        </w:tc>
        <w:tc>
          <w:tcPr/>
          <w:p>
            <w:pPr>
              <w:pStyle w:val="Compact"/>
              <w:jc w:val="left"/>
            </w:pPr>
            <w:r>
              <w:t xml:space="preserve">Unapproved timekeeper — Priya Sengupta (27.0 hrs)</w:t>
            </w:r>
          </w:p>
        </w:tc>
        <w:tc>
          <w:tcPr/>
          <w:p>
            <w:pPr>
              <w:pStyle w:val="Compact"/>
              <w:jc w:val="left"/>
            </w:pPr>
            <w:r>
              <w:t xml:space="preserve">§ 4.2; Plan §§ 2.4, 4</w:t>
            </w:r>
          </w:p>
        </w:tc>
        <w:tc>
          <w:tcPr/>
          <w:p>
            <w:pPr>
              <w:pStyle w:val="Compact"/>
              <w:jc w:val="right"/>
            </w:pPr>
            <w:r>
              <w:t xml:space="preserve">$10,125.00</w:t>
            </w:r>
          </w:p>
        </w:tc>
      </w:tr>
      <w:tr>
        <w:tc>
          <w:tcPr/>
          <w:p>
            <w:pPr>
              <w:pStyle w:val="Compact"/>
              <w:jc w:val="left"/>
            </w:pPr>
            <w:r>
              <w:t xml:space="preserve">3</w:t>
            </w:r>
          </w:p>
        </w:tc>
        <w:tc>
          <w:tcPr/>
          <w:p>
            <w:pPr>
              <w:pStyle w:val="Compact"/>
              <w:jc w:val="left"/>
            </w:pPr>
            <w:r>
              <w:t xml:space="preserve">Contract attorney rate $210 → $185 (154.5 hrs)</w:t>
            </w:r>
          </w:p>
        </w:tc>
        <w:tc>
          <w:tcPr/>
          <w:p>
            <w:pPr>
              <w:pStyle w:val="Compact"/>
              <w:jc w:val="left"/>
            </w:pPr>
            <w:r>
              <w:t xml:space="preserve">§ 5.1, § 4.4; Plan §§ 2.5, 6</w:t>
            </w:r>
          </w:p>
        </w:tc>
        <w:tc>
          <w:tcPr/>
          <w:p>
            <w:pPr>
              <w:pStyle w:val="Compact"/>
              <w:jc w:val="right"/>
            </w:pPr>
            <w:r>
              <w:t xml:space="preserve">$3,862.50</w:t>
            </w:r>
          </w:p>
        </w:tc>
      </w:tr>
      <w:tr>
        <w:tc>
          <w:tcPr/>
          <w:p>
            <w:pPr>
              <w:pStyle w:val="Compact"/>
              <w:jc w:val="left"/>
            </w:pPr>
            <w:r>
              <w:t xml:space="preserve">4</w:t>
            </w:r>
          </w:p>
        </w:tc>
        <w:tc>
          <w:tcPr/>
          <w:p>
            <w:pPr>
              <w:pStyle w:val="Compact"/>
              <w:jc w:val="left"/>
            </w:pPr>
            <w:r>
              <w:t xml:space="preserve">Task appropriateness (Entries 9, 43, 79)</w:t>
            </w:r>
          </w:p>
        </w:tc>
        <w:tc>
          <w:tcPr/>
          <w:p>
            <w:pPr>
              <w:pStyle w:val="Compact"/>
              <w:jc w:val="left"/>
            </w:pPr>
            <w:r>
              <w:t xml:space="preserve">§ 6.1</w:t>
            </w:r>
          </w:p>
        </w:tc>
        <w:tc>
          <w:tcPr/>
          <w:p>
            <w:pPr>
              <w:pStyle w:val="Compact"/>
              <w:jc w:val="right"/>
            </w:pPr>
            <w:r>
              <w:t xml:space="preserve">$4,577.50</w:t>
            </w:r>
          </w:p>
        </w:tc>
      </w:tr>
      <w:tr>
        <w:tc>
          <w:tcPr/>
          <w:p>
            <w:pPr>
              <w:pStyle w:val="Compact"/>
              <w:jc w:val="left"/>
            </w:pPr>
            <w:r>
              <w:t xml:space="preserve">5</w:t>
            </w:r>
          </w:p>
        </w:tc>
        <w:tc>
          <w:tcPr/>
          <w:p>
            <w:pPr>
              <w:pStyle w:val="Compact"/>
              <w:jc w:val="left"/>
            </w:pPr>
            <w:r>
              <w:t xml:space="preserve">Administrative / non-billable (Entries 15, 111)</w:t>
            </w:r>
          </w:p>
        </w:tc>
        <w:tc>
          <w:tcPr/>
          <w:p>
            <w:pPr>
              <w:pStyle w:val="Compact"/>
              <w:jc w:val="left"/>
            </w:pPr>
            <w:r>
              <w:t xml:space="preserve">§ 6.1(g)–(k); § 8.2</w:t>
            </w:r>
          </w:p>
        </w:tc>
        <w:tc>
          <w:tcPr/>
          <w:p>
            <w:pPr>
              <w:pStyle w:val="Compact"/>
              <w:jc w:val="right"/>
            </w:pPr>
            <w:r>
              <w:t xml:space="preserve">$2,190.00</w:t>
            </w:r>
          </w:p>
        </w:tc>
      </w:tr>
      <w:tr>
        <w:tc>
          <w:tcPr/>
          <w:p>
            <w:pPr>
              <w:pStyle w:val="Compact"/>
              <w:jc w:val="left"/>
            </w:pPr>
            <w:r>
              <w:t xml:space="preserve">6</w:t>
            </w:r>
          </w:p>
        </w:tc>
        <w:tc>
          <w:tcPr/>
          <w:p>
            <w:pPr>
              <w:pStyle w:val="Compact"/>
              <w:jc w:val="left"/>
            </w:pPr>
            <w:r>
              <w:t xml:space="preserve">Excess deposition timekeeper (Entry 62)</w:t>
            </w:r>
          </w:p>
        </w:tc>
        <w:tc>
          <w:tcPr/>
          <w:p>
            <w:pPr>
              <w:pStyle w:val="Compact"/>
              <w:jc w:val="left"/>
            </w:pPr>
            <w:r>
              <w:t xml:space="preserve">§ 4.3</w:t>
            </w:r>
          </w:p>
        </w:tc>
        <w:tc>
          <w:tcPr/>
          <w:p>
            <w:pPr>
              <w:pStyle w:val="Compact"/>
              <w:jc w:val="right"/>
            </w:pPr>
            <w:r>
              <w:t xml:space="preserve">$2,375.00</w:t>
            </w:r>
          </w:p>
        </w:tc>
      </w:tr>
      <w:tr>
        <w:tc>
          <w:tcPr/>
          <w:p>
            <w:pPr>
              <w:pStyle w:val="Compact"/>
              <w:jc w:val="left"/>
            </w:pPr>
            <w:r>
              <w:t xml:space="preserve">7</w:t>
            </w:r>
          </w:p>
        </w:tc>
        <w:tc>
          <w:tcPr/>
          <w:p>
            <w:pPr>
              <w:pStyle w:val="Compact"/>
              <w:jc w:val="left"/>
            </w:pPr>
            <w:r>
              <w:t xml:space="preserve">Excess internal-meeting timekeeper (Entry 26)</w:t>
            </w:r>
          </w:p>
        </w:tc>
        <w:tc>
          <w:tcPr/>
          <w:p>
            <w:pPr>
              <w:pStyle w:val="Compact"/>
              <w:jc w:val="left"/>
            </w:pPr>
            <w:r>
              <w:t xml:space="preserve">§ 4.3</w:t>
            </w:r>
          </w:p>
        </w:tc>
        <w:tc>
          <w:tcPr/>
          <w:p>
            <w:pPr>
              <w:pStyle w:val="Compact"/>
              <w:jc w:val="right"/>
            </w:pPr>
            <w:r>
              <w:t xml:space="preserve">$937.50</w:t>
            </w:r>
          </w:p>
        </w:tc>
      </w:tr>
      <w:tr>
        <w:tc>
          <w:tcPr/>
          <w:p>
            <w:pPr>
              <w:pStyle w:val="Compact"/>
              <w:jc w:val="left"/>
            </w:pPr>
            <w:r>
              <w:t xml:space="preserve">8</w:t>
            </w:r>
          </w:p>
        </w:tc>
        <w:tc>
          <w:tcPr/>
          <w:p>
            <w:pPr>
              <w:pStyle w:val="Compact"/>
              <w:jc w:val="left"/>
            </w:pPr>
            <w:r>
              <w:t xml:space="preserve">Block billing — 25% across 52 entries (curable)</w:t>
            </w:r>
          </w:p>
        </w:tc>
        <w:tc>
          <w:tcPr/>
          <w:p>
            <w:pPr>
              <w:pStyle w:val="Compact"/>
              <w:jc w:val="left"/>
            </w:pPr>
            <w:r>
              <w:t xml:space="preserve">§ 5.4</w:t>
            </w:r>
          </w:p>
        </w:tc>
        <w:tc>
          <w:tcPr/>
          <w:p>
            <w:pPr>
              <w:pStyle w:val="Compact"/>
              <w:jc w:val="right"/>
            </w:pPr>
            <w:r>
              <w:t xml:space="preserve">$29,402.64</w:t>
            </w:r>
          </w:p>
        </w:tc>
      </w:tr>
      <w:tr>
        <w:tc>
          <w:tcPr/>
          <w:p>
            <w:pPr>
              <w:pStyle w:val="Compact"/>
            </w:pPr>
          </w:p>
        </w:tc>
        <w:tc>
          <w:tcPr/>
          <w:p>
            <w:pPr>
              <w:pStyle w:val="Compact"/>
              <w:jc w:val="left"/>
            </w:pPr>
            <w:r>
              <w:rPr>
                <w:b/>
                <w:bCs/>
              </w:rPr>
              <w:t xml:space="preserve">Total fee reduction</w:t>
            </w:r>
          </w:p>
        </w:tc>
        <w:tc>
          <w:tcPr/>
          <w:p>
            <w:pPr>
              <w:pStyle w:val="Compact"/>
            </w:pPr>
          </w:p>
        </w:tc>
        <w:tc>
          <w:tcPr/>
          <w:p>
            <w:pPr>
              <w:pStyle w:val="Compact"/>
              <w:jc w:val="right"/>
            </w:pPr>
            <w:r>
              <w:rPr>
                <w:b/>
                <w:bCs/>
              </w:rPr>
              <w:t xml:space="preserve">$76,745.14</w:t>
            </w:r>
          </w:p>
        </w:tc>
      </w:tr>
      <w:tr>
        <w:tc>
          <w:tcPr/>
          <w:p>
            <w:pPr>
              <w:pStyle w:val="Compact"/>
            </w:pPr>
          </w:p>
        </w:tc>
        <w:tc>
          <w:tcPr/>
          <w:p>
            <w:pPr>
              <w:pStyle w:val="Compact"/>
              <w:jc w:val="left"/>
            </w:pPr>
            <w:r>
              <w:rPr>
                <w:b/>
                <w:bCs/>
              </w:rPr>
              <w:t xml:space="preserve">Compliant attorney fees payable</w:t>
            </w:r>
          </w:p>
        </w:tc>
        <w:tc>
          <w:tcPr/>
          <w:p>
            <w:pPr>
              <w:pStyle w:val="Compact"/>
            </w:pPr>
          </w:p>
        </w:tc>
        <w:tc>
          <w:tcPr/>
          <w:p>
            <w:pPr>
              <w:pStyle w:val="Compact"/>
              <w:jc w:val="right"/>
            </w:pPr>
            <w:r>
              <w:rPr>
                <w:b/>
                <w:bCs/>
              </w:rPr>
              <w:t xml:space="preserve">$138,934.86</w:t>
            </w:r>
          </w:p>
        </w:tc>
      </w:tr>
    </w:tbl>
    <w:bookmarkEnd w:id="38"/>
    <w:bookmarkStart w:id="39" w:name="expense-reductions-baseline-8450.00"/>
    <w:p>
      <w:pPr>
        <w:pStyle w:val="Heading3"/>
      </w:pPr>
      <w:r>
        <w:t xml:space="preserve">Expense reductions (baseline: $8,450.00)</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Issue</w:t>
            </w:r>
          </w:p>
        </w:tc>
        <w:tc>
          <w:tcPr/>
          <w:p>
            <w:pPr>
              <w:pStyle w:val="Compact"/>
              <w:jc w:val="left"/>
            </w:pPr>
            <w:r>
              <w:t xml:space="preserve">Authority</w:t>
            </w:r>
          </w:p>
        </w:tc>
        <w:tc>
          <w:tcPr/>
          <w:p>
            <w:pPr>
              <w:pStyle w:val="Compact"/>
              <w:jc w:val="right"/>
            </w:pPr>
            <w:r>
              <w:t xml:space="preserve">Reduction</w:t>
            </w:r>
          </w:p>
        </w:tc>
      </w:tr>
      <w:tr>
        <w:tc>
          <w:tcPr/>
          <w:p>
            <w:pPr>
              <w:pStyle w:val="Compact"/>
              <w:jc w:val="left"/>
            </w:pPr>
            <w:r>
              <w:t xml:space="preserve">Local travel to firm’s own office (Hargrove &amp; Cho)</w:t>
            </w:r>
          </w:p>
        </w:tc>
        <w:tc>
          <w:tcPr/>
          <w:p>
            <w:pPr>
              <w:pStyle w:val="Compact"/>
              <w:jc w:val="left"/>
            </w:pPr>
            <w:r>
              <w:t xml:space="preserve">§ 6.4; § 8.2; § 8.3</w:t>
            </w:r>
          </w:p>
        </w:tc>
        <w:tc>
          <w:tcPr/>
          <w:p>
            <w:pPr>
              <w:pStyle w:val="Compact"/>
              <w:jc w:val="right"/>
            </w:pPr>
            <w:r>
              <w:t xml:space="preserve">$2,100.00</w:t>
            </w:r>
          </w:p>
        </w:tc>
      </w:tr>
      <w:tr>
        <w:tc>
          <w:tcPr/>
          <w:p>
            <w:pPr>
              <w:pStyle w:val="Compact"/>
              <w:jc w:val="left"/>
            </w:pPr>
            <w:r>
              <w:rPr>
                <w:b/>
                <w:bCs/>
              </w:rPr>
              <w:t xml:space="preserve">Compliant expenses payable</w:t>
            </w:r>
          </w:p>
        </w:tc>
        <w:tc>
          <w:tcPr/>
          <w:p>
            <w:pPr>
              <w:pStyle w:val="Compact"/>
            </w:pPr>
          </w:p>
        </w:tc>
        <w:tc>
          <w:tcPr/>
          <w:p>
            <w:pPr>
              <w:pStyle w:val="Compact"/>
              <w:jc w:val="right"/>
            </w:pPr>
            <w:r>
              <w:rPr>
                <w:b/>
                <w:bCs/>
              </w:rPr>
              <w:t xml:space="preserve">$6,350.00</w:t>
            </w:r>
          </w:p>
        </w:tc>
      </w:tr>
    </w:tbl>
    <w:bookmarkEnd w:id="39"/>
    <w:bookmarkStart w:id="40" w:name="total"/>
    <w:p>
      <w:pPr>
        <w:pStyle w:val="Heading3"/>
      </w:pPr>
      <w:r>
        <w:t xml:space="preserve">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Audited line-item total (fees + expenses)</w:t>
            </w:r>
          </w:p>
        </w:tc>
        <w:tc>
          <w:tcPr/>
          <w:p>
            <w:pPr>
              <w:pStyle w:val="Compact"/>
              <w:jc w:val="right"/>
            </w:pPr>
            <w:r>
              <w:t xml:space="preserve">$224,130.00</w:t>
            </w:r>
          </w:p>
        </w:tc>
      </w:tr>
      <w:tr>
        <w:tc>
          <w:tcPr/>
          <w:p>
            <w:pPr>
              <w:pStyle w:val="Compact"/>
              <w:jc w:val="left"/>
            </w:pPr>
            <w:r>
              <w:rPr>
                <w:b/>
                <w:bCs/>
              </w:rPr>
              <w:t xml:space="preserve">Total recommended reduction</w:t>
            </w:r>
          </w:p>
        </w:tc>
        <w:tc>
          <w:tcPr/>
          <w:p>
            <w:pPr>
              <w:pStyle w:val="Compact"/>
              <w:jc w:val="right"/>
            </w:pPr>
            <w:r>
              <w:rPr>
                <w:b/>
                <w:bCs/>
              </w:rPr>
              <w:t xml:space="preserve">$78,845.14</w:t>
            </w:r>
          </w:p>
        </w:tc>
      </w:tr>
      <w:tr>
        <w:tc>
          <w:tcPr/>
          <w:p>
            <w:pPr>
              <w:pStyle w:val="Compact"/>
              <w:jc w:val="left"/>
            </w:pPr>
            <w:r>
              <w:rPr>
                <w:b/>
                <w:bCs/>
              </w:rPr>
              <w:t xml:space="preserve">Recommended total payable</w:t>
            </w:r>
          </w:p>
        </w:tc>
        <w:tc>
          <w:tcPr/>
          <w:p>
            <w:pPr>
              <w:pStyle w:val="Compact"/>
              <w:jc w:val="right"/>
            </w:pPr>
            <w:r>
              <w:rPr>
                <w:b/>
                <w:bCs/>
              </w:rPr>
              <w:t xml:space="preserve">$145,284.86</w:t>
            </w:r>
          </w:p>
        </w:tc>
      </w:tr>
      <w:tr>
        <w:tc>
          <w:tcPr/>
          <w:p>
            <w:pPr>
              <w:pStyle w:val="Compact"/>
              <w:jc w:val="left"/>
            </w:pPr>
            <w:r>
              <w:t xml:space="preserve">Invoice TOTAL DUE as stated</w:t>
            </w:r>
          </w:p>
        </w:tc>
        <w:tc>
          <w:tcPr/>
          <w:p>
            <w:pPr>
              <w:pStyle w:val="Compact"/>
              <w:jc w:val="right"/>
            </w:pPr>
            <w:r>
              <w:t xml:space="preserve">$201,822.50</w:t>
            </w:r>
          </w:p>
        </w:tc>
      </w:tr>
      <w:tr>
        <w:tc>
          <w:tcPr/>
          <w:p>
            <w:pPr>
              <w:pStyle w:val="Compact"/>
              <w:jc w:val="left"/>
            </w:pPr>
            <w:r>
              <w:t xml:space="preserve">Reduction versus stated TOTAL DUE</w:t>
            </w:r>
          </w:p>
        </w:tc>
        <w:tc>
          <w:tcPr/>
          <w:p>
            <w:pPr>
              <w:pStyle w:val="Compact"/>
              <w:jc w:val="right"/>
            </w:pPr>
            <w:r>
              <w:t xml:space="preserve">$56,537.64</w:t>
            </w:r>
          </w:p>
        </w:tc>
      </w:tr>
    </w:tbl>
    <w:bookmarkEnd w:id="40"/>
    <w:bookmarkStart w:id="41" w:name="X2cd852c62f821df1a13b02a4299d89a4aead7cf"/>
    <w:p>
      <w:pPr>
        <w:pStyle w:val="Heading3"/>
      </w:pPr>
      <w:r>
        <w:t xml:space="preserve">Per-timekeeper summary (audited line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right"/>
            </w:pPr>
            <w:r>
              <w:t xml:space="preserve">Billed</w:t>
            </w:r>
          </w:p>
        </w:tc>
        <w:tc>
          <w:tcPr/>
          <w:p>
            <w:pPr>
              <w:pStyle w:val="Compact"/>
              <w:jc w:val="right"/>
            </w:pPr>
            <w:r>
              <w:t xml:space="preserve">Payable</w:t>
            </w:r>
          </w:p>
        </w:tc>
        <w:tc>
          <w:tcPr/>
          <w:p>
            <w:pPr>
              <w:pStyle w:val="Compact"/>
              <w:jc w:val="right"/>
            </w:pPr>
            <w:r>
              <w:t xml:space="preserve">Reduction</w:t>
            </w:r>
          </w:p>
        </w:tc>
      </w:tr>
      <w:tr>
        <w:tc>
          <w:tcPr/>
          <w:p>
            <w:pPr>
              <w:pStyle w:val="Compact"/>
              <w:jc w:val="left"/>
            </w:pPr>
            <w:r>
              <w:t xml:space="preserve">David Hargrove</w:t>
            </w:r>
          </w:p>
        </w:tc>
        <w:tc>
          <w:tcPr/>
          <w:p>
            <w:pPr>
              <w:pStyle w:val="Compact"/>
              <w:jc w:val="right"/>
            </w:pPr>
            <w:r>
              <w:t xml:space="preserve">$37,922.50</w:t>
            </w:r>
          </w:p>
        </w:tc>
        <w:tc>
          <w:tcPr/>
          <w:p>
            <w:pPr>
              <w:pStyle w:val="Compact"/>
              <w:jc w:val="right"/>
            </w:pPr>
            <w:r>
              <w:t xml:space="preserve">$27,502.48</w:t>
            </w:r>
          </w:p>
        </w:tc>
        <w:tc>
          <w:tcPr/>
          <w:p>
            <w:pPr>
              <w:pStyle w:val="Compact"/>
              <w:jc w:val="right"/>
            </w:pPr>
            <w:r>
              <w:t xml:space="preserve">$10,420.02</w:t>
            </w:r>
          </w:p>
        </w:tc>
      </w:tr>
      <w:tr>
        <w:tc>
          <w:tcPr/>
          <w:p>
            <w:pPr>
              <w:pStyle w:val="Compact"/>
              <w:jc w:val="left"/>
            </w:pPr>
            <w:r>
              <w:t xml:space="preserve">Karen Cho</w:t>
            </w:r>
          </w:p>
        </w:tc>
        <w:tc>
          <w:tcPr/>
          <w:p>
            <w:pPr>
              <w:pStyle w:val="Compact"/>
              <w:jc w:val="right"/>
            </w:pPr>
            <w:r>
              <w:t xml:space="preserve">$55,937.50</w:t>
            </w:r>
          </w:p>
        </w:tc>
        <w:tc>
          <w:tcPr/>
          <w:p>
            <w:pPr>
              <w:pStyle w:val="Compact"/>
              <w:jc w:val="right"/>
            </w:pPr>
            <w:r>
              <w:t xml:space="preserve">$42,421.81</w:t>
            </w:r>
          </w:p>
        </w:tc>
        <w:tc>
          <w:tcPr/>
          <w:p>
            <w:pPr>
              <w:pStyle w:val="Compact"/>
              <w:jc w:val="right"/>
            </w:pPr>
            <w:r>
              <w:t xml:space="preserve">$13,515.69</w:t>
            </w:r>
          </w:p>
        </w:tc>
      </w:tr>
      <w:tr>
        <w:tc>
          <w:tcPr/>
          <w:p>
            <w:pPr>
              <w:pStyle w:val="Compact"/>
              <w:jc w:val="left"/>
            </w:pPr>
            <w:r>
              <w:t xml:space="preserve">James Pettersson</w:t>
            </w:r>
          </w:p>
        </w:tc>
        <w:tc>
          <w:tcPr/>
          <w:p>
            <w:pPr>
              <w:pStyle w:val="Compact"/>
              <w:jc w:val="right"/>
            </w:pPr>
            <w:r>
              <w:t xml:space="preserve">$43,225.00</w:t>
            </w:r>
          </w:p>
        </w:tc>
        <w:tc>
          <w:tcPr/>
          <w:p>
            <w:pPr>
              <w:pStyle w:val="Compact"/>
              <w:jc w:val="right"/>
            </w:pPr>
            <w:r>
              <w:t xml:space="preserve">$31,290.59</w:t>
            </w:r>
          </w:p>
        </w:tc>
        <w:tc>
          <w:tcPr/>
          <w:p>
            <w:pPr>
              <w:pStyle w:val="Compact"/>
              <w:jc w:val="right"/>
            </w:pPr>
            <w:r>
              <w:t xml:space="preserve">$11,934.41</w:t>
            </w:r>
          </w:p>
        </w:tc>
      </w:tr>
      <w:tr>
        <w:tc>
          <w:tcPr/>
          <w:p>
            <w:pPr>
              <w:pStyle w:val="Compact"/>
              <w:jc w:val="left"/>
            </w:pPr>
            <w:r>
              <w:t xml:space="preserve">Tyler Webb</w:t>
            </w:r>
          </w:p>
        </w:tc>
        <w:tc>
          <w:tcPr/>
          <w:p>
            <w:pPr>
              <w:pStyle w:val="Compact"/>
              <w:jc w:val="right"/>
            </w:pPr>
            <w:r>
              <w:t xml:space="preserve">$12,750.00</w:t>
            </w:r>
          </w:p>
        </w:tc>
        <w:tc>
          <w:tcPr/>
          <w:p>
            <w:pPr>
              <w:pStyle w:val="Compact"/>
              <w:jc w:val="right"/>
            </w:pPr>
            <w:r>
              <w:t xml:space="preserve">$9,137.48</w:t>
            </w:r>
          </w:p>
        </w:tc>
        <w:tc>
          <w:tcPr/>
          <w:p>
            <w:pPr>
              <w:pStyle w:val="Compact"/>
              <w:jc w:val="right"/>
            </w:pPr>
            <w:r>
              <w:t xml:space="preserve">$3,612.52</w:t>
            </w:r>
          </w:p>
        </w:tc>
      </w:tr>
      <w:tr>
        <w:tc>
          <w:tcPr/>
          <w:p>
            <w:pPr>
              <w:pStyle w:val="Compact"/>
              <w:jc w:val="left"/>
            </w:pPr>
            <w:r>
              <w:t xml:space="preserve">Marcus Tate</w:t>
            </w:r>
          </w:p>
        </w:tc>
        <w:tc>
          <w:tcPr/>
          <w:p>
            <w:pPr>
              <w:pStyle w:val="Compact"/>
              <w:jc w:val="right"/>
            </w:pPr>
            <w:r>
              <w:t xml:space="preserve">$32,445.00</w:t>
            </w:r>
          </w:p>
        </w:tc>
        <w:tc>
          <w:tcPr/>
          <w:p>
            <w:pPr>
              <w:pStyle w:val="Compact"/>
              <w:jc w:val="right"/>
            </w:pPr>
            <w:r>
              <w:t xml:space="preserve">$28,582.50</w:t>
            </w:r>
          </w:p>
        </w:tc>
        <w:tc>
          <w:tcPr/>
          <w:p>
            <w:pPr>
              <w:pStyle w:val="Compact"/>
              <w:jc w:val="right"/>
            </w:pPr>
            <w:r>
              <w:t xml:space="preserve">$3,862.50</w:t>
            </w:r>
          </w:p>
        </w:tc>
      </w:tr>
      <w:tr>
        <w:tc>
          <w:tcPr/>
          <w:p>
            <w:pPr>
              <w:pStyle w:val="Compact"/>
              <w:jc w:val="left"/>
            </w:pPr>
            <w:r>
              <w:t xml:space="preserve">Nina Barros</w:t>
            </w:r>
          </w:p>
        </w:tc>
        <w:tc>
          <w:tcPr/>
          <w:p>
            <w:pPr>
              <w:pStyle w:val="Compact"/>
              <w:jc w:val="right"/>
            </w:pPr>
            <w:r>
              <w:t xml:space="preserve">$23,275.00</w:t>
            </w:r>
          </w:p>
        </w:tc>
        <w:tc>
          <w:tcPr/>
          <w:p>
            <w:pPr>
              <w:pStyle w:val="Compact"/>
              <w:jc w:val="right"/>
            </w:pPr>
            <w:r>
              <w:t xml:space="preserve">$0.00</w:t>
            </w:r>
          </w:p>
        </w:tc>
        <w:tc>
          <w:tcPr/>
          <w:p>
            <w:pPr>
              <w:pStyle w:val="Compact"/>
              <w:jc w:val="right"/>
            </w:pPr>
            <w:r>
              <w:t xml:space="preserve">$23,275.00</w:t>
            </w:r>
          </w:p>
        </w:tc>
      </w:tr>
      <w:tr>
        <w:tc>
          <w:tcPr/>
          <w:p>
            <w:pPr>
              <w:pStyle w:val="Compact"/>
              <w:jc w:val="left"/>
            </w:pPr>
            <w:r>
              <w:t xml:space="preserve">Priya Sengupta</w:t>
            </w:r>
          </w:p>
        </w:tc>
        <w:tc>
          <w:tcPr/>
          <w:p>
            <w:pPr>
              <w:pStyle w:val="Compact"/>
              <w:jc w:val="right"/>
            </w:pPr>
            <w:r>
              <w:t xml:space="preserve">$10,125.00</w:t>
            </w:r>
          </w:p>
        </w:tc>
        <w:tc>
          <w:tcPr/>
          <w:p>
            <w:pPr>
              <w:pStyle w:val="Compact"/>
              <w:jc w:val="right"/>
            </w:pPr>
            <w:r>
              <w:t xml:space="preserve">$0.00</w:t>
            </w:r>
          </w:p>
        </w:tc>
        <w:tc>
          <w:tcPr/>
          <w:p>
            <w:pPr>
              <w:pStyle w:val="Compact"/>
              <w:jc w:val="right"/>
            </w:pPr>
            <w:r>
              <w:t xml:space="preserve">$10,125.00</w:t>
            </w:r>
          </w:p>
        </w:tc>
      </w:tr>
      <w:tr>
        <w:tc>
          <w:tcPr/>
          <w:p>
            <w:pPr>
              <w:pStyle w:val="Compact"/>
              <w:jc w:val="left"/>
            </w:pPr>
            <w:r>
              <w:rPr>
                <w:b/>
                <w:bCs/>
              </w:rPr>
              <w:t xml:space="preserve">Total</w:t>
            </w:r>
          </w:p>
        </w:tc>
        <w:tc>
          <w:tcPr/>
          <w:p>
            <w:pPr>
              <w:pStyle w:val="Compact"/>
              <w:jc w:val="right"/>
            </w:pPr>
            <w:r>
              <w:rPr>
                <w:b/>
                <w:bCs/>
              </w:rPr>
              <w:t xml:space="preserve">$215,680.00</w:t>
            </w:r>
          </w:p>
        </w:tc>
        <w:tc>
          <w:tcPr/>
          <w:p>
            <w:pPr>
              <w:pStyle w:val="Compact"/>
              <w:jc w:val="right"/>
            </w:pPr>
            <w:r>
              <w:rPr>
                <w:b/>
                <w:bCs/>
              </w:rPr>
              <w:t xml:space="preserve">$138,934.86</w:t>
            </w:r>
          </w:p>
        </w:tc>
        <w:tc>
          <w:tcPr/>
          <w:p>
            <w:pPr>
              <w:pStyle w:val="Compact"/>
              <w:jc w:val="right"/>
            </w:pPr>
            <w:r>
              <w:rPr>
                <w:b/>
                <w:bCs/>
              </w:rPr>
              <w:t xml:space="preserve">$76,745.14</w:t>
            </w:r>
          </w:p>
        </w:tc>
      </w:tr>
    </w:tbl>
    <w:p>
      <w:r>
        <w:pict>
          <v:rect style="width:0;height:1.5pt" o:hralign="center" o:hrstd="t" o:hr="t"/>
        </w:pict>
      </w:r>
    </w:p>
    <w:bookmarkEnd w:id="41"/>
    <w:bookmarkEnd w:id="42"/>
    <w:bookmarkStart w:id="43" w:name="vii.-recommended-actions"/>
    <w:p>
      <w:pPr>
        <w:pStyle w:val="Heading2"/>
      </w:pPr>
      <w:r>
        <w:t xml:space="preserve">VII. Recommended Actions</w:t>
      </w:r>
    </w:p>
    <w:p>
      <w:pPr>
        <w:numPr>
          <w:ilvl w:val="0"/>
          <w:numId w:val="1009"/>
        </w:numPr>
      </w:pPr>
      <w:r>
        <w:rPr>
          <w:b/>
          <w:bCs/>
        </w:rPr>
        <w:t xml:space="preserve">Return the invoice for correction.</w:t>
      </w:r>
      <w:r>
        <w:t xml:space="preserve"> </w:t>
      </w:r>
      <w:r>
        <w:t xml:space="preserve">Do not process for payment until the Firm submits a reconciled invoice in which (a) the Summary page foots to the Time Detail line items, (b) a § 7.2/9.1(g) budget-to-actual reconciliation is included, (c) the unapproved timekeepers (Barros, Sengupta) and the disallowed entries are removed or corrected, (d) the Pinnacle matter number is stated (§ 9.1(a)), and (e) the payment term is corrected to conform to the 45-day review window in § 9.3 (no</w:t>
      </w:r>
      <w:r>
        <w:t xml:space="preserve"> </w:t>
      </w:r>
      <w:r>
        <w:t xml:space="preserve">“</w:t>
      </w:r>
      <w:r>
        <w:t xml:space="preserve">Net 30</w:t>
      </w:r>
      <w:r>
        <w:t xml:space="preserve">”</w:t>
      </w:r>
      <w:r>
        <w:t xml:space="preserve"> </w:t>
      </w:r>
      <w:r>
        <w:t xml:space="preserve">demand).</w:t>
      </w:r>
    </w:p>
    <w:p>
      <w:pPr>
        <w:numPr>
          <w:ilvl w:val="0"/>
          <w:numId w:val="1009"/>
        </w:numPr>
      </w:pPr>
      <w:r>
        <w:rPr>
          <w:b/>
          <w:bCs/>
        </w:rPr>
        <w:t xml:space="preserve">Reject all fees of Nina Barros ($23,275.00) and Priya Sengupta ($10,125.00)</w:t>
      </w:r>
      <w:r>
        <w:t xml:space="preserve"> </w:t>
      </w:r>
      <w:r>
        <w:t xml:space="preserve">as unapproved timekeepers under § 4.2. If the Firm wishes to add either going forward, it must submit a complete written staffing-change request (name, role, rate, reason, anticipated hours, and budget impact) and obtain written approval</w:t>
      </w:r>
      <w:r>
        <w:t xml:space="preserve"> </w:t>
      </w:r>
      <w:r>
        <w:rPr>
          <w:b/>
          <w:bCs/>
        </w:rPr>
        <w:t xml:space="preserve">before</w:t>
      </w:r>
      <w:r>
        <w:t xml:space="preserve"> </w:t>
      </w:r>
      <w:r>
        <w:t xml:space="preserve">any further work.</w:t>
      </w:r>
    </w:p>
    <w:p>
      <w:pPr>
        <w:numPr>
          <w:ilvl w:val="0"/>
          <w:numId w:val="1009"/>
        </w:numPr>
      </w:pPr>
      <w:r>
        <w:rPr>
          <w:b/>
          <w:bCs/>
        </w:rPr>
        <w:t xml:space="preserve">Reduce Marcus Tate’s rate to $185/hr</w:t>
      </w:r>
      <w:r>
        <w:t xml:space="preserve"> </w:t>
      </w:r>
      <w:r>
        <w:t xml:space="preserve">(the approved pass-through rate) and require the Firm to substantiate that the rate reflects the vendor’s actual cost with no markup.</w:t>
      </w:r>
    </w:p>
    <w:p>
      <w:pPr>
        <w:numPr>
          <w:ilvl w:val="0"/>
          <w:numId w:val="1009"/>
        </w:numPr>
      </w:pPr>
      <w:r>
        <w:rPr>
          <w:b/>
          <w:bCs/>
        </w:rPr>
        <w:t xml:space="preserve">Apply the § 5.4 block-billing reductions (25%)</w:t>
      </w:r>
      <w:r>
        <w:t xml:space="preserve"> </w:t>
      </w:r>
      <w:r>
        <w:t xml:space="preserve">and notify the Firm it has 15 days to cure by resubmitting block-billed entries as separately timed line items; recalculate upon resubmission.</w:t>
      </w:r>
    </w:p>
    <w:p>
      <w:pPr>
        <w:numPr>
          <w:ilvl w:val="0"/>
          <w:numId w:val="1009"/>
        </w:numPr>
      </w:pPr>
      <w:r>
        <w:rPr>
          <w:b/>
          <w:bCs/>
        </w:rPr>
        <w:t xml:space="preserve">Apply the § 6.1 task-releveling</w:t>
      </w:r>
      <w:r>
        <w:t xml:space="preserve"> </w:t>
      </w:r>
      <w:r>
        <w:t xml:space="preserve">(Entries 9, 43, 79) and the administrative write-offs (Entries 15, 111).</w:t>
      </w:r>
    </w:p>
    <w:p>
      <w:pPr>
        <w:numPr>
          <w:ilvl w:val="0"/>
          <w:numId w:val="1009"/>
        </w:numPr>
      </w:pPr>
      <w:r>
        <w:rPr>
          <w:b/>
          <w:bCs/>
        </w:rPr>
        <w:t xml:space="preserve">Apply the § 4.3 staffing reductions</w:t>
      </w:r>
      <w:r>
        <w:t xml:space="preserve"> </w:t>
      </w:r>
      <w:r>
        <w:t xml:space="preserve">for the excess meeting timekeeper (Entry 26) and the excess deposition timekeeper (Entry 62).</w:t>
      </w:r>
    </w:p>
    <w:p>
      <w:pPr>
        <w:numPr>
          <w:ilvl w:val="0"/>
          <w:numId w:val="1009"/>
        </w:numPr>
      </w:pPr>
      <w:r>
        <w:rPr>
          <w:b/>
          <w:bCs/>
        </w:rPr>
        <w:t xml:space="preserve">Reject the $2,100.00 travel expense</w:t>
      </w:r>
      <w:r>
        <w:t xml:space="preserve"> </w:t>
      </w:r>
      <w:r>
        <w:t xml:space="preserve">(local travel to the Firm’s own office); approve the remaining expenses subject to receipt/pre-approval verification noted in Section V.J.</w:t>
      </w:r>
    </w:p>
    <w:p>
      <w:pPr>
        <w:numPr>
          <w:ilvl w:val="0"/>
          <w:numId w:val="1009"/>
        </w:numPr>
      </w:pPr>
      <w:r>
        <w:rPr>
          <w:b/>
          <w:bCs/>
        </w:rPr>
        <w:t xml:space="preserve">Document the § 7.3 budget-overage violation</w:t>
      </w:r>
      <w:r>
        <w:t xml:space="preserve"> </w:t>
      </w:r>
      <w:r>
        <w:t xml:space="preserve">and require written pre-approval before any future monthly invoice exceeding the $189,750 cap. If the Firm contends the third-production volume justifies a higher ceiling, it must submit a written § 7.4 budget-adjustment request with supporting justification and a revised June–September 2025 budget; any approval applies prospectively only and does not cure the May overage.</w:t>
      </w:r>
    </w:p>
    <w:p>
      <w:pPr>
        <w:numPr>
          <w:ilvl w:val="0"/>
          <w:numId w:val="1009"/>
        </w:numPr>
      </w:pPr>
      <w:r>
        <w:rPr>
          <w:b/>
          <w:bCs/>
        </w:rPr>
        <w:t xml:space="preserve">Pay no more than $145,284.86</w:t>
      </w:r>
      <w:r>
        <w:t xml:space="preserve"> </w:t>
      </w:r>
      <w:r>
        <w:t xml:space="preserve">(fees $138,934.86 + expenses $6,350.00) and only after a corrected, reconciled invoice is submitted. If the Firm cures the block-billing entries by timely resubmission, the payable is to be recalculated upward consistent with Section V.C, subject to all other reductions.</w:t>
      </w:r>
    </w:p>
    <w:p>
      <w:pPr>
        <w:numPr>
          <w:ilvl w:val="0"/>
          <w:numId w:val="1009"/>
        </w:numPr>
      </w:pPr>
      <w:r>
        <w:rPr>
          <w:b/>
          <w:bCs/>
        </w:rPr>
        <w:t xml:space="preserve">Escalation / appeal.</w:t>
      </w:r>
      <w:r>
        <w:t xml:space="preserve"> </w:t>
      </w:r>
      <w:r>
        <w:t xml:space="preserve">Should the Firm dispute any reduction, it may submit a written appeal to the Designated In-House Counsel within 30 days under § 10.3, identifying the specific entries and basis for disagreement.</w:t>
      </w:r>
    </w:p>
    <w:p>
      <w:r>
        <w:pict>
          <v:rect style="width:0;height:1.5pt" o:hralign="center" o:hrstd="t" o:hr="t"/>
        </w:pict>
      </w:r>
    </w:p>
    <w:p>
      <w:pPr>
        <w:pStyle w:val="FirstParagraph"/>
      </w:pPr>
      <w:r>
        <w:rPr>
          <w:i/>
          <w:iCs/>
        </w:rPr>
        <w:t xml:space="preserve">Prepared by the Office of the General Counsel, Litigation Billing Review. This memorandum is privileged and confidential, prepared in anticipation of litigation, and intended solely for internal use by Pinnacle Health Systems, Inc.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2026-06-27T01:36:31Z</dcterms:created>
  <dcterms:modified xsi:type="dcterms:W3CDTF">2026-06-27T01:36:31Z</dcterms:modified>
</cp:coreProperties>
</file>

<file path=docProps/custom.xml><?xml version="1.0" encoding="utf-8"?>
<Properties xmlns="http://schemas.openxmlformats.org/officeDocument/2006/custom-properties" xmlns:vt="http://schemas.openxmlformats.org/officeDocument/2006/docPropsVTypes"/>
</file>