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cs="Times New Roman"/>
          <w:b/>
          <w:i w:val="0"/>
          <w:sz w:val="24"/>
          <w:u w:val="none"/>
        </w:rPr>
        <w:t>IN THE UNITED STATES DISTRICT COURT</w:t>
      </w:r>
    </w:p>
    <w:p>
      <w:pPr>
        <w:spacing w:after="0" w:before="0" w:line="276" w:lineRule="auto"/>
        <w:jc w:val="center"/>
      </w:pPr>
      <w:r>
        <w:rPr>
          <w:rFonts w:ascii="Times New Roman" w:hAnsi="Times New Roman" w:cs="Times New Roman"/>
          <w:b/>
          <w:i w:val="0"/>
          <w:sz w:val="24"/>
          <w:u w:val="none"/>
        </w:rPr>
        <w:t>FOR THE WESTERN DISTRICT OF TEXAS</w:t>
      </w:r>
    </w:p>
    <w:p>
      <w:pPr>
        <w:spacing w:after="160" w:before="0" w:line="276" w:lineRule="auto"/>
        <w:jc w:val="center"/>
      </w:pPr>
      <w:r>
        <w:rPr>
          <w:rFonts w:ascii="Times New Roman" w:hAnsi="Times New Roman" w:cs="Times New Roman"/>
          <w:b/>
          <w:i w:val="0"/>
          <w:sz w:val="24"/>
          <w:u w:val="none"/>
        </w:rPr>
        <w:t>AUSTIN DIVISION</w:t>
      </w:r>
    </w:p>
    <w:tbl>
      <w:tblPr>
        <w:tblW w:type="auto" w:w="0"/>
        <w:jc w:val="center"/>
        <w:tblLayout w:type="fixed"/>
        <w:tblLook w:firstColumn="1" w:firstRow="1" w:lastColumn="0" w:lastRow="0" w:noHBand="0" w:noVBand="1" w:val="04A0"/>
      </w:tblPr>
      <w:tblGrid>
        <w:gridCol w:w="5760"/>
        <w:gridCol w:w="3600"/>
      </w:tblGrid>
      <w:tr>
        <w:tc>
          <w:tcPr>
            <w:tcW w:type="dxa" w:w="5760"/>
          </w:tcPr>
          <w:p>
            <w:pPr>
              <w:spacing w:after="0" w:line="240" w:lineRule="auto"/>
              <w:jc w:val="left"/>
            </w:pPr>
            <w:r>
              <w:rPr>
                <w:rFonts w:ascii="Times New Roman" w:hAnsi="Times New Roman" w:cs="Times New Roman"/>
                <w:b w:val="0"/>
                <w:i w:val="0"/>
                <w:sz w:val="24"/>
                <w:u w:val="none"/>
              </w:rPr>
              <w:t>CASTILLO MEDICAL TECHNOLOGIES, INC.,</w:t>
            </w:r>
          </w:p>
          <w:p>
            <w:pPr>
              <w:spacing w:after="0" w:line="240" w:lineRule="auto"/>
              <w:jc w:val="left"/>
            </w:pPr>
            <w:r>
              <w:rPr>
                <w:rFonts w:ascii="Times New Roman" w:hAnsi="Times New Roman" w:cs="Times New Roman"/>
                <w:b w:val="0"/>
                <w:i w:val="0"/>
                <w:sz w:val="24"/>
                <w:u w:val="none"/>
              </w:rPr>
              <w:t>a Delaware corporation,</w:t>
            </w:r>
          </w:p>
          <w:p>
            <w:pPr>
              <w:spacing w:after="0" w:line="240" w:lineRule="auto"/>
              <w:jc w:val="left"/>
            </w:pPr>
            <w:r>
              <w:rPr>
                <w:rFonts w:ascii="Times New Roman" w:hAnsi="Times New Roman" w:cs="Times New Roman"/>
                <w:b w:val="0"/>
                <w:i w:val="0"/>
                <w:sz w:val="24"/>
                <w:u w:val="none"/>
              </w:rPr>
              <w:tab/>
              <w:tab/>
              <w:t>Plaintiff,</w:t>
            </w:r>
          </w:p>
          <w:p>
            <w:pPr>
              <w:spacing w:after="0" w:line="240" w:lineRule="auto"/>
              <w:jc w:val="left"/>
            </w:pPr>
            <w:r>
              <w:rPr>
                <w:rFonts w:ascii="Times New Roman" w:hAnsi="Times New Roman" w:cs="Times New Roman"/>
                <w:b w:val="0"/>
                <w:i w:val="0"/>
                <w:sz w:val="24"/>
                <w:u w:val="none"/>
              </w:rPr>
              <w:t>v.</w:t>
            </w:r>
          </w:p>
          <w:p>
            <w:pPr>
              <w:spacing w:after="0" w:line="240" w:lineRule="auto"/>
              <w:jc w:val="left"/>
            </w:pPr>
            <w:r>
              <w:rPr>
                <w:rFonts w:ascii="Times New Roman" w:hAnsi="Times New Roman" w:cs="Times New Roman"/>
                <w:b w:val="0"/>
                <w:i w:val="0"/>
                <w:sz w:val="24"/>
                <w:u w:val="none"/>
              </w:rPr>
              <w:t>RYAN OSHIRO, an individual; and</w:t>
            </w:r>
          </w:p>
          <w:p>
            <w:pPr>
              <w:spacing w:after="0" w:line="240" w:lineRule="auto"/>
              <w:jc w:val="left"/>
            </w:pPr>
            <w:r>
              <w:rPr>
                <w:rFonts w:ascii="Times New Roman" w:hAnsi="Times New Roman" w:cs="Times New Roman"/>
                <w:b w:val="0"/>
                <w:i w:val="0"/>
                <w:sz w:val="24"/>
                <w:u w:val="none"/>
              </w:rPr>
              <w:t>VERIDIAN HEALTH SYSTEMS, LLC,</w:t>
            </w:r>
          </w:p>
          <w:p>
            <w:pPr>
              <w:spacing w:after="0" w:line="240" w:lineRule="auto"/>
              <w:jc w:val="left"/>
            </w:pPr>
            <w:r>
              <w:rPr>
                <w:rFonts w:ascii="Times New Roman" w:hAnsi="Times New Roman" w:cs="Times New Roman"/>
                <w:b w:val="0"/>
                <w:i w:val="0"/>
                <w:sz w:val="24"/>
                <w:u w:val="none"/>
              </w:rPr>
              <w:t>a Virginia limited liability company,</w:t>
            </w:r>
          </w:p>
          <w:p>
            <w:pPr>
              <w:spacing w:after="0" w:line="240" w:lineRule="auto"/>
              <w:jc w:val="left"/>
            </w:pPr>
            <w:r>
              <w:rPr>
                <w:rFonts w:ascii="Times New Roman" w:hAnsi="Times New Roman" w:cs="Times New Roman"/>
                <w:b w:val="0"/>
                <w:i w:val="0"/>
                <w:sz w:val="24"/>
                <w:u w:val="none"/>
              </w:rPr>
              <w:tab/>
              <w:tab/>
              <w:t>Defendants.</w:t>
            </w:r>
          </w:p>
        </w:tc>
        <w:tc>
          <w:tcPr>
            <w:tcW w:type="dxa" w:w="3600"/>
          </w:tcPr>
          <w:p>
            <w:pPr>
              <w:spacing w:after="0" w:line="240" w:lineRule="auto"/>
              <w:jc w:val="right"/>
            </w:pPr>
            <w:r>
              <w:rPr>
                <w:rFonts w:ascii="Times New Roman" w:hAnsi="Times New Roman" w:cs="Times New Roman"/>
                <w:b w:val="0"/>
                <w:i w:val="0"/>
                <w:sz w:val="24"/>
                <w:u w:val="none"/>
              </w:rPr>
            </w:r>
          </w:p>
          <w:p>
            <w:pPr>
              <w:spacing w:after="0" w:line="240" w:lineRule="auto"/>
              <w:jc w:val="right"/>
            </w:pPr>
            <w:r>
              <w:rPr>
                <w:rFonts w:ascii="Times New Roman" w:hAnsi="Times New Roman" w:cs="Times New Roman"/>
                <w:b w:val="0"/>
                <w:i w:val="0"/>
                <w:sz w:val="24"/>
                <w:u w:val="none"/>
              </w:rPr>
            </w:r>
          </w:p>
          <w:p>
            <w:pPr>
              <w:spacing w:after="0" w:line="240" w:lineRule="auto"/>
              <w:jc w:val="right"/>
            </w:pPr>
            <w:r>
              <w:rPr>
                <w:rFonts w:ascii="Times New Roman" w:hAnsi="Times New Roman" w:cs="Times New Roman"/>
                <w:b w:val="0"/>
                <w:i w:val="0"/>
                <w:sz w:val="24"/>
                <w:u w:val="none"/>
              </w:rPr>
              <w:t>Civil Action No.</w:t>
            </w:r>
          </w:p>
          <w:p>
            <w:pPr>
              <w:spacing w:after="0" w:line="240" w:lineRule="auto"/>
              <w:jc w:val="right"/>
            </w:pPr>
            <w:r>
              <w:rPr>
                <w:rFonts w:ascii="Times New Roman" w:hAnsi="Times New Roman" w:cs="Times New Roman"/>
                <w:b w:val="0"/>
                <w:i w:val="0"/>
                <w:sz w:val="24"/>
                <w:u w:val="none"/>
              </w:rPr>
              <w:t>1:24-cv-03841-RLH</w:t>
            </w:r>
          </w:p>
          <w:p>
            <w:pPr>
              <w:spacing w:after="0" w:line="240" w:lineRule="auto"/>
              <w:jc w:val="right"/>
            </w:pPr>
            <w:r>
              <w:rPr>
                <w:rFonts w:ascii="Times New Roman" w:hAnsi="Times New Roman" w:cs="Times New Roman"/>
                <w:b w:val="0"/>
                <w:i w:val="0"/>
                <w:sz w:val="24"/>
                <w:u w:val="none"/>
              </w:rPr>
            </w:r>
          </w:p>
          <w:p>
            <w:pPr>
              <w:spacing w:after="0" w:line="240" w:lineRule="auto"/>
              <w:jc w:val="right"/>
            </w:pPr>
            <w:r>
              <w:rPr>
                <w:rFonts w:ascii="Times New Roman" w:hAnsi="Times New Roman" w:cs="Times New Roman"/>
                <w:b w:val="0"/>
                <w:i w:val="0"/>
                <w:sz w:val="24"/>
                <w:u w:val="none"/>
              </w:rPr>
              <w:t>Hon. Rebecca L. Hightower</w:t>
            </w:r>
          </w:p>
          <w:p>
            <w:pPr>
              <w:spacing w:after="0" w:line="240" w:lineRule="auto"/>
              <w:jc w:val="right"/>
            </w:pPr>
            <w:r>
              <w:rPr>
                <w:rFonts w:ascii="Times New Roman" w:hAnsi="Times New Roman" w:cs="Times New Roman"/>
                <w:b w:val="0"/>
                <w:i w:val="0"/>
                <w:sz w:val="24"/>
                <w:u w:val="none"/>
              </w:rPr>
            </w:r>
          </w:p>
          <w:p>
            <w:pPr>
              <w:spacing w:after="0" w:line="240" w:lineRule="auto"/>
              <w:jc w:val="right"/>
            </w:pPr>
            <w:r>
              <w:rPr>
                <w:rFonts w:ascii="Times New Roman" w:hAnsi="Times New Roman" w:cs="Times New Roman"/>
                <w:b w:val="0"/>
                <w:i w:val="0"/>
                <w:sz w:val="24"/>
                <w:u w:val="none"/>
              </w:rPr>
            </w:r>
          </w:p>
          <w:p>
            <w:pPr>
              <w:spacing w:after="0" w:line="240" w:lineRule="auto"/>
              <w:jc w:val="right"/>
            </w:pPr>
            <w:r>
              <w:rPr>
                <w:rFonts w:ascii="Times New Roman" w:hAnsi="Times New Roman" w:cs="Times New Roman"/>
                <w:b/>
                <w:i w:val="0"/>
                <w:sz w:val="24"/>
                <w:u w:val="none"/>
              </w:rPr>
              <w:t>JURY TRIAL DEMANDED</w:t>
            </w:r>
          </w:p>
        </w:tc>
      </w:tr>
    </w:tbl>
    <w:p>
      <w:pPr>
        <w:spacing w:after="200" w:before="0" w:line="276" w:lineRule="auto"/>
        <w:jc w:val="both"/>
        <w:pBdr>
          <w:bottom w:val="single" w:sz="6" w:space="1" w:color="000000"/>
        </w:pBdr>
      </w:pPr>
    </w:p>
    <w:p>
      <w:pPr>
        <w:spacing w:after="0" w:before="0" w:line="276" w:lineRule="auto"/>
        <w:jc w:val="center"/>
      </w:pPr>
      <w:r>
        <w:rPr>
          <w:rFonts w:ascii="Times New Roman" w:hAnsi="Times New Roman" w:cs="Times New Roman"/>
          <w:b/>
          <w:i w:val="0"/>
          <w:sz w:val="24"/>
          <w:u w:val="single"/>
        </w:rPr>
        <w:t>PLAINTIFF'S FIRST SET OF INTERROGATORIES</w:t>
      </w:r>
    </w:p>
    <w:p>
      <w:pPr>
        <w:spacing w:after="240" w:before="0" w:line="276" w:lineRule="auto"/>
        <w:jc w:val="center"/>
      </w:pPr>
      <w:r>
        <w:rPr>
          <w:rFonts w:ascii="Times New Roman" w:hAnsi="Times New Roman" w:cs="Times New Roman"/>
          <w:b/>
          <w:i w:val="0"/>
          <w:sz w:val="24"/>
          <w:u w:val="single"/>
        </w:rPr>
        <w:t>TO DEFENDANT VERIDIAN HEALTH SYSTEMS, LLC</w:t>
      </w:r>
    </w:p>
    <w:p>
      <w:pPr>
        <w:spacing w:after="160" w:before="0" w:line="276" w:lineRule="auto"/>
        <w:jc w:val="left"/>
      </w:pPr>
      <w:r>
        <w:rPr>
          <w:rFonts w:ascii="Times New Roman" w:hAnsi="Times New Roman" w:cs="Times New Roman"/>
          <w:b/>
          <w:i w:val="0"/>
          <w:sz w:val="24"/>
          <w:u w:val="none"/>
        </w:rPr>
        <w:t xml:space="preserve">TO:  </w:t>
      </w:r>
      <w:r>
        <w:rPr>
          <w:rFonts w:ascii="Times New Roman" w:hAnsi="Times New Roman" w:cs="Times New Roman"/>
          <w:b/>
          <w:i w:val="0"/>
          <w:sz w:val="24"/>
          <w:u w:val="none"/>
        </w:rPr>
        <w:t>Defendant Veridian Health Systems, LLC, and its attorneys of record:</w:t>
      </w:r>
    </w:p>
    <w:p>
      <w:pPr>
        <w:spacing w:after="120" w:before="0" w:line="276" w:lineRule="auto"/>
        <w:jc w:val="both"/>
      </w:pPr>
      <w:r>
        <w:rPr>
          <w:rFonts w:ascii="Times New Roman" w:hAnsi="Times New Roman" w:cs="Times New Roman"/>
          <w:b w:val="0"/>
          <w:i w:val="0"/>
          <w:sz w:val="24"/>
          <w:u w:val="none"/>
        </w:rPr>
        <w:t>Pursuant to Rules 33 and 26 of the Federal Rules of Civil Procedure, and the Scheduling Order entered by the Court on September 4, 2024, Plaintiff Castillo Medical Technologies, Inc. (“CMT” or “Plaintiff”), by and through its undersigned attorneys, hereby serves upon Defendant Veridian Health Systems, LLC (“Veridian”) the following First Set of Interrogatories, and requests that Veridian answer each interrogatory separately, fully, in writing, and under oath, within thirty (30) days after service hereof, as provided in Fed. R. Civ. P. 33(b)(2).</w:t>
      </w:r>
    </w:p>
    <w:p>
      <w:pPr>
        <w:spacing w:after="160" w:before="240" w:line="276" w:lineRule="auto"/>
        <w:jc w:val="center"/>
      </w:pPr>
      <w:r>
        <w:rPr>
          <w:rFonts w:ascii="Times New Roman" w:hAnsi="Times New Roman" w:cs="Times New Roman"/>
          <w:b/>
          <w:i w:val="0"/>
          <w:sz w:val="24"/>
          <w:u w:val="single"/>
        </w:rPr>
        <w:t>INSTRUCTIONS</w:t>
      </w:r>
    </w:p>
    <w:p>
      <w:pPr>
        <w:spacing w:after="120" w:before="0" w:line="276" w:lineRule="auto"/>
        <w:ind w:left="720" w:hanging="360"/>
        <w:jc w:val="both"/>
      </w:pPr>
      <w:r>
        <w:rPr>
          <w:rFonts w:ascii="Times New Roman" w:hAnsi="Times New Roman" w:cs="Times New Roman"/>
          <w:b/>
          <w:i w:val="0"/>
          <w:sz w:val="24"/>
          <w:u w:val="none"/>
        </w:rPr>
        <w:t>1.</w:t>
        <w:tab/>
      </w:r>
      <w:r>
        <w:rPr>
          <w:rFonts w:ascii="Times New Roman" w:hAnsi="Times New Roman" w:cs="Times New Roman"/>
          <w:b w:val="0"/>
          <w:i w:val="0"/>
          <w:sz w:val="24"/>
          <w:u w:val="none"/>
        </w:rPr>
        <w:t>These interrogatories are served upon you pursuant to Rules 33 and 26 of the Federal Rules of Civil Procedure and the Scheduling Order entered September 4, 2024. You are required to answer each interrogatory separately, fully, in writing, and under oath within thirty (30) days after service of these interrogatories upon you, as provided in Fed. R. Civ. P. 33(b)(2).</w:t>
      </w:r>
    </w:p>
    <w:p>
      <w:pPr>
        <w:spacing w:after="120" w:before="0" w:line="276" w:lineRule="auto"/>
        <w:ind w:left="720" w:hanging="360"/>
        <w:jc w:val="both"/>
      </w:pPr>
      <w:r>
        <w:rPr>
          <w:rFonts w:ascii="Times New Roman" w:hAnsi="Times New Roman" w:cs="Times New Roman"/>
          <w:b/>
          <w:i w:val="0"/>
          <w:sz w:val="24"/>
          <w:u w:val="none"/>
        </w:rPr>
        <w:t>2.</w:t>
        <w:tab/>
      </w:r>
      <w:r>
        <w:rPr>
          <w:rFonts w:ascii="Times New Roman" w:hAnsi="Times New Roman" w:cs="Times New Roman"/>
          <w:b w:val="0"/>
          <w:i w:val="0"/>
          <w:sz w:val="24"/>
          <w:u w:val="none"/>
        </w:rPr>
        <w:t>In answering these interrogatories, you must furnish all information known or reasonably available to you, including information in the possession of, or reasonably ascertainable by, your attorneys, investigators, agents, employees, officers, directors, and other representatives. See Fed. R. Civ. P. 33(b)(1)(A)–(B).</w:t>
      </w:r>
    </w:p>
    <w:p>
      <w:pPr>
        <w:spacing w:after="120" w:before="0" w:line="276" w:lineRule="auto"/>
        <w:ind w:left="720" w:hanging="360"/>
        <w:jc w:val="both"/>
      </w:pPr>
      <w:r>
        <w:rPr>
          <w:rFonts w:ascii="Times New Roman" w:hAnsi="Times New Roman" w:cs="Times New Roman"/>
          <w:b/>
          <w:i w:val="0"/>
          <w:sz w:val="24"/>
          <w:u w:val="none"/>
        </w:rPr>
        <w:t>3.</w:t>
        <w:tab/>
      </w:r>
      <w:r>
        <w:rPr>
          <w:rFonts w:ascii="Times New Roman" w:hAnsi="Times New Roman" w:cs="Times New Roman"/>
          <w:b w:val="0"/>
          <w:i w:val="0"/>
          <w:sz w:val="24"/>
          <w:u w:val="none"/>
        </w:rPr>
        <w:t>If your answer to any interrogatory requires reference to or qualification by any Document, identify the Document (as that term is defined below) and state in summary fashion the relevant contents of the Document. The production of Documents in response to any request for production, or otherwise, does not constitute a full and complete answer to any interrogatory, and you remain obligated to answer each interrogatory fully in writing.</w:t>
      </w:r>
    </w:p>
    <w:p>
      <w:pPr>
        <w:spacing w:after="120" w:before="0" w:line="276" w:lineRule="auto"/>
        <w:ind w:left="720" w:hanging="360"/>
        <w:jc w:val="both"/>
      </w:pPr>
      <w:r>
        <w:rPr>
          <w:rFonts w:ascii="Times New Roman" w:hAnsi="Times New Roman" w:cs="Times New Roman"/>
          <w:b/>
          <w:i w:val="0"/>
          <w:sz w:val="24"/>
          <w:u w:val="none"/>
        </w:rPr>
        <w:t>4.</w:t>
        <w:tab/>
      </w:r>
      <w:r>
        <w:rPr>
          <w:rFonts w:ascii="Times New Roman" w:hAnsi="Times New Roman" w:cs="Times New Roman"/>
          <w:b w:val="0"/>
          <w:i w:val="0"/>
          <w:sz w:val="24"/>
          <w:u w:val="none"/>
        </w:rPr>
        <w:t>If you cannot answer any interrogatory in full, answer it to the extent possible, state the portion you cannot answer, and explain why you cannot answer the remainder. If you object to any interrogatory, state the specific grounds for your objection with particularity. A general or boilerplate objection (e.g., “overly broad,” “unduly burdensome,” “vague”) without supporting explanation will be deemed a non-responsive objection. To the extent you object on grounds of burden or proportionality, identify the specific burden and provide a quantitative estimate of the time and cost required to respond.</w:t>
      </w:r>
    </w:p>
    <w:p>
      <w:pPr>
        <w:spacing w:after="120" w:before="0" w:line="276" w:lineRule="auto"/>
        <w:ind w:left="720" w:hanging="360"/>
        <w:jc w:val="both"/>
      </w:pPr>
      <w:r>
        <w:rPr>
          <w:rFonts w:ascii="Times New Roman" w:hAnsi="Times New Roman" w:cs="Times New Roman"/>
          <w:b/>
          <w:i w:val="0"/>
          <w:sz w:val="24"/>
          <w:u w:val="none"/>
        </w:rPr>
        <w:t>5.</w:t>
        <w:tab/>
      </w:r>
      <w:r>
        <w:rPr>
          <w:rFonts w:ascii="Times New Roman" w:hAnsi="Times New Roman" w:cs="Times New Roman"/>
          <w:b w:val="0"/>
          <w:i w:val="0"/>
          <w:sz w:val="24"/>
          <w:u w:val="none"/>
        </w:rPr>
        <w:t>These interrogatories are continuing in nature. If, after serving your answers, you obtain additional information responsive to any interrogatory, you are obligated to supplement your answers pursuant to Fed. R. Civ. P. 26(e).</w:t>
      </w:r>
    </w:p>
    <w:p>
      <w:pPr>
        <w:spacing w:after="120" w:before="0" w:line="276" w:lineRule="auto"/>
        <w:ind w:left="720" w:hanging="360"/>
        <w:jc w:val="both"/>
      </w:pPr>
      <w:r>
        <w:rPr>
          <w:rFonts w:ascii="Times New Roman" w:hAnsi="Times New Roman" w:cs="Times New Roman"/>
          <w:b/>
          <w:i w:val="0"/>
          <w:sz w:val="24"/>
          <w:u w:val="none"/>
        </w:rPr>
        <w:t>6.</w:t>
        <w:tab/>
      </w:r>
      <w:r>
        <w:rPr>
          <w:rFonts w:ascii="Times New Roman" w:hAnsi="Times New Roman" w:cs="Times New Roman"/>
          <w:b w:val="0"/>
          <w:i w:val="0"/>
          <w:sz w:val="24"/>
          <w:u w:val="none"/>
        </w:rPr>
        <w:t>Any information that you contend is protected from disclosure by the attorney-client privilege, the work-product doctrine, or any other privilege or protection shall be identified in a privilege log that complies with Fed. R. Civ. P. 26(b)(5)(A) and the terms of the Protective Order entered in this action. A blanket claim of privilege is insufficient.</w:t>
      </w:r>
    </w:p>
    <w:p>
      <w:pPr>
        <w:spacing w:after="120" w:before="0" w:line="276" w:lineRule="auto"/>
        <w:ind w:left="720" w:hanging="360"/>
        <w:jc w:val="both"/>
      </w:pPr>
      <w:r>
        <w:rPr>
          <w:rFonts w:ascii="Times New Roman" w:hAnsi="Times New Roman" w:cs="Times New Roman"/>
          <w:b/>
          <w:i w:val="0"/>
          <w:sz w:val="24"/>
          <w:u w:val="none"/>
        </w:rPr>
        <w:t>7.</w:t>
        <w:tab/>
      </w:r>
      <w:r>
        <w:rPr>
          <w:rFonts w:ascii="Times New Roman" w:hAnsi="Times New Roman" w:cs="Times New Roman"/>
          <w:b w:val="0"/>
          <w:i w:val="0"/>
          <w:sz w:val="24"/>
          <w:u w:val="none"/>
        </w:rPr>
        <w:t>Terms used in these interrogatories that are defined in the Definitions section below shall have the meanings ascribed to them therein. The singular includes the plural and vice versa.</w:t>
      </w:r>
    </w:p>
    <w:p>
      <w:pPr>
        <w:spacing w:after="120" w:before="0" w:line="276" w:lineRule="auto"/>
        <w:ind w:left="720" w:hanging="360"/>
        <w:jc w:val="both"/>
      </w:pPr>
      <w:r>
        <w:rPr>
          <w:rFonts w:ascii="Times New Roman" w:hAnsi="Times New Roman" w:cs="Times New Roman"/>
          <w:b/>
          <w:i w:val="0"/>
          <w:sz w:val="24"/>
          <w:u w:val="none"/>
        </w:rPr>
        <w:t>8.</w:t>
        <w:tab/>
      </w:r>
      <w:r>
        <w:rPr>
          <w:rFonts w:ascii="Times New Roman" w:hAnsi="Times New Roman" w:cs="Times New Roman"/>
          <w:b w:val="0"/>
          <w:i w:val="0"/>
          <w:sz w:val="24"/>
          <w:u w:val="none"/>
        </w:rPr>
        <w:t>These interrogatories are subject to, and shall be answered consistent with, the Protective Order entered in this action. Where an answer requires disclosure of trade secret or other confidential information, you may designate the answer in accordance with the Protective Order, but such designation does not relieve you of the obligation to provide a full and complete answer.</w:t>
      </w:r>
    </w:p>
    <w:p>
      <w:pPr>
        <w:spacing w:after="160" w:before="240" w:line="276" w:lineRule="auto"/>
        <w:jc w:val="center"/>
      </w:pPr>
      <w:r>
        <w:rPr>
          <w:rFonts w:ascii="Times New Roman" w:hAnsi="Times New Roman" w:cs="Times New Roman"/>
          <w:b/>
          <w:i w:val="0"/>
          <w:sz w:val="24"/>
          <w:u w:val="single"/>
        </w:rPr>
        <w:t>DEFINITIONS</w:t>
      </w:r>
    </w:p>
    <w:p>
      <w:pPr>
        <w:spacing w:after="120" w:before="0" w:line="276" w:lineRule="auto"/>
        <w:ind w:left="720" w:hanging="360"/>
        <w:jc w:val="both"/>
      </w:pPr>
      <w:r>
        <w:rPr>
          <w:rFonts w:ascii="Times New Roman" w:hAnsi="Times New Roman" w:cs="Times New Roman"/>
          <w:b/>
          <w:i w:val="0"/>
          <w:sz w:val="24"/>
          <w:u w:val="none"/>
        </w:rPr>
        <w:t xml:space="preserve">“CMT” or “Plaintiff” </w:t>
      </w:r>
      <w:r>
        <w:rPr>
          <w:rFonts w:ascii="Times New Roman" w:hAnsi="Times New Roman" w:cs="Times New Roman"/>
          <w:b w:val="0"/>
          <w:i w:val="0"/>
          <w:sz w:val="24"/>
          <w:u w:val="none"/>
        </w:rPr>
        <w:t>means Castillo Medical Technologies, Inc.</w:t>
      </w:r>
    </w:p>
    <w:p>
      <w:pPr>
        <w:spacing w:after="120" w:before="0" w:line="276" w:lineRule="auto"/>
        <w:ind w:left="720" w:hanging="360"/>
        <w:jc w:val="both"/>
      </w:pPr>
      <w:r>
        <w:rPr>
          <w:rFonts w:ascii="Times New Roman" w:hAnsi="Times New Roman" w:cs="Times New Roman"/>
          <w:b/>
          <w:i w:val="0"/>
          <w:sz w:val="24"/>
          <w:u w:val="none"/>
        </w:rPr>
        <w:t xml:space="preserve">“Veridian,” “You,” or “Your” </w:t>
      </w:r>
      <w:r>
        <w:rPr>
          <w:rFonts w:ascii="Times New Roman" w:hAnsi="Times New Roman" w:cs="Times New Roman"/>
          <w:b w:val="0"/>
          <w:i w:val="0"/>
          <w:sz w:val="24"/>
          <w:u w:val="none"/>
        </w:rPr>
        <w:t>means Defendant Veridian Health Systems, LLC, and, where the context so indicates, its present and former officers, directors, employees, agents, attorneys, consultants, contractors, subsidiaries, affiliates, predecessors, successors, and assigns, and all persons acting or purporting to act on its behalf or in concert with it.</w:t>
      </w:r>
    </w:p>
    <w:p>
      <w:pPr>
        <w:spacing w:after="120" w:before="0" w:line="276" w:lineRule="auto"/>
        <w:ind w:left="720" w:hanging="360"/>
        <w:jc w:val="both"/>
      </w:pPr>
      <w:r>
        <w:rPr>
          <w:rFonts w:ascii="Times New Roman" w:hAnsi="Times New Roman" w:cs="Times New Roman"/>
          <w:b/>
          <w:i w:val="0"/>
          <w:sz w:val="24"/>
          <w:u w:val="none"/>
        </w:rPr>
        <w:t xml:space="preserve">“Oshiro” </w:t>
      </w:r>
      <w:r>
        <w:rPr>
          <w:rFonts w:ascii="Times New Roman" w:hAnsi="Times New Roman" w:cs="Times New Roman"/>
          <w:b w:val="0"/>
          <w:i w:val="0"/>
          <w:sz w:val="24"/>
          <w:u w:val="none"/>
        </w:rPr>
        <w:t>means Ryan Oshiro.</w:t>
      </w:r>
    </w:p>
    <w:p>
      <w:pPr>
        <w:spacing w:after="120" w:before="0" w:line="276" w:lineRule="auto"/>
        <w:ind w:left="720" w:hanging="360"/>
        <w:jc w:val="both"/>
      </w:pPr>
      <w:r>
        <w:rPr>
          <w:rFonts w:ascii="Times New Roman" w:hAnsi="Times New Roman" w:cs="Times New Roman"/>
          <w:b/>
          <w:i w:val="0"/>
          <w:sz w:val="24"/>
          <w:u w:val="none"/>
        </w:rPr>
        <w:t xml:space="preserve">“CMT Trade Secrets” </w:t>
      </w:r>
      <w:r>
        <w:rPr>
          <w:rFonts w:ascii="Times New Roman" w:hAnsi="Times New Roman" w:cs="Times New Roman"/>
          <w:b w:val="0"/>
          <w:i w:val="0"/>
          <w:sz w:val="24"/>
          <w:u w:val="none"/>
        </w:rPr>
        <w:t>means the NeuralPath Algorithm, the PrecisionDrive System, and the PathPlanner Module, as those terms are used in the First Amended Complaint, together with all related source code, CAD schematics, engineering drawings, training datasets, model weights, hyperparameters, design specifications, control algorithms, calibration protocols, error-correction methodologies, and associated technical know-how and documentation.</w:t>
      </w:r>
    </w:p>
    <w:p>
      <w:pPr>
        <w:spacing w:after="120" w:before="0" w:line="276" w:lineRule="auto"/>
        <w:ind w:left="720" w:hanging="360"/>
        <w:jc w:val="both"/>
      </w:pPr>
      <w:r>
        <w:rPr>
          <w:rFonts w:ascii="Times New Roman" w:hAnsi="Times New Roman" w:cs="Times New Roman"/>
          <w:b/>
          <w:i w:val="0"/>
          <w:sz w:val="24"/>
          <w:u w:val="none"/>
        </w:rPr>
        <w:t xml:space="preserve">“NeuroGuide 4.0” </w:t>
      </w:r>
      <w:r>
        <w:rPr>
          <w:rFonts w:ascii="Times New Roman" w:hAnsi="Times New Roman" w:cs="Times New Roman"/>
          <w:b w:val="0"/>
          <w:i w:val="0"/>
          <w:sz w:val="24"/>
          <w:u w:val="none"/>
        </w:rPr>
        <w:t>means CMT’s next-generation surgical robotics platform incorporating the CMT Trade Secrets.</w:t>
      </w:r>
    </w:p>
    <w:p>
      <w:pPr>
        <w:spacing w:after="120" w:before="0" w:line="276" w:lineRule="auto"/>
        <w:ind w:left="720" w:hanging="360"/>
        <w:jc w:val="both"/>
      </w:pPr>
      <w:r>
        <w:rPr>
          <w:rFonts w:ascii="Times New Roman" w:hAnsi="Times New Roman" w:cs="Times New Roman"/>
          <w:b/>
          <w:i w:val="0"/>
          <w:sz w:val="24"/>
          <w:u w:val="none"/>
        </w:rPr>
        <w:t xml:space="preserve">“SynapticEdge” </w:t>
      </w:r>
      <w:r>
        <w:rPr>
          <w:rFonts w:ascii="Times New Roman" w:hAnsi="Times New Roman" w:cs="Times New Roman"/>
          <w:b w:val="0"/>
          <w:i w:val="0"/>
          <w:sz w:val="24"/>
          <w:u w:val="none"/>
        </w:rPr>
        <w:t>means the surgical robotics platform announced by Veridian on or about June 11, 2024, at the International Surgical Robotics Conference in Chicago, Illinois, and any subsequent versions, iterations, or derivatives thereof.</w:t>
      </w:r>
    </w:p>
    <w:p>
      <w:pPr>
        <w:spacing w:after="120" w:before="0" w:line="276" w:lineRule="auto"/>
        <w:ind w:left="720" w:hanging="360"/>
        <w:jc w:val="both"/>
      </w:pPr>
      <w:r>
        <w:rPr>
          <w:rFonts w:ascii="Times New Roman" w:hAnsi="Times New Roman" w:cs="Times New Roman"/>
          <w:b/>
          <w:i w:val="0"/>
          <w:sz w:val="24"/>
          <w:u w:val="none"/>
        </w:rPr>
        <w:t xml:space="preserve">“CMT Files” </w:t>
      </w:r>
      <w:r>
        <w:rPr>
          <w:rFonts w:ascii="Times New Roman" w:hAnsi="Times New Roman" w:cs="Times New Roman"/>
          <w:b w:val="0"/>
          <w:i w:val="0"/>
          <w:sz w:val="24"/>
          <w:u w:val="none"/>
        </w:rPr>
        <w:t>means the approximately 4,700 files (totaling approximately 38.4 gigabytes) downloaded by Oshiro from CMT’s VaultDrive repository to the USB Drive between January 8, 2024, and February 28, 2024, including the approximately 1,200 CAD schematics and engineering drawings for the PrecisionDrive System, the approximately 2,100 source code files for the NeuralPath Algorithm, the approximately 800 PathPlanner Module training datasets, model weights, and configuration files, and the approximately 600 internal R&amp;D roadmap and competitive intelligence documents, as described in the Ashcroft Digital Forensics, LLC forensic report dated May 15, 2024.</w:t>
      </w:r>
    </w:p>
    <w:p>
      <w:pPr>
        <w:spacing w:after="120" w:before="0" w:line="276" w:lineRule="auto"/>
        <w:ind w:left="720" w:hanging="360"/>
        <w:jc w:val="both"/>
      </w:pPr>
      <w:r>
        <w:rPr>
          <w:rFonts w:ascii="Times New Roman" w:hAnsi="Times New Roman" w:cs="Times New Roman"/>
          <w:b/>
          <w:i w:val="0"/>
          <w:sz w:val="24"/>
          <w:u w:val="none"/>
        </w:rPr>
        <w:t xml:space="preserve">“USB Drive” </w:t>
      </w:r>
      <w:r>
        <w:rPr>
          <w:rFonts w:ascii="Times New Roman" w:hAnsi="Times New Roman" w:cs="Times New Roman"/>
          <w:b w:val="0"/>
          <w:i w:val="0"/>
          <w:sz w:val="24"/>
          <w:u w:val="none"/>
        </w:rPr>
        <w:t>means the 2TB Corsair portable external storage device bearing serial number CX-8827491.</w:t>
      </w:r>
    </w:p>
    <w:p>
      <w:pPr>
        <w:spacing w:after="120" w:before="0" w:line="276" w:lineRule="auto"/>
        <w:ind w:left="720" w:hanging="360"/>
        <w:jc w:val="both"/>
      </w:pPr>
      <w:r>
        <w:rPr>
          <w:rFonts w:ascii="Times New Roman" w:hAnsi="Times New Roman" w:cs="Times New Roman"/>
          <w:b/>
          <w:i w:val="0"/>
          <w:sz w:val="24"/>
          <w:u w:val="none"/>
        </w:rPr>
        <w:t xml:space="preserve">“VaultDrive” </w:t>
      </w:r>
      <w:r>
        <w:rPr>
          <w:rFonts w:ascii="Times New Roman" w:hAnsi="Times New Roman" w:cs="Times New Roman"/>
          <w:b w:val="0"/>
          <w:i w:val="0"/>
          <w:sz w:val="24"/>
          <w:u w:val="none"/>
        </w:rPr>
        <w:t>means CMT’s secure, access-controlled engineering repository.</w:t>
      </w:r>
    </w:p>
    <w:p>
      <w:pPr>
        <w:spacing w:after="120" w:before="0" w:line="276" w:lineRule="auto"/>
        <w:ind w:left="720" w:hanging="360"/>
        <w:jc w:val="both"/>
      </w:pPr>
      <w:r>
        <w:rPr>
          <w:rFonts w:ascii="Times New Roman" w:hAnsi="Times New Roman" w:cs="Times New Roman"/>
          <w:b/>
          <w:i w:val="0"/>
          <w:sz w:val="24"/>
          <w:u w:val="none"/>
        </w:rPr>
        <w:t xml:space="preserve">“Former CMT Engineers” </w:t>
      </w:r>
      <w:r>
        <w:rPr>
          <w:rFonts w:ascii="Times New Roman" w:hAnsi="Times New Roman" w:cs="Times New Roman"/>
          <w:b w:val="0"/>
          <w:i w:val="0"/>
          <w:sz w:val="24"/>
          <w:u w:val="none"/>
        </w:rPr>
        <w:t>means Dr. Kenji Furukawa, Samantha Briggs, and David Moreno.</w:t>
      </w:r>
    </w:p>
    <w:p>
      <w:pPr>
        <w:spacing w:after="120" w:before="0" w:line="276" w:lineRule="auto"/>
        <w:ind w:left="720" w:hanging="360"/>
        <w:jc w:val="both"/>
      </w:pPr>
      <w:r>
        <w:rPr>
          <w:rFonts w:ascii="Times New Roman" w:hAnsi="Times New Roman" w:cs="Times New Roman"/>
          <w:b/>
          <w:i w:val="0"/>
          <w:sz w:val="24"/>
          <w:u w:val="none"/>
        </w:rPr>
        <w:t xml:space="preserve">“NDA” </w:t>
      </w:r>
      <w:r>
        <w:rPr>
          <w:rFonts w:ascii="Times New Roman" w:hAnsi="Times New Roman" w:cs="Times New Roman"/>
          <w:b w:val="0"/>
          <w:i w:val="0"/>
          <w:sz w:val="24"/>
          <w:u w:val="none"/>
        </w:rPr>
        <w:t>means the Confidentiality, Non-Disclosure, and Invention Assignment Agreement between CMT and Oshiro, dated March 5, 2018.</w:t>
      </w:r>
    </w:p>
    <w:p>
      <w:pPr>
        <w:spacing w:after="120" w:before="0" w:line="276" w:lineRule="auto"/>
        <w:ind w:left="720" w:hanging="360"/>
        <w:jc w:val="both"/>
      </w:pPr>
      <w:r>
        <w:rPr>
          <w:rFonts w:ascii="Times New Roman" w:hAnsi="Times New Roman" w:cs="Times New Roman"/>
          <w:b/>
          <w:i w:val="0"/>
          <w:sz w:val="24"/>
          <w:u w:val="none"/>
        </w:rPr>
        <w:t xml:space="preserve">“Communication” </w:t>
      </w:r>
      <w:r>
        <w:rPr>
          <w:rFonts w:ascii="Times New Roman" w:hAnsi="Times New Roman" w:cs="Times New Roman"/>
          <w:b w:val="0"/>
          <w:i w:val="0"/>
          <w:sz w:val="24"/>
          <w:u w:val="none"/>
        </w:rPr>
        <w:t>means any exchange of information, whether oral, written, electronic, or otherwise, including but not limited to emails, text messages, instant messages, LinkedIn messages, Slack messages, Microsoft Teams messages, voicemails, memoranda, letters, notes, and any other form of communication.</w:t>
      </w:r>
    </w:p>
    <w:p>
      <w:pPr>
        <w:spacing w:after="120" w:before="0" w:line="276" w:lineRule="auto"/>
        <w:ind w:left="720" w:hanging="360"/>
        <w:jc w:val="both"/>
      </w:pPr>
      <w:r>
        <w:rPr>
          <w:rFonts w:ascii="Times New Roman" w:hAnsi="Times New Roman" w:cs="Times New Roman"/>
          <w:b/>
          <w:i w:val="0"/>
          <w:sz w:val="24"/>
          <w:u w:val="none"/>
        </w:rPr>
        <w:t xml:space="preserve">“Document” </w:t>
      </w:r>
      <w:r>
        <w:rPr>
          <w:rFonts w:ascii="Times New Roman" w:hAnsi="Times New Roman" w:cs="Times New Roman"/>
          <w:b w:val="0"/>
          <w:i w:val="0"/>
          <w:sz w:val="24"/>
          <w:u w:val="none"/>
        </w:rPr>
        <w:t>has the meaning set forth in Fed. R. Civ. P. 34(a)(1)(A), and includes all writings, drawings, graphs, charts, photographs, sound recordings, images, and other data or data compilations stored in any medium from which information can be obtained either directly or, if necessary, after translation or conversion.</w:t>
      </w:r>
    </w:p>
    <w:p>
      <w:pPr>
        <w:spacing w:after="120" w:before="0" w:line="276" w:lineRule="auto"/>
        <w:ind w:left="720" w:hanging="360"/>
        <w:jc w:val="both"/>
      </w:pPr>
      <w:r>
        <w:rPr>
          <w:rFonts w:ascii="Times New Roman" w:hAnsi="Times New Roman" w:cs="Times New Roman"/>
          <w:b/>
          <w:i w:val="0"/>
          <w:sz w:val="24"/>
          <w:u w:val="none"/>
        </w:rPr>
        <w:t xml:space="preserve">“Person” </w:t>
      </w:r>
      <w:r>
        <w:rPr>
          <w:rFonts w:ascii="Times New Roman" w:hAnsi="Times New Roman" w:cs="Times New Roman"/>
          <w:b w:val="0"/>
          <w:i w:val="0"/>
          <w:sz w:val="24"/>
          <w:u w:val="none"/>
        </w:rPr>
        <w:t>means any individual, corporation, partnership, limited liability company, association, joint venture, or other legal entity.</w:t>
      </w:r>
    </w:p>
    <w:p>
      <w:pPr>
        <w:spacing w:after="120" w:before="0" w:line="276" w:lineRule="auto"/>
        <w:ind w:left="720" w:hanging="360"/>
        <w:jc w:val="both"/>
      </w:pPr>
      <w:r>
        <w:rPr>
          <w:rFonts w:ascii="Times New Roman" w:hAnsi="Times New Roman" w:cs="Times New Roman"/>
          <w:b/>
          <w:i w:val="0"/>
          <w:sz w:val="24"/>
          <w:u w:val="none"/>
        </w:rPr>
        <w:t xml:space="preserve">“Identify,” when used in reference to a Person </w:t>
      </w:r>
      <w:r>
        <w:rPr>
          <w:rFonts w:ascii="Times New Roman" w:hAnsi="Times New Roman" w:cs="Times New Roman"/>
          <w:b w:val="0"/>
          <w:i w:val="0"/>
          <w:sz w:val="24"/>
          <w:u w:val="none"/>
        </w:rPr>
        <w:t>means to state the person’s full name, present or last known business and residential addresses, telephone number, present employer and position, and the capacity in which the person is identified. “Identify,” when used in reference to a Document, means to state the type of Document, its title, date, author, recipient(s), custodian, present location, and a description sufficient to enable CMT to identify and request production of the Document. “Identify,” when used in reference to a Communication, means to state the date, time, place, and form of the Communication, the identity of all participants, and the full substance of what was said or communicated.</w:t>
      </w:r>
    </w:p>
    <w:p>
      <w:pPr>
        <w:spacing w:after="120" w:before="0" w:line="276" w:lineRule="auto"/>
        <w:ind w:left="720" w:hanging="360"/>
        <w:jc w:val="both"/>
      </w:pPr>
      <w:r>
        <w:rPr>
          <w:rFonts w:ascii="Times New Roman" w:hAnsi="Times New Roman" w:cs="Times New Roman"/>
          <w:b/>
          <w:i w:val="0"/>
          <w:sz w:val="24"/>
          <w:u w:val="none"/>
        </w:rPr>
        <w:t xml:space="preserve">“State” or “Describe” </w:t>
      </w:r>
      <w:r>
        <w:rPr>
          <w:rFonts w:ascii="Times New Roman" w:hAnsi="Times New Roman" w:cs="Times New Roman"/>
          <w:b w:val="0"/>
          <w:i w:val="0"/>
          <w:sz w:val="24"/>
          <w:u w:val="none"/>
        </w:rPr>
        <w:t>means to set forth fully, completely, and in detail, with all relevant facts, dates, and circumstances.</w:t>
      </w:r>
    </w:p>
    <w:p>
      <w:pPr>
        <w:spacing w:after="160" w:before="240" w:line="276" w:lineRule="auto"/>
        <w:jc w:val="center"/>
      </w:pPr>
      <w:r>
        <w:rPr>
          <w:rFonts w:ascii="Times New Roman" w:hAnsi="Times New Roman" w:cs="Times New Roman"/>
          <w:b/>
          <w:i w:val="0"/>
          <w:sz w:val="24"/>
          <w:u w:val="single"/>
        </w:rPr>
        <w:t>INTERROGATORIES</w:t>
      </w:r>
    </w:p>
    <w:p>
      <w:pPr>
        <w:spacing w:after="120" w:before="0" w:line="276" w:lineRule="auto"/>
        <w:ind w:left="720" w:hanging="360"/>
        <w:jc w:val="both"/>
      </w:pPr>
      <w:r>
        <w:rPr>
          <w:rFonts w:ascii="Times New Roman" w:hAnsi="Times New Roman" w:cs="Times New Roman"/>
          <w:b/>
          <w:i w:val="0"/>
          <w:sz w:val="24"/>
          <w:u w:val="none"/>
        </w:rPr>
        <w:t>No. 1.</w:t>
        <w:tab/>
      </w:r>
      <w:r>
        <w:rPr>
          <w:rFonts w:ascii="Times New Roman" w:hAnsi="Times New Roman" w:cs="Times New Roman"/>
          <w:b w:val="0"/>
          <w:i w:val="0"/>
          <w:sz w:val="24"/>
          <w:u w:val="none"/>
        </w:rPr>
        <w:t>State when the conception and development of SynapticEdge commenced, and set forth the complete development history and timeline of SynapticEdge from conception through its public announcement on June 11, 2024, including all major design, engineering, testing, and regulatory milestones, the date each milestone was reached, and the identity of all Persons responsible for each milestone.</w:t>
      </w:r>
    </w:p>
    <w:p>
      <w:pPr>
        <w:spacing w:after="120" w:before="0" w:line="276" w:lineRule="auto"/>
        <w:ind w:left="720" w:hanging="360"/>
        <w:jc w:val="both"/>
      </w:pPr>
      <w:r>
        <w:rPr>
          <w:rFonts w:ascii="Times New Roman" w:hAnsi="Times New Roman" w:cs="Times New Roman"/>
          <w:b/>
          <w:i w:val="0"/>
          <w:sz w:val="24"/>
          <w:u w:val="none"/>
        </w:rPr>
        <w:t>No. 2.</w:t>
        <w:tab/>
      </w:r>
      <w:r>
        <w:rPr>
          <w:rFonts w:ascii="Times New Roman" w:hAnsi="Times New Roman" w:cs="Times New Roman"/>
          <w:b w:val="0"/>
          <w:i w:val="0"/>
          <w:sz w:val="24"/>
          <w:u w:val="none"/>
        </w:rPr>
        <w:t>Identify every Person who participated in or contributed to the conception, design, development, testing, validation, regulatory submission, marketing, or launch of SynapticEdge at any time on or before June 11, 2024, and for each such Person, state:</w:t>
      </w:r>
    </w:p>
    <w:p>
      <w:pPr>
        <w:spacing w:after="80" w:before="0" w:line="276" w:lineRule="auto"/>
        <w:ind w:left="1440" w:hanging="360"/>
        <w:jc w:val="both"/>
      </w:pPr>
      <w:r>
        <w:rPr>
          <w:rFonts w:ascii="Times New Roman" w:hAnsi="Times New Roman" w:cs="Times New Roman"/>
          <w:b w:val="0"/>
          <w:i w:val="0"/>
          <w:sz w:val="24"/>
          <w:u w:val="none"/>
        </w:rPr>
        <w:t>(a)</w:t>
        <w:tab/>
      </w:r>
      <w:r>
        <w:rPr>
          <w:rFonts w:ascii="Times New Roman" w:hAnsi="Times New Roman" w:cs="Times New Roman"/>
          <w:b w:val="0"/>
          <w:i w:val="0"/>
          <w:sz w:val="24"/>
          <w:u w:val="none"/>
        </w:rPr>
        <w:t>the Person’s role and responsibilities on the SynapticEdge project;</w:t>
      </w:r>
    </w:p>
    <w:p>
      <w:pPr>
        <w:spacing w:after="80" w:before="0" w:line="276" w:lineRule="auto"/>
        <w:ind w:left="1440" w:hanging="360"/>
        <w:jc w:val="both"/>
      </w:pPr>
      <w:r>
        <w:rPr>
          <w:rFonts w:ascii="Times New Roman" w:hAnsi="Times New Roman" w:cs="Times New Roman"/>
          <w:b w:val="0"/>
          <w:i w:val="0"/>
          <w:sz w:val="24"/>
          <w:u w:val="none"/>
        </w:rPr>
        <w:t>(b)</w:t>
        <w:tab/>
      </w:r>
      <w:r>
        <w:rPr>
          <w:rFonts w:ascii="Times New Roman" w:hAnsi="Times New Roman" w:cs="Times New Roman"/>
          <w:b w:val="0"/>
          <w:i w:val="0"/>
          <w:sz w:val="24"/>
          <w:u w:val="none"/>
        </w:rPr>
        <w:t>the date the Person began work on SynapticEdge;</w:t>
      </w:r>
    </w:p>
    <w:p>
      <w:pPr>
        <w:spacing w:after="80" w:before="0" w:line="276" w:lineRule="auto"/>
        <w:ind w:left="1440" w:hanging="360"/>
        <w:jc w:val="both"/>
      </w:pPr>
      <w:r>
        <w:rPr>
          <w:rFonts w:ascii="Times New Roman" w:hAnsi="Times New Roman" w:cs="Times New Roman"/>
          <w:b w:val="0"/>
          <w:i w:val="0"/>
          <w:sz w:val="24"/>
          <w:u w:val="none"/>
        </w:rPr>
        <w:t>(c)</w:t>
        <w:tab/>
      </w:r>
      <w:r>
        <w:rPr>
          <w:rFonts w:ascii="Times New Roman" w:hAnsi="Times New Roman" w:cs="Times New Roman"/>
          <w:b w:val="0"/>
          <w:i w:val="0"/>
          <w:sz w:val="24"/>
          <w:u w:val="none"/>
        </w:rPr>
        <w:t>the Person’s employer and position immediately prior to beginning work on SynapticEdge; and</w:t>
      </w:r>
    </w:p>
    <w:p>
      <w:pPr>
        <w:spacing w:after="80" w:before="0" w:line="276" w:lineRule="auto"/>
        <w:ind w:left="1440" w:hanging="360"/>
        <w:jc w:val="both"/>
      </w:pPr>
      <w:r>
        <w:rPr>
          <w:rFonts w:ascii="Times New Roman" w:hAnsi="Times New Roman" w:cs="Times New Roman"/>
          <w:b w:val="0"/>
          <w:i w:val="0"/>
          <w:sz w:val="24"/>
          <w:u w:val="none"/>
        </w:rPr>
        <w:t>(d)</w:t>
        <w:tab/>
      </w:r>
      <w:r>
        <w:rPr>
          <w:rFonts w:ascii="Times New Roman" w:hAnsi="Times New Roman" w:cs="Times New Roman"/>
          <w:b w:val="0"/>
          <w:i w:val="0"/>
          <w:sz w:val="24"/>
          <w:u w:val="none"/>
        </w:rPr>
        <w:t>the specific features, components, or subsystems of SynapticEdge on which the Person worked.</w:t>
      </w:r>
    </w:p>
    <w:p>
      <w:pPr>
        <w:spacing w:after="120" w:before="0" w:line="276" w:lineRule="auto"/>
        <w:ind w:left="720" w:hanging="360"/>
        <w:jc w:val="both"/>
      </w:pPr>
      <w:r>
        <w:rPr>
          <w:rFonts w:ascii="Times New Roman" w:hAnsi="Times New Roman" w:cs="Times New Roman"/>
          <w:b/>
          <w:i w:val="0"/>
          <w:sz w:val="24"/>
          <w:u w:val="none"/>
        </w:rPr>
        <w:t>No. 3.</w:t>
        <w:tab/>
      </w:r>
      <w:r>
        <w:rPr>
          <w:rFonts w:ascii="Times New Roman" w:hAnsi="Times New Roman" w:cs="Times New Roman"/>
          <w:b w:val="0"/>
          <w:i w:val="0"/>
          <w:sz w:val="24"/>
          <w:u w:val="none"/>
        </w:rPr>
        <w:t>Identify every task, assignment, feature, component, design decision, or project on which Oshiro worked, participated, or had supervisory responsibility in connection with SynapticEdge from his first day of employment at Veridian through June 11, 2024, and for each, state the date(s) of his involvement, the nature and extent of his participation, and the identity of all Persons with whom he collaborated.</w:t>
      </w:r>
    </w:p>
    <w:p>
      <w:pPr>
        <w:spacing w:after="120" w:before="0" w:line="276" w:lineRule="auto"/>
        <w:ind w:left="720" w:hanging="360"/>
        <w:jc w:val="both"/>
      </w:pPr>
      <w:r>
        <w:rPr>
          <w:rFonts w:ascii="Times New Roman" w:hAnsi="Times New Roman" w:cs="Times New Roman"/>
          <w:b/>
          <w:i w:val="0"/>
          <w:sz w:val="24"/>
          <w:u w:val="none"/>
        </w:rPr>
        <w:t>No. 4.</w:t>
        <w:tab/>
      </w:r>
      <w:r>
        <w:rPr>
          <w:rFonts w:ascii="Times New Roman" w:hAnsi="Times New Roman" w:cs="Times New Roman"/>
          <w:b w:val="0"/>
          <w:i w:val="0"/>
          <w:sz w:val="24"/>
          <w:u w:val="none"/>
        </w:rPr>
        <w:t>Identify all Documents that evidence, support, or reflect Veridian’s contention that SynapticEdge, or any feature or component thereof, was conceived and developed independently of the CMT Trade Secrets, including source code repository commit logs and version control histories, project management records (including Jira, Confluence, or similar tools), engineering milestone reports, design documents, internal Communications, and meeting notes, and for each category of Document, state the date range covered and the identity of the custodian.</w:t>
      </w:r>
    </w:p>
    <w:p>
      <w:pPr>
        <w:spacing w:after="120" w:before="0" w:line="276" w:lineRule="auto"/>
        <w:ind w:left="720" w:hanging="360"/>
        <w:jc w:val="both"/>
      </w:pPr>
      <w:r>
        <w:rPr>
          <w:rFonts w:ascii="Times New Roman" w:hAnsi="Times New Roman" w:cs="Times New Roman"/>
          <w:b/>
          <w:i w:val="0"/>
          <w:sz w:val="24"/>
          <w:u w:val="none"/>
        </w:rPr>
        <w:t>No. 5.</w:t>
        <w:tab/>
      </w:r>
      <w:r>
        <w:rPr>
          <w:rFonts w:ascii="Times New Roman" w:hAnsi="Times New Roman" w:cs="Times New Roman"/>
          <w:b w:val="0"/>
          <w:i w:val="0"/>
          <w:sz w:val="24"/>
          <w:u w:val="none"/>
        </w:rPr>
        <w:t>For each of the following features of SynapticEdge, identify the Person(s) who conceived and developed the feature, the date on which development of the feature commenced, the date on which the feature was completed or first demonstrated, and all Documents reflecting the development of the feature:</w:t>
      </w:r>
    </w:p>
    <w:p>
      <w:pPr>
        <w:spacing w:after="80" w:before="0" w:line="276" w:lineRule="auto"/>
        <w:ind w:left="1440" w:hanging="360"/>
        <w:jc w:val="both"/>
      </w:pPr>
      <w:r>
        <w:rPr>
          <w:rFonts w:ascii="Times New Roman" w:hAnsi="Times New Roman" w:cs="Times New Roman"/>
          <w:b w:val="0"/>
          <w:i w:val="0"/>
          <w:sz w:val="24"/>
          <w:u w:val="none"/>
        </w:rPr>
        <w:t>(a)</w:t>
        <w:tab/>
      </w:r>
      <w:r>
        <w:rPr>
          <w:rFonts w:ascii="Times New Roman" w:hAnsi="Times New Roman" w:cs="Times New Roman"/>
          <w:b w:val="0"/>
          <w:i w:val="0"/>
          <w:sz w:val="24"/>
          <w:u w:val="none"/>
        </w:rPr>
        <w:t>the real-time neural mapping overlay with sub-12 millisecond latency;</w:t>
      </w:r>
    </w:p>
    <w:p>
      <w:pPr>
        <w:spacing w:after="80" w:before="0" w:line="276" w:lineRule="auto"/>
        <w:ind w:left="1440" w:hanging="360"/>
        <w:jc w:val="both"/>
      </w:pPr>
      <w:r>
        <w:rPr>
          <w:rFonts w:ascii="Times New Roman" w:hAnsi="Times New Roman" w:cs="Times New Roman"/>
          <w:b w:val="0"/>
          <w:i w:val="0"/>
          <w:sz w:val="24"/>
          <w:u w:val="none"/>
        </w:rPr>
        <w:t>(b)</w:t>
        <w:tab/>
      </w:r>
      <w:r>
        <w:rPr>
          <w:rFonts w:ascii="Times New Roman" w:hAnsi="Times New Roman" w:cs="Times New Roman"/>
          <w:b w:val="0"/>
          <w:i w:val="0"/>
          <w:sz w:val="24"/>
          <w:u w:val="none"/>
        </w:rPr>
        <w:t>the harmonic micro-actuation system for sub-millimeter robotic arm control;</w:t>
      </w:r>
    </w:p>
    <w:p>
      <w:pPr>
        <w:spacing w:after="80" w:before="0" w:line="276" w:lineRule="auto"/>
        <w:ind w:left="1440" w:hanging="360"/>
        <w:jc w:val="both"/>
      </w:pPr>
      <w:r>
        <w:rPr>
          <w:rFonts w:ascii="Times New Roman" w:hAnsi="Times New Roman" w:cs="Times New Roman"/>
          <w:b w:val="0"/>
          <w:i w:val="0"/>
          <w:sz w:val="24"/>
          <w:u w:val="none"/>
        </w:rPr>
        <w:t>(c)</w:t>
        <w:tab/>
      </w:r>
      <w:r>
        <w:rPr>
          <w:rFonts w:ascii="Times New Roman" w:hAnsi="Times New Roman" w:cs="Times New Roman"/>
          <w:b w:val="0"/>
          <w:i w:val="0"/>
          <w:sz w:val="24"/>
          <w:u w:val="none"/>
        </w:rPr>
        <w:t>the AI-powered surgical pathway planning module;</w:t>
      </w:r>
    </w:p>
    <w:p>
      <w:pPr>
        <w:spacing w:after="80" w:before="0" w:line="276" w:lineRule="auto"/>
        <w:ind w:left="1440" w:hanging="360"/>
        <w:jc w:val="both"/>
      </w:pPr>
      <w:r>
        <w:rPr>
          <w:rFonts w:ascii="Times New Roman" w:hAnsi="Times New Roman" w:cs="Times New Roman"/>
          <w:b w:val="0"/>
          <w:i w:val="0"/>
          <w:sz w:val="24"/>
          <w:u w:val="none"/>
        </w:rPr>
        <w:t>(d)</w:t>
        <w:tab/>
      </w:r>
      <w:r>
        <w:rPr>
          <w:rFonts w:ascii="Times New Roman" w:hAnsi="Times New Roman" w:cs="Times New Roman"/>
          <w:b w:val="0"/>
          <w:i w:val="0"/>
          <w:sz w:val="24"/>
          <w:u w:val="none"/>
        </w:rPr>
        <w:t>the surgeon calibration workflow; and</w:t>
      </w:r>
    </w:p>
    <w:p>
      <w:pPr>
        <w:spacing w:after="80" w:before="0" w:line="276" w:lineRule="auto"/>
        <w:ind w:left="1440" w:hanging="360"/>
        <w:jc w:val="both"/>
      </w:pPr>
      <w:r>
        <w:rPr>
          <w:rFonts w:ascii="Times New Roman" w:hAnsi="Times New Roman" w:cs="Times New Roman"/>
          <w:b w:val="0"/>
          <w:i w:val="0"/>
          <w:sz w:val="24"/>
          <w:u w:val="none"/>
        </w:rPr>
        <w:t>(e)</w:t>
        <w:tab/>
      </w:r>
      <w:r>
        <w:rPr>
          <w:rFonts w:ascii="Times New Roman" w:hAnsi="Times New Roman" w:cs="Times New Roman"/>
          <w:b w:val="0"/>
          <w:i w:val="0"/>
          <w:sz w:val="24"/>
          <w:u w:val="none"/>
        </w:rPr>
        <w:t>the predictive error-correction protocol for robotic arm drift.</w:t>
      </w:r>
    </w:p>
    <w:p>
      <w:pPr>
        <w:spacing w:after="120" w:before="0" w:line="276" w:lineRule="auto"/>
        <w:ind w:left="720" w:hanging="360"/>
        <w:jc w:val="both"/>
      </w:pPr>
      <w:r>
        <w:rPr>
          <w:rFonts w:ascii="Times New Roman" w:hAnsi="Times New Roman" w:cs="Times New Roman"/>
          <w:b/>
          <w:i w:val="0"/>
          <w:sz w:val="24"/>
          <w:u w:val="none"/>
        </w:rPr>
        <w:t>No. 6.</w:t>
        <w:tab/>
      </w:r>
      <w:r>
        <w:rPr>
          <w:rFonts w:ascii="Times New Roman" w:hAnsi="Times New Roman" w:cs="Times New Roman"/>
          <w:b w:val="0"/>
          <w:i w:val="0"/>
          <w:sz w:val="24"/>
          <w:u w:val="none"/>
        </w:rPr>
        <w:t>Identify all source code repositories, version control systems, and codebases used in the development of SynapticEdge, and for each, state:</w:t>
      </w:r>
    </w:p>
    <w:p>
      <w:pPr>
        <w:spacing w:after="80" w:before="0" w:line="276" w:lineRule="auto"/>
        <w:ind w:left="1440" w:hanging="360"/>
        <w:jc w:val="both"/>
      </w:pPr>
      <w:r>
        <w:rPr>
          <w:rFonts w:ascii="Times New Roman" w:hAnsi="Times New Roman" w:cs="Times New Roman"/>
          <w:b w:val="0"/>
          <w:i w:val="0"/>
          <w:sz w:val="24"/>
          <w:u w:val="none"/>
        </w:rPr>
        <w:t>(a)</w:t>
        <w:tab/>
      </w:r>
      <w:r>
        <w:rPr>
          <w:rFonts w:ascii="Times New Roman" w:hAnsi="Times New Roman" w:cs="Times New Roman"/>
          <w:b w:val="0"/>
          <w:i w:val="0"/>
          <w:sz w:val="24"/>
          <w:u w:val="none"/>
        </w:rPr>
        <w:t>the hosting platform and physical or cloud location;</w:t>
      </w:r>
    </w:p>
    <w:p>
      <w:pPr>
        <w:spacing w:after="80" w:before="0" w:line="276" w:lineRule="auto"/>
        <w:ind w:left="1440" w:hanging="360"/>
        <w:jc w:val="both"/>
      </w:pPr>
      <w:r>
        <w:rPr>
          <w:rFonts w:ascii="Times New Roman" w:hAnsi="Times New Roman" w:cs="Times New Roman"/>
          <w:b w:val="0"/>
          <w:i w:val="0"/>
          <w:sz w:val="24"/>
          <w:u w:val="none"/>
        </w:rPr>
        <w:t>(b)</w:t>
        <w:tab/>
      </w:r>
      <w:r>
        <w:rPr>
          <w:rFonts w:ascii="Times New Roman" w:hAnsi="Times New Roman" w:cs="Times New Roman"/>
          <w:b w:val="0"/>
          <w:i w:val="0"/>
          <w:sz w:val="24"/>
          <w:u w:val="none"/>
        </w:rPr>
        <w:t>the date the repository or codebase was created;</w:t>
      </w:r>
    </w:p>
    <w:p>
      <w:pPr>
        <w:spacing w:after="80" w:before="0" w:line="276" w:lineRule="auto"/>
        <w:ind w:left="1440" w:hanging="360"/>
        <w:jc w:val="both"/>
      </w:pPr>
      <w:r>
        <w:rPr>
          <w:rFonts w:ascii="Times New Roman" w:hAnsi="Times New Roman" w:cs="Times New Roman"/>
          <w:b w:val="0"/>
          <w:i w:val="0"/>
          <w:sz w:val="24"/>
          <w:u w:val="none"/>
        </w:rPr>
        <w:t>(c)</w:t>
        <w:tab/>
      </w:r>
      <w:r>
        <w:rPr>
          <w:rFonts w:ascii="Times New Roman" w:hAnsi="Times New Roman" w:cs="Times New Roman"/>
          <w:b w:val="0"/>
          <w:i w:val="0"/>
          <w:sz w:val="24"/>
          <w:u w:val="none"/>
        </w:rPr>
        <w:t>the identity of all Persons with commit, write, or administrative access; and</w:t>
      </w:r>
    </w:p>
    <w:p>
      <w:pPr>
        <w:spacing w:after="80" w:before="0" w:line="276" w:lineRule="auto"/>
        <w:ind w:left="1440" w:hanging="360"/>
        <w:jc w:val="both"/>
      </w:pPr>
      <w:r>
        <w:rPr>
          <w:rFonts w:ascii="Times New Roman" w:hAnsi="Times New Roman" w:cs="Times New Roman"/>
          <w:b w:val="0"/>
          <w:i w:val="0"/>
          <w:sz w:val="24"/>
          <w:u w:val="none"/>
        </w:rPr>
        <w:t>(d)</w:t>
        <w:tab/>
      </w:r>
      <w:r>
        <w:rPr>
          <w:rFonts w:ascii="Times New Roman" w:hAnsi="Times New Roman" w:cs="Times New Roman"/>
          <w:b w:val="0"/>
          <w:i w:val="0"/>
          <w:sz w:val="24"/>
          <w:u w:val="none"/>
        </w:rPr>
        <w:t>whether any code, file, dataset, model weight, or other data originating from CMT, from the USB Drive, or from any CMT File was ever added to, committed to, referenced in, stored within, or derived from the repository or codebase.</w:t>
      </w:r>
    </w:p>
    <w:p>
      <w:pPr>
        <w:spacing w:after="120" w:before="0" w:line="276" w:lineRule="auto"/>
        <w:ind w:left="720" w:hanging="360"/>
        <w:jc w:val="both"/>
      </w:pPr>
      <w:r>
        <w:rPr>
          <w:rFonts w:ascii="Times New Roman" w:hAnsi="Times New Roman" w:cs="Times New Roman"/>
          <w:b/>
          <w:i w:val="0"/>
          <w:sz w:val="24"/>
          <w:u w:val="none"/>
        </w:rPr>
        <w:t>No. 7.</w:t>
        <w:tab/>
      </w:r>
      <w:r>
        <w:rPr>
          <w:rFonts w:ascii="Times New Roman" w:hAnsi="Times New Roman" w:cs="Times New Roman"/>
          <w:b w:val="0"/>
          <w:i w:val="0"/>
          <w:sz w:val="24"/>
          <w:u w:val="none"/>
        </w:rPr>
        <w:t>Identify every Communication between Marcus Trent, or any other Veridian Person, and Oshiro from November 1, 2023, through March 18, 2024, and for each Communication, state the date, the identity of all participants, the form, and the full substance of the Communication, including the substance of the LinkedIn message sent by Marcus Trent to Oshiro on or about December 3, 2023.</w:t>
      </w:r>
    </w:p>
    <w:p>
      <w:pPr>
        <w:spacing w:after="120" w:before="0" w:line="276" w:lineRule="auto"/>
        <w:ind w:left="720" w:hanging="360"/>
        <w:jc w:val="both"/>
      </w:pPr>
      <w:r>
        <w:rPr>
          <w:rFonts w:ascii="Times New Roman" w:hAnsi="Times New Roman" w:cs="Times New Roman"/>
          <w:b/>
          <w:i w:val="0"/>
          <w:sz w:val="24"/>
          <w:u w:val="none"/>
        </w:rPr>
        <w:t>No. 8.</w:t>
        <w:tab/>
      </w:r>
      <w:r>
        <w:rPr>
          <w:rFonts w:ascii="Times New Roman" w:hAnsi="Times New Roman" w:cs="Times New Roman"/>
          <w:b w:val="0"/>
          <w:i w:val="0"/>
          <w:sz w:val="24"/>
          <w:u w:val="none"/>
        </w:rPr>
        <w:t>State whether, at any time during the recruitment, interview, hiring, or onboarding of Oshiro, any Veridian Person discussed with Oshiro any aspect of CMT’s NeuroGuide 4.0 platform, the CMT Trade Secrets, CMT’s research and development roadmap, CMT’s competitive position, or any other CMT Confidential Information, and if so, for each such discussion, state the date, the identity of all participants, the full substance of what was discussed, and identify all Documents reflecting or relating to the discussion.</w:t>
      </w:r>
    </w:p>
    <w:p>
      <w:pPr>
        <w:spacing w:after="120" w:before="0" w:line="276" w:lineRule="auto"/>
        <w:ind w:left="720" w:hanging="360"/>
        <w:jc w:val="both"/>
      </w:pPr>
      <w:r>
        <w:rPr>
          <w:rFonts w:ascii="Times New Roman" w:hAnsi="Times New Roman" w:cs="Times New Roman"/>
          <w:b/>
          <w:i w:val="0"/>
          <w:sz w:val="24"/>
          <w:u w:val="none"/>
        </w:rPr>
        <w:t>No. 9.</w:t>
        <w:tab/>
      </w:r>
      <w:r>
        <w:rPr>
          <w:rFonts w:ascii="Times New Roman" w:hAnsi="Times New Roman" w:cs="Times New Roman"/>
          <w:b w:val="0"/>
          <w:i w:val="0"/>
          <w:sz w:val="24"/>
          <w:u w:val="none"/>
        </w:rPr>
        <w:t>State whether Veridian, at any time before or after hiring Oshiro, learned of, inquired into, considered, or took any action with respect to Oshiro’s confidentiality, non-disclosure, non-solicitation, or invention-assignment obligations to CMT under the NDA or otherwise, and if so, state when and how Veridian acquired such knowledge, identify every Person involved, identify every Communication concerning the subject, and identify all Documents reflecting Veridian’s knowledge, inquiry, or consideration of those obligations.</w:t>
      </w:r>
    </w:p>
    <w:p>
      <w:pPr>
        <w:spacing w:after="120" w:before="0" w:line="276" w:lineRule="auto"/>
        <w:ind w:left="720" w:hanging="360"/>
        <w:jc w:val="both"/>
      </w:pPr>
      <w:r>
        <w:rPr>
          <w:rFonts w:ascii="Times New Roman" w:hAnsi="Times New Roman" w:cs="Times New Roman"/>
          <w:b/>
          <w:i w:val="0"/>
          <w:sz w:val="24"/>
          <w:u w:val="none"/>
        </w:rPr>
        <w:t>No. 10.</w:t>
        <w:tab/>
      </w:r>
      <w:r>
        <w:rPr>
          <w:rFonts w:ascii="Times New Roman" w:hAnsi="Times New Roman" w:cs="Times New Roman"/>
          <w:b w:val="0"/>
          <w:i w:val="0"/>
          <w:sz w:val="24"/>
          <w:u w:val="none"/>
        </w:rPr>
        <w:t>State the complete terms of Oshiro’s compensation package at Veridian, including base salary, signing bonus, equity grants, vesting terms, and all other benefits and perquisites, and identify all Documents reflecting the negotiation, approval, or valuation of that package, including any analysis, comparison, or valuation of the premium over Oshiro’s compensation at CMT.</w:t>
      </w:r>
    </w:p>
    <w:p>
      <w:pPr>
        <w:spacing w:after="120" w:before="0" w:line="276" w:lineRule="auto"/>
        <w:ind w:left="720" w:hanging="360"/>
        <w:jc w:val="both"/>
      </w:pPr>
      <w:r>
        <w:rPr>
          <w:rFonts w:ascii="Times New Roman" w:hAnsi="Times New Roman" w:cs="Times New Roman"/>
          <w:b/>
          <w:i w:val="0"/>
          <w:sz w:val="24"/>
          <w:u w:val="none"/>
        </w:rPr>
        <w:t>No. 11.</w:t>
        <w:tab/>
      </w:r>
      <w:r>
        <w:rPr>
          <w:rFonts w:ascii="Times New Roman" w:hAnsi="Times New Roman" w:cs="Times New Roman"/>
          <w:b w:val="0"/>
          <w:i w:val="0"/>
          <w:sz w:val="24"/>
          <w:u w:val="none"/>
        </w:rPr>
        <w:t>Identify the Person(s) who drafted, reviewed, approved, or posted the LinkedIn job listing for “SVP, Product Development — Surgical Robotics” dated on or about November 29, 2023, and state who decided to seek candidates with experience in AI-assisted surgical systems, real-time neural mapping, and precision robotic actuation, the basis for that decision, and whether the listing was drafted with any particular individual in mind.</w:t>
      </w:r>
    </w:p>
    <w:p>
      <w:pPr>
        <w:spacing w:after="120" w:before="0" w:line="276" w:lineRule="auto"/>
        <w:ind w:left="720" w:hanging="360"/>
        <w:jc w:val="both"/>
      </w:pPr>
      <w:r>
        <w:rPr>
          <w:rFonts w:ascii="Times New Roman" w:hAnsi="Times New Roman" w:cs="Times New Roman"/>
          <w:b/>
          <w:i w:val="0"/>
          <w:sz w:val="24"/>
          <w:u w:val="none"/>
        </w:rPr>
        <w:t>No. 12.</w:t>
        <w:tab/>
      </w:r>
      <w:r>
        <w:rPr>
          <w:rFonts w:ascii="Times New Roman" w:hAnsi="Times New Roman" w:cs="Times New Roman"/>
          <w:b w:val="0"/>
          <w:i w:val="0"/>
          <w:sz w:val="24"/>
          <w:u w:val="none"/>
        </w:rPr>
        <w:t>State whether the USB Drive, or any of the CMT Files, or any copy, reproduction, summary, extract, or derivative thereof, has ever been in the possession, custody, or control of Veridian or any Veridian Person, and if so, identify every Person who received, accessed, copied, transferred, stored, viewed, or used the USB Drive or any CMT File, the date(s) and location(s) of such access or use, the device(s) or system(s) involved, and what was done with the USB Drive or CMT Files.</w:t>
      </w:r>
    </w:p>
    <w:p>
      <w:pPr>
        <w:spacing w:after="120" w:before="0" w:line="276" w:lineRule="auto"/>
        <w:ind w:left="720" w:hanging="360"/>
        <w:jc w:val="both"/>
      </w:pPr>
      <w:r>
        <w:rPr>
          <w:rFonts w:ascii="Times New Roman" w:hAnsi="Times New Roman" w:cs="Times New Roman"/>
          <w:b/>
          <w:i w:val="0"/>
          <w:sz w:val="24"/>
          <w:u w:val="none"/>
        </w:rPr>
        <w:t>No. 13.</w:t>
        <w:tab/>
      </w:r>
      <w:r>
        <w:rPr>
          <w:rFonts w:ascii="Times New Roman" w:hAnsi="Times New Roman" w:cs="Times New Roman"/>
          <w:b w:val="0"/>
          <w:i w:val="0"/>
          <w:sz w:val="24"/>
          <w:u w:val="none"/>
        </w:rPr>
        <w:t>State whether any CMT Trade Secret information, or any information derived from, based upon, or informed by the CMT Trade Secrets or the CMT Files, was used, incorporated, referenced, relied upon, consulted, or otherwise exploited in connection with the conception, design, development, testing, validation, or marketing of SynapticEdge, and if so, identify the specific information used, the identity of all Persons who used it, the manner and purpose of such use, the dates of such use, and all Documents reflecting such use.</w:t>
      </w:r>
    </w:p>
    <w:p>
      <w:pPr>
        <w:spacing w:after="120" w:before="0" w:line="276" w:lineRule="auto"/>
        <w:ind w:left="720" w:hanging="360"/>
        <w:jc w:val="both"/>
      </w:pPr>
      <w:r>
        <w:rPr>
          <w:rFonts w:ascii="Times New Roman" w:hAnsi="Times New Roman" w:cs="Times New Roman"/>
          <w:b/>
          <w:i w:val="0"/>
          <w:sz w:val="24"/>
          <w:u w:val="none"/>
        </w:rPr>
        <w:t>No. 14.</w:t>
        <w:tab/>
      </w:r>
      <w:r>
        <w:rPr>
          <w:rFonts w:ascii="Times New Roman" w:hAnsi="Times New Roman" w:cs="Times New Roman"/>
          <w:b w:val="0"/>
          <w:i w:val="0"/>
          <w:sz w:val="24"/>
          <w:u w:val="none"/>
        </w:rPr>
        <w:t>State whether Veridian implemented any information barriers, ethical walls, clean-room procedures, screening protocols, onboarding restrictions, or other measures designed to prevent the use, disclosure, or incorporation of CMT’s proprietary or trade secret information in Veridian’s products or operations following the hiring of Oshiro or any of the Former CMT Engineers, and if so, describe each measure in detail, state when it was implemented, identify the Person(s) responsible for implementing and enforcing it, and identify all Documents reflecting such measures; if no such measures were implemented, state so expressly.</w:t>
      </w:r>
    </w:p>
    <w:p>
      <w:pPr>
        <w:spacing w:after="120" w:before="0" w:line="276" w:lineRule="auto"/>
        <w:ind w:left="720" w:hanging="360"/>
        <w:jc w:val="both"/>
      </w:pPr>
      <w:r>
        <w:rPr>
          <w:rFonts w:ascii="Times New Roman" w:hAnsi="Times New Roman" w:cs="Times New Roman"/>
          <w:b/>
          <w:i w:val="0"/>
          <w:sz w:val="24"/>
          <w:u w:val="none"/>
        </w:rPr>
        <w:t>No. 15.</w:t>
        <w:tab/>
      </w:r>
      <w:r>
        <w:rPr>
          <w:rFonts w:ascii="Times New Roman" w:hAnsi="Times New Roman" w:cs="Times New Roman"/>
          <w:b w:val="0"/>
          <w:i w:val="0"/>
          <w:sz w:val="24"/>
          <w:u w:val="none"/>
        </w:rPr>
        <w:t>State when and how Veridian first became aware of the existence of the NeuralPath Algorithm, the PrecisionDrive System, and the PathPlanner Module, and for each, identify every Veridian Person who has had any knowledge of the technology, the source and date of that knowledge, and all Documents reflecting such knowledge.</w:t>
      </w:r>
    </w:p>
    <w:p>
      <w:pPr>
        <w:spacing w:after="120" w:before="0" w:line="276" w:lineRule="auto"/>
        <w:ind w:left="720" w:hanging="360"/>
        <w:jc w:val="both"/>
      </w:pPr>
      <w:r>
        <w:rPr>
          <w:rFonts w:ascii="Times New Roman" w:hAnsi="Times New Roman" w:cs="Times New Roman"/>
          <w:b/>
          <w:i w:val="0"/>
          <w:sz w:val="24"/>
          <w:u w:val="none"/>
        </w:rPr>
        <w:t>No. 16.</w:t>
        <w:tab/>
      </w:r>
      <w:r>
        <w:rPr>
          <w:rFonts w:ascii="Times New Roman" w:hAnsi="Times New Roman" w:cs="Times New Roman"/>
          <w:b w:val="0"/>
          <w:i w:val="0"/>
          <w:sz w:val="24"/>
          <w:u w:val="none"/>
        </w:rPr>
        <w:t>For each of the Former CMT Engineers (Dr. Kenji Furukawa, Samantha Briggs, and David Moreno), state the complete circumstances of that Person’s recruitment and hiring by Veridian, including:</w:t>
      </w:r>
    </w:p>
    <w:p>
      <w:pPr>
        <w:spacing w:after="80" w:before="0" w:line="276" w:lineRule="auto"/>
        <w:ind w:left="1440" w:hanging="360"/>
        <w:jc w:val="both"/>
      </w:pPr>
      <w:r>
        <w:rPr>
          <w:rFonts w:ascii="Times New Roman" w:hAnsi="Times New Roman" w:cs="Times New Roman"/>
          <w:b w:val="0"/>
          <w:i w:val="0"/>
          <w:sz w:val="24"/>
          <w:u w:val="none"/>
        </w:rPr>
        <w:t>(a)</w:t>
        <w:tab/>
      </w:r>
      <w:r>
        <w:rPr>
          <w:rFonts w:ascii="Times New Roman" w:hAnsi="Times New Roman" w:cs="Times New Roman"/>
          <w:b w:val="0"/>
          <w:i w:val="0"/>
          <w:sz w:val="24"/>
          <w:u w:val="none"/>
        </w:rPr>
        <w:t>who initiated contact and the date contact was initiated;</w:t>
      </w:r>
    </w:p>
    <w:p>
      <w:pPr>
        <w:spacing w:after="80" w:before="0" w:line="276" w:lineRule="auto"/>
        <w:ind w:left="1440" w:hanging="360"/>
        <w:jc w:val="both"/>
      </w:pPr>
      <w:r>
        <w:rPr>
          <w:rFonts w:ascii="Times New Roman" w:hAnsi="Times New Roman" w:cs="Times New Roman"/>
          <w:b w:val="0"/>
          <w:i w:val="0"/>
          <w:sz w:val="24"/>
          <w:u w:val="none"/>
        </w:rPr>
        <w:t>(b)</w:t>
        <w:tab/>
      </w:r>
      <w:r>
        <w:rPr>
          <w:rFonts w:ascii="Times New Roman" w:hAnsi="Times New Roman" w:cs="Times New Roman"/>
          <w:b w:val="0"/>
          <w:i w:val="0"/>
          <w:sz w:val="24"/>
          <w:u w:val="none"/>
        </w:rPr>
        <w:t>the role, if any, of Oshiro in the recruitment, solicitation, or hiring of the Person;</w:t>
      </w:r>
    </w:p>
    <w:p>
      <w:pPr>
        <w:spacing w:after="80" w:before="0" w:line="276" w:lineRule="auto"/>
        <w:ind w:left="1440" w:hanging="360"/>
        <w:jc w:val="both"/>
      </w:pPr>
      <w:r>
        <w:rPr>
          <w:rFonts w:ascii="Times New Roman" w:hAnsi="Times New Roman" w:cs="Times New Roman"/>
          <w:b w:val="0"/>
          <w:i w:val="0"/>
          <w:sz w:val="24"/>
          <w:u w:val="none"/>
        </w:rPr>
        <w:t>(c)</w:t>
        <w:tab/>
      </w:r>
      <w:r>
        <w:rPr>
          <w:rFonts w:ascii="Times New Roman" w:hAnsi="Times New Roman" w:cs="Times New Roman"/>
          <w:b w:val="0"/>
          <w:i w:val="0"/>
          <w:sz w:val="24"/>
          <w:u w:val="none"/>
        </w:rPr>
        <w:t>all Communications between any Veridian Person and the individual concerning employment at Veridian; and</w:t>
      </w:r>
    </w:p>
    <w:p>
      <w:pPr>
        <w:spacing w:after="80" w:before="0" w:line="276" w:lineRule="auto"/>
        <w:ind w:left="1440" w:hanging="360"/>
        <w:jc w:val="both"/>
      </w:pPr>
      <w:r>
        <w:rPr>
          <w:rFonts w:ascii="Times New Roman" w:hAnsi="Times New Roman" w:cs="Times New Roman"/>
          <w:b w:val="0"/>
          <w:i w:val="0"/>
          <w:sz w:val="24"/>
          <w:u w:val="none"/>
        </w:rPr>
        <w:t>(d)</w:t>
        <w:tab/>
      </w:r>
      <w:r>
        <w:rPr>
          <w:rFonts w:ascii="Times New Roman" w:hAnsi="Times New Roman" w:cs="Times New Roman"/>
          <w:b w:val="0"/>
          <w:i w:val="0"/>
          <w:sz w:val="24"/>
          <w:u w:val="none"/>
        </w:rPr>
        <w:t>whether Veridian knew, at the time of the recruitment or hiring, of Oshiro’s non-solicitation obligations to CMT under the NDA.</w:t>
      </w:r>
    </w:p>
    <w:p>
      <w:pPr>
        <w:spacing w:after="120" w:before="0" w:line="276" w:lineRule="auto"/>
        <w:ind w:left="720" w:hanging="360"/>
        <w:jc w:val="both"/>
      </w:pPr>
      <w:r>
        <w:rPr>
          <w:rFonts w:ascii="Times New Roman" w:hAnsi="Times New Roman" w:cs="Times New Roman"/>
          <w:b/>
          <w:i w:val="0"/>
          <w:sz w:val="24"/>
          <w:u w:val="none"/>
        </w:rPr>
        <w:t>No. 17.</w:t>
        <w:tab/>
      </w:r>
      <w:r>
        <w:rPr>
          <w:rFonts w:ascii="Times New Roman" w:hAnsi="Times New Roman" w:cs="Times New Roman"/>
          <w:b w:val="0"/>
          <w:i w:val="0"/>
          <w:sz w:val="24"/>
          <w:u w:val="none"/>
        </w:rPr>
        <w:t>For each of the Former CMT Engineers, state the Person’s current position, title, and responsibilities at Veridian, the specific SynapticEdge features, components, or subsystems on which the Person has worked, and whether the Person’s work at Veridian relates to the same CMT Trade Secret technology that the Person worked on while employed at CMT.</w:t>
      </w:r>
    </w:p>
    <w:p>
      <w:pPr>
        <w:spacing w:after="120" w:before="0" w:line="276" w:lineRule="auto"/>
        <w:ind w:left="720" w:hanging="360"/>
        <w:jc w:val="both"/>
      </w:pPr>
      <w:r>
        <w:rPr>
          <w:rFonts w:ascii="Times New Roman" w:hAnsi="Times New Roman" w:cs="Times New Roman"/>
          <w:b/>
          <w:i w:val="0"/>
          <w:sz w:val="24"/>
          <w:u w:val="none"/>
        </w:rPr>
        <w:t>No. 18.</w:t>
        <w:tab/>
      </w:r>
      <w:r>
        <w:rPr>
          <w:rFonts w:ascii="Times New Roman" w:hAnsi="Times New Roman" w:cs="Times New Roman"/>
          <w:b w:val="0"/>
          <w:i w:val="0"/>
          <w:sz w:val="24"/>
          <w:u w:val="none"/>
        </w:rPr>
        <w:t>State the complete status of SynapticEdge’s commercialization as of the date of your response, including:</w:t>
      </w:r>
    </w:p>
    <w:p>
      <w:pPr>
        <w:spacing w:after="80" w:before="0" w:line="276" w:lineRule="auto"/>
        <w:ind w:left="1440" w:hanging="360"/>
        <w:jc w:val="both"/>
      </w:pPr>
      <w:r>
        <w:rPr>
          <w:rFonts w:ascii="Times New Roman" w:hAnsi="Times New Roman" w:cs="Times New Roman"/>
          <w:b w:val="0"/>
          <w:i w:val="0"/>
          <w:sz w:val="24"/>
          <w:u w:val="none"/>
        </w:rPr>
        <w:t>(a)</w:t>
        <w:tab/>
      </w:r>
      <w:r>
        <w:rPr>
          <w:rFonts w:ascii="Times New Roman" w:hAnsi="Times New Roman" w:cs="Times New Roman"/>
          <w:b w:val="0"/>
          <w:i w:val="0"/>
          <w:sz w:val="24"/>
          <w:u w:val="none"/>
        </w:rPr>
        <w:t>the identity of every customer, hospital, medical institution, or health system to which SynapticEdge has been marketed, licensed, sold, offered for sale, demonstrated, or deployed;</w:t>
      </w:r>
    </w:p>
    <w:p>
      <w:pPr>
        <w:spacing w:after="80" w:before="0" w:line="276" w:lineRule="auto"/>
        <w:ind w:left="1440" w:hanging="360"/>
        <w:jc w:val="both"/>
      </w:pPr>
      <w:r>
        <w:rPr>
          <w:rFonts w:ascii="Times New Roman" w:hAnsi="Times New Roman" w:cs="Times New Roman"/>
          <w:b w:val="0"/>
          <w:i w:val="0"/>
          <w:sz w:val="24"/>
          <w:u w:val="none"/>
        </w:rPr>
        <w:t>(b)</w:t>
        <w:tab/>
      </w:r>
      <w:r>
        <w:rPr>
          <w:rFonts w:ascii="Times New Roman" w:hAnsi="Times New Roman" w:cs="Times New Roman"/>
          <w:b w:val="0"/>
          <w:i w:val="0"/>
          <w:sz w:val="24"/>
          <w:u w:val="none"/>
        </w:rPr>
        <w:t>all revenue received or projected to be received from SynapticEdge; and</w:t>
      </w:r>
    </w:p>
    <w:p>
      <w:pPr>
        <w:spacing w:after="80" w:before="0" w:line="276" w:lineRule="auto"/>
        <w:ind w:left="1440" w:hanging="360"/>
        <w:jc w:val="both"/>
      </w:pPr>
      <w:r>
        <w:rPr>
          <w:rFonts w:ascii="Times New Roman" w:hAnsi="Times New Roman" w:cs="Times New Roman"/>
          <w:b w:val="0"/>
          <w:i w:val="0"/>
          <w:sz w:val="24"/>
          <w:u w:val="none"/>
        </w:rPr>
        <w:t>(c)</w:t>
        <w:tab/>
      </w:r>
      <w:r>
        <w:rPr>
          <w:rFonts w:ascii="Times New Roman" w:hAnsi="Times New Roman" w:cs="Times New Roman"/>
          <w:b w:val="0"/>
          <w:i w:val="0"/>
          <w:sz w:val="24"/>
          <w:u w:val="none"/>
        </w:rPr>
        <w:t>all marketing, licensing, sales, demonstration, or beta-testing activities and the dates thereof.</w:t>
      </w:r>
    </w:p>
    <w:p>
      <w:pPr>
        <w:spacing w:after="120" w:before="0" w:line="276" w:lineRule="auto"/>
        <w:ind w:left="720" w:hanging="360"/>
        <w:jc w:val="both"/>
      </w:pPr>
      <w:r>
        <w:rPr>
          <w:rFonts w:ascii="Times New Roman" w:hAnsi="Times New Roman" w:cs="Times New Roman"/>
          <w:b/>
          <w:i w:val="0"/>
          <w:sz w:val="24"/>
          <w:u w:val="none"/>
        </w:rPr>
        <w:t>No. 19.</w:t>
        <w:tab/>
      </w:r>
      <w:r>
        <w:rPr>
          <w:rFonts w:ascii="Times New Roman" w:hAnsi="Times New Roman" w:cs="Times New Roman"/>
          <w:b w:val="0"/>
          <w:i w:val="0"/>
          <w:sz w:val="24"/>
          <w:u w:val="none"/>
        </w:rPr>
        <w:t>State the complete circumstances of the $60 million Series C investment in Veridian led by Thorncastle Ventures, including all representations, statements, or disclosures made by Veridian or any Veridian Person to Thorncastle Ventures or its representatives regarding SynapticEdge’s technology, development timeline, development history, or origins, and identify all Documents relating to the investment, including pitch materials, due diligence materials, and investment agreements.</w:t>
      </w:r>
    </w:p>
    <w:p>
      <w:pPr>
        <w:spacing w:after="120" w:before="0" w:line="276" w:lineRule="auto"/>
        <w:ind w:left="720" w:hanging="360"/>
        <w:jc w:val="both"/>
      </w:pPr>
      <w:r>
        <w:rPr>
          <w:rFonts w:ascii="Times New Roman" w:hAnsi="Times New Roman" w:cs="Times New Roman"/>
          <w:b/>
          <w:i w:val="0"/>
          <w:sz w:val="24"/>
          <w:u w:val="none"/>
        </w:rPr>
        <w:t>No. 20.</w:t>
        <w:tab/>
      </w:r>
      <w:r>
        <w:rPr>
          <w:rFonts w:ascii="Times New Roman" w:hAnsi="Times New Roman" w:cs="Times New Roman"/>
          <w:b w:val="0"/>
          <w:i w:val="0"/>
          <w:sz w:val="24"/>
          <w:u w:val="none"/>
        </w:rPr>
        <w:t>State whether Veridian developed, marketed, sold, or offered for sale any neurosurgical robotics product, or any product incorporating real-time neural mapping, harmonic micro-actuation, or machine-learning-based surgical planning, prior to Oshiro’s first day of employment at Veridian, and if so, identify each such product, state its development history and timeline, and identify all Documents relating to it; if no such product existed, state so expressly.</w:t>
      </w:r>
    </w:p>
    <w:p>
      <w:pPr>
        <w:spacing w:after="120" w:before="0" w:line="276" w:lineRule="auto"/>
        <w:ind w:left="720" w:hanging="360"/>
        <w:jc w:val="both"/>
      </w:pPr>
      <w:r>
        <w:rPr>
          <w:rFonts w:ascii="Times New Roman" w:hAnsi="Times New Roman" w:cs="Times New Roman"/>
          <w:b/>
          <w:i w:val="0"/>
          <w:sz w:val="24"/>
          <w:u w:val="none"/>
        </w:rPr>
        <w:t>No. 21.</w:t>
        <w:tab/>
      </w:r>
      <w:r>
        <w:rPr>
          <w:rFonts w:ascii="Times New Roman" w:hAnsi="Times New Roman" w:cs="Times New Roman"/>
          <w:b w:val="0"/>
          <w:i w:val="0"/>
          <w:sz w:val="24"/>
          <w:u w:val="none"/>
        </w:rPr>
        <w:t>State with particularity the complete factual basis for any contention, defense, or assertion that SynapticEdge, or any feature or component thereof, was conceived and developed independently of the CMT Trade Secrets, including the identity of all Persons who contributed to the independent development, the dates and locations of such work, the resources and source materials relied upon, and all Documents supporting the contention.</w:t>
      </w:r>
    </w:p>
    <w:p>
      <w:pPr>
        <w:spacing w:after="120" w:before="0" w:line="276" w:lineRule="auto"/>
        <w:ind w:left="720" w:hanging="360"/>
        <w:jc w:val="both"/>
      </w:pPr>
      <w:r>
        <w:rPr>
          <w:rFonts w:ascii="Times New Roman" w:hAnsi="Times New Roman" w:cs="Times New Roman"/>
          <w:b/>
          <w:i w:val="0"/>
          <w:sz w:val="24"/>
          <w:u w:val="none"/>
        </w:rPr>
        <w:t>No. 22.</w:t>
        <w:tab/>
      </w:r>
      <w:r>
        <w:rPr>
          <w:rFonts w:ascii="Times New Roman" w:hAnsi="Times New Roman" w:cs="Times New Roman"/>
          <w:b w:val="0"/>
          <w:i w:val="0"/>
          <w:sz w:val="24"/>
          <w:u w:val="none"/>
        </w:rPr>
        <w:t>State whether Veridian contends that any CMT Trade Secret, or any feature of SynapticEdge that overlaps with CMT’s technology, was derived from, based upon, or informed by publicly available information, CMT’s patent filings or published patent applications, reverse engineering, licensed technology, or any source other than CMT’s confidential information, and if so, identify the specific public source or basis, the identity of all Persons who relied upon it, the dates of such reliance, and all Documents supporting the contention.</w:t>
      </w:r>
    </w:p>
    <w:p>
      <w:pPr>
        <w:spacing w:after="120" w:before="0" w:line="276" w:lineRule="auto"/>
        <w:ind w:left="720" w:hanging="360"/>
        <w:jc w:val="both"/>
      </w:pPr>
      <w:r>
        <w:rPr>
          <w:rFonts w:ascii="Times New Roman" w:hAnsi="Times New Roman" w:cs="Times New Roman"/>
          <w:b/>
          <w:i w:val="0"/>
          <w:sz w:val="24"/>
          <w:u w:val="none"/>
        </w:rPr>
        <w:t>No. 23.</w:t>
        <w:tab/>
      </w:r>
      <w:r>
        <w:rPr>
          <w:rFonts w:ascii="Times New Roman" w:hAnsi="Times New Roman" w:cs="Times New Roman"/>
          <w:b w:val="0"/>
          <w:i w:val="0"/>
          <w:sz w:val="24"/>
          <w:u w:val="none"/>
        </w:rPr>
        <w:t>State whether Veridian knew, or had reason to know, at any time that Oshiro acquired any CMT Trade Secret or CMT File by improper means or in breach of any obligation owed to CMT, and if so, state when Veridian acquired such knowledge, the source of that knowledge, the identity of all Persons with such knowledge, and all Communications and Documents reflecting such knowledge.</w:t>
      </w:r>
    </w:p>
    <w:p>
      <w:pPr>
        <w:spacing w:after="120" w:before="0" w:line="276" w:lineRule="auto"/>
        <w:ind w:left="720" w:hanging="360"/>
        <w:jc w:val="both"/>
      </w:pPr>
      <w:r>
        <w:rPr>
          <w:rFonts w:ascii="Times New Roman" w:hAnsi="Times New Roman" w:cs="Times New Roman"/>
          <w:b/>
          <w:i w:val="0"/>
          <w:sz w:val="24"/>
          <w:u w:val="none"/>
        </w:rPr>
        <w:t>No. 24.</w:t>
        <w:tab/>
      </w:r>
      <w:r>
        <w:rPr>
          <w:rFonts w:ascii="Times New Roman" w:hAnsi="Times New Roman" w:cs="Times New Roman"/>
          <w:b w:val="0"/>
          <w:i w:val="0"/>
          <w:sz w:val="24"/>
          <w:u w:val="none"/>
        </w:rPr>
        <w:t>State all actions that Veridian has taken, and all actions that it has failed to take, in response to:</w:t>
      </w:r>
    </w:p>
    <w:p>
      <w:pPr>
        <w:spacing w:after="80" w:before="0" w:line="276" w:lineRule="auto"/>
        <w:ind w:left="1440" w:hanging="360"/>
        <w:jc w:val="both"/>
      </w:pPr>
      <w:r>
        <w:rPr>
          <w:rFonts w:ascii="Times New Roman" w:hAnsi="Times New Roman" w:cs="Times New Roman"/>
          <w:b w:val="0"/>
          <w:i w:val="0"/>
          <w:sz w:val="24"/>
          <w:u w:val="none"/>
        </w:rPr>
        <w:t>(a)</w:t>
        <w:tab/>
      </w:r>
      <w:r>
        <w:rPr>
          <w:rFonts w:ascii="Times New Roman" w:hAnsi="Times New Roman" w:cs="Times New Roman"/>
          <w:b w:val="0"/>
          <w:i w:val="0"/>
          <w:sz w:val="24"/>
          <w:u w:val="none"/>
        </w:rPr>
        <w:t>the litigation hold letter dated June 28, 2024, from CMT’s counsel; and</w:t>
      </w:r>
    </w:p>
    <w:p>
      <w:pPr>
        <w:spacing w:after="80" w:before="0" w:line="276" w:lineRule="auto"/>
        <w:ind w:left="1440" w:hanging="360"/>
        <w:jc w:val="both"/>
      </w:pPr>
      <w:r>
        <w:rPr>
          <w:rFonts w:ascii="Times New Roman" w:hAnsi="Times New Roman" w:cs="Times New Roman"/>
          <w:b w:val="0"/>
          <w:i w:val="0"/>
          <w:sz w:val="24"/>
          <w:u w:val="none"/>
        </w:rPr>
        <w:t>(b)</w:t>
        <w:tab/>
      </w:r>
      <w:r>
        <w:rPr>
          <w:rFonts w:ascii="Times New Roman" w:hAnsi="Times New Roman" w:cs="Times New Roman"/>
          <w:b w:val="0"/>
          <w:i w:val="0"/>
          <w:sz w:val="24"/>
          <w:u w:val="none"/>
        </w:rPr>
        <w:t>the Temporary Restraining Order entered by the Court on August 2, 2024, including the issuance of any internal litigation hold notices, the suspension of any document retention, destruction, or overwriting policies, and the preservation of electronically stored information, and identify all Documents reflecting such actions, including any litigation hold notices issued to Veridian personnel.</w:t>
      </w:r>
    </w:p>
    <w:p>
      <w:pPr>
        <w:spacing w:after="120" w:before="0" w:line="276" w:lineRule="auto"/>
        <w:ind w:left="720" w:hanging="360"/>
        <w:jc w:val="both"/>
      </w:pPr>
      <w:r>
        <w:rPr>
          <w:rFonts w:ascii="Times New Roman" w:hAnsi="Times New Roman" w:cs="Times New Roman"/>
          <w:b/>
          <w:i w:val="0"/>
          <w:sz w:val="24"/>
          <w:u w:val="none"/>
        </w:rPr>
        <w:t>No. 25.</w:t>
        <w:tab/>
      </w:r>
      <w:r>
        <w:rPr>
          <w:rFonts w:ascii="Times New Roman" w:hAnsi="Times New Roman" w:cs="Times New Roman"/>
          <w:b w:val="0"/>
          <w:i w:val="0"/>
          <w:sz w:val="24"/>
          <w:u w:val="none"/>
        </w:rPr>
        <w:t>State the current location and status of the USB Drive and all CMT Files, including whether the USB Drive has been located, preserved, forensically imaged, searched, or examined; whether any CMT File has been deleted, altered, copied, transferred, or destroyed; and identify every Person who has had custody of, control over, or access to the USB Drive or any CMT File at any time since March 1, 2024.</w:t>
      </w:r>
    </w:p>
    <w:p>
      <w:pPr>
        <w:spacing w:after="120" w:before="0" w:line="276" w:lineRule="auto"/>
        <w:jc w:val="both"/>
      </w:pPr>
    </w:p>
    <w:p>
      <w:pPr>
        <w:spacing w:after="200" w:before="0" w:line="276" w:lineRule="auto"/>
        <w:jc w:val="both"/>
      </w:pPr>
      <w:r>
        <w:rPr>
          <w:rFonts w:ascii="Times New Roman" w:hAnsi="Times New Roman" w:cs="Times New Roman"/>
          <w:b w:val="0"/>
          <w:i w:val="0"/>
          <w:sz w:val="24"/>
          <w:u w:val="none"/>
        </w:rPr>
        <w:t>Respectfully submitted,</w:t>
      </w:r>
    </w:p>
    <w:p>
      <w:pPr>
        <w:spacing w:after="200" w:before="0" w:line="276" w:lineRule="auto"/>
        <w:jc w:val="both"/>
      </w:pPr>
      <w:r>
        <w:rPr>
          <w:rFonts w:ascii="Times New Roman" w:hAnsi="Times New Roman" w:cs="Times New Roman"/>
          <w:b/>
          <w:i w:val="0"/>
          <w:sz w:val="24"/>
          <w:u w:val="none"/>
        </w:rPr>
        <w:t>HARGROVE, PELL &amp; SUTTON LLP</w:t>
      </w:r>
    </w:p>
    <w:p>
      <w:pPr>
        <w:spacing w:after="40" w:before="0" w:line="276" w:lineRule="auto"/>
        <w:jc w:val="both"/>
      </w:pPr>
      <w:r>
        <w:rPr>
          <w:rFonts w:ascii="Times New Roman" w:hAnsi="Times New Roman" w:cs="Times New Roman"/>
          <w:b w:val="0"/>
          <w:i w:val="0"/>
          <w:sz w:val="24"/>
          <w:u w:val="none"/>
        </w:rPr>
        <w:t>By: ___________________________</w:t>
      </w:r>
    </w:p>
    <w:p>
      <w:pPr>
        <w:spacing w:after="0" w:before="0" w:line="276" w:lineRule="auto"/>
        <w:jc w:val="both"/>
      </w:pPr>
      <w:r>
        <w:rPr>
          <w:rFonts w:ascii="Times New Roman" w:hAnsi="Times New Roman" w:cs="Times New Roman"/>
          <w:b w:val="0"/>
          <w:i w:val="0"/>
          <w:sz w:val="24"/>
          <w:u w:val="none"/>
        </w:rPr>
        <w:t>Margaret “Meg” Hargrove</w:t>
      </w:r>
    </w:p>
    <w:p>
      <w:pPr>
        <w:spacing w:after="0" w:before="0" w:line="276" w:lineRule="auto"/>
        <w:jc w:val="both"/>
      </w:pPr>
      <w:r>
        <w:rPr>
          <w:rFonts w:ascii="Times New Roman" w:hAnsi="Times New Roman" w:cs="Times New Roman"/>
          <w:b w:val="0"/>
          <w:i w:val="0"/>
          <w:sz w:val="24"/>
          <w:u w:val="none"/>
        </w:rPr>
        <w:t>State Bar No. 24058319</w:t>
      </w:r>
    </w:p>
    <w:p>
      <w:pPr>
        <w:spacing w:after="0" w:before="0" w:line="276" w:lineRule="auto"/>
        <w:jc w:val="both"/>
      </w:pPr>
      <w:r>
        <w:rPr>
          <w:rFonts w:ascii="Times New Roman" w:hAnsi="Times New Roman" w:cs="Times New Roman"/>
          <w:b w:val="0"/>
          <w:i w:val="0"/>
          <w:sz w:val="24"/>
          <w:u w:val="none"/>
        </w:rPr>
        <w:t>Kevin Nakamura</w:t>
      </w:r>
    </w:p>
    <w:p>
      <w:pPr>
        <w:spacing w:after="120" w:before="0" w:line="276" w:lineRule="auto"/>
        <w:jc w:val="both"/>
      </w:pPr>
      <w:r>
        <w:rPr>
          <w:rFonts w:ascii="Times New Roman" w:hAnsi="Times New Roman" w:cs="Times New Roman"/>
          <w:b w:val="0"/>
          <w:i w:val="0"/>
          <w:sz w:val="24"/>
          <w:u w:val="none"/>
        </w:rPr>
        <w:t>State Bar No. 24091742</w:t>
      </w:r>
    </w:p>
    <w:p>
      <w:pPr>
        <w:spacing w:after="0" w:before="0" w:line="276" w:lineRule="auto"/>
        <w:jc w:val="both"/>
      </w:pPr>
      <w:r>
        <w:rPr>
          <w:rFonts w:ascii="Times New Roman" w:hAnsi="Times New Roman" w:cs="Times New Roman"/>
          <w:b w:val="0"/>
          <w:i w:val="0"/>
          <w:sz w:val="24"/>
          <w:u w:val="none"/>
        </w:rPr>
        <w:t>Hargrove, Pell &amp; Sutton LLP</w:t>
      </w:r>
    </w:p>
    <w:p>
      <w:pPr>
        <w:spacing w:after="0" w:before="0" w:line="276" w:lineRule="auto"/>
        <w:jc w:val="both"/>
      </w:pPr>
      <w:r>
        <w:rPr>
          <w:rFonts w:ascii="Times New Roman" w:hAnsi="Times New Roman" w:cs="Times New Roman"/>
          <w:b w:val="0"/>
          <w:i w:val="0"/>
          <w:sz w:val="24"/>
          <w:u w:val="none"/>
        </w:rPr>
        <w:t>2900 Elm Street, 40th Floor</w:t>
      </w:r>
    </w:p>
    <w:p>
      <w:pPr>
        <w:spacing w:after="0" w:before="0" w:line="276" w:lineRule="auto"/>
        <w:jc w:val="both"/>
      </w:pPr>
      <w:r>
        <w:rPr>
          <w:rFonts w:ascii="Times New Roman" w:hAnsi="Times New Roman" w:cs="Times New Roman"/>
          <w:b w:val="0"/>
          <w:i w:val="0"/>
          <w:sz w:val="24"/>
          <w:u w:val="none"/>
        </w:rPr>
        <w:t>Dallas, Texas 75201</w:t>
      </w:r>
    </w:p>
    <w:p>
      <w:pPr>
        <w:spacing w:after="0" w:before="0" w:line="276" w:lineRule="auto"/>
        <w:jc w:val="both"/>
      </w:pPr>
      <w:r>
        <w:rPr>
          <w:rFonts w:ascii="Times New Roman" w:hAnsi="Times New Roman" w:cs="Times New Roman"/>
          <w:b w:val="0"/>
          <w:i w:val="0"/>
          <w:sz w:val="24"/>
          <w:u w:val="none"/>
        </w:rPr>
        <w:t>Telephone: (214) 555-8200</w:t>
      </w:r>
    </w:p>
    <w:p>
      <w:pPr>
        <w:spacing w:after="0" w:before="0" w:line="276" w:lineRule="auto"/>
        <w:jc w:val="both"/>
      </w:pPr>
      <w:r>
        <w:rPr>
          <w:rFonts w:ascii="Times New Roman" w:hAnsi="Times New Roman" w:cs="Times New Roman"/>
          <w:b w:val="0"/>
          <w:i w:val="0"/>
          <w:sz w:val="24"/>
          <w:u w:val="none"/>
        </w:rPr>
        <w:t>Facsimile: (214) 555-8201</w:t>
      </w:r>
    </w:p>
    <w:p>
      <w:pPr>
        <w:spacing w:after="0" w:before="0" w:line="276" w:lineRule="auto"/>
        <w:jc w:val="both"/>
      </w:pPr>
      <w:r>
        <w:rPr>
          <w:rFonts w:ascii="Times New Roman" w:hAnsi="Times New Roman" w:cs="Times New Roman"/>
          <w:b w:val="0"/>
          <w:i w:val="0"/>
          <w:sz w:val="24"/>
          <w:u w:val="none"/>
        </w:rPr>
        <w:t>Email: mhargrove@harpellsutton.com</w:t>
      </w:r>
    </w:p>
    <w:p>
      <w:pPr>
        <w:spacing w:after="160" w:before="0" w:line="276" w:lineRule="auto"/>
        <w:jc w:val="both"/>
      </w:pPr>
      <w:r>
        <w:rPr>
          <w:rFonts w:ascii="Times New Roman" w:hAnsi="Times New Roman" w:cs="Times New Roman"/>
          <w:b w:val="0"/>
          <w:i w:val="0"/>
          <w:sz w:val="24"/>
          <w:u w:val="none"/>
        </w:rPr>
        <w:t>Email: knakamura@harpellsutton.com</w:t>
      </w:r>
    </w:p>
    <w:p>
      <w:pPr>
        <w:spacing w:after="200" w:before="0" w:line="276" w:lineRule="auto"/>
        <w:jc w:val="both"/>
      </w:pPr>
      <w:r>
        <w:rPr>
          <w:rFonts w:ascii="Times New Roman" w:hAnsi="Times New Roman" w:cs="Times New Roman"/>
          <w:b w:val="0"/>
          <w:i/>
          <w:sz w:val="24"/>
          <w:u w:val="none"/>
        </w:rPr>
        <w:t>Attorneys for Plaintiff Castillo Medical Technologies, Inc.</w:t>
      </w:r>
    </w:p>
    <w:p>
      <w:pPr>
        <w:spacing w:after="240" w:before="0" w:line="276" w:lineRule="auto"/>
        <w:jc w:val="both"/>
      </w:pPr>
      <w:r>
        <w:rPr>
          <w:rFonts w:ascii="Times New Roman" w:hAnsi="Times New Roman" w:cs="Times New Roman"/>
          <w:b w:val="0"/>
          <w:i w:val="0"/>
          <w:sz w:val="24"/>
          <w:u w:val="none"/>
        </w:rPr>
        <w:t>Dated: November 14, 2024</w:t>
      </w:r>
    </w:p>
    <w:p>
      <w:pPr>
        <w:spacing w:after="160" w:before="240" w:line="276" w:lineRule="auto"/>
        <w:jc w:val="center"/>
      </w:pPr>
      <w:r>
        <w:rPr>
          <w:rFonts w:ascii="Times New Roman" w:hAnsi="Times New Roman" w:cs="Times New Roman"/>
          <w:b/>
          <w:i w:val="0"/>
          <w:sz w:val="24"/>
          <w:u w:val="single"/>
        </w:rPr>
        <w:t>CERTIFICATE OF SERVICE</w:t>
      </w:r>
    </w:p>
    <w:p>
      <w:pPr>
        <w:spacing w:after="120" w:before="0" w:line="276" w:lineRule="auto"/>
        <w:jc w:val="both"/>
      </w:pPr>
      <w:r>
        <w:rPr>
          <w:rFonts w:ascii="Times New Roman" w:hAnsi="Times New Roman" w:cs="Times New Roman"/>
          <w:b w:val="0"/>
          <w:i w:val="0"/>
          <w:sz w:val="24"/>
          <w:u w:val="none"/>
        </w:rPr>
        <w:t>I hereby certify that on the 14th day of November, 2024, I caused the foregoing PLAINTIFF’S FIRST SET OF INTERROGATORIES TO DEFENDANT VERIDIAN HEALTH SYSTEMS, LLC to be served upon counsel of record via electronic mail and the Court’s CM/ECF electronic filing system, as follows:</w:t>
      </w:r>
    </w:p>
    <w:p>
      <w:pPr>
        <w:spacing w:after="0" w:before="0" w:line="276" w:lineRule="auto"/>
        <w:jc w:val="both"/>
      </w:pPr>
      <w:r>
        <w:rPr>
          <w:rFonts w:ascii="Times New Roman" w:hAnsi="Times New Roman" w:cs="Times New Roman"/>
          <w:b w:val="0"/>
          <w:i w:val="0"/>
          <w:sz w:val="24"/>
          <w:u w:val="none"/>
        </w:rPr>
        <w:t>Stephen Osei</w:t>
      </w:r>
    </w:p>
    <w:p>
      <w:pPr>
        <w:spacing w:after="0" w:before="0" w:line="276" w:lineRule="auto"/>
        <w:jc w:val="both"/>
      </w:pPr>
      <w:r>
        <w:rPr>
          <w:rFonts w:ascii="Times New Roman" w:hAnsi="Times New Roman" w:cs="Times New Roman"/>
          <w:b w:val="0"/>
          <w:i w:val="0"/>
          <w:sz w:val="24"/>
          <w:u w:val="none"/>
        </w:rPr>
        <w:t>Drummond &amp; Wakefield LLP</w:t>
      </w:r>
    </w:p>
    <w:p>
      <w:pPr>
        <w:spacing w:after="0" w:before="0" w:line="276" w:lineRule="auto"/>
        <w:jc w:val="both"/>
      </w:pPr>
      <w:r>
        <w:rPr>
          <w:rFonts w:ascii="Times New Roman" w:hAnsi="Times New Roman" w:cs="Times New Roman"/>
          <w:b w:val="0"/>
          <w:i w:val="0"/>
          <w:sz w:val="24"/>
          <w:u w:val="none"/>
        </w:rPr>
        <w:t>1150 K Street NW, Suite 1200</w:t>
      </w:r>
    </w:p>
    <w:p>
      <w:pPr>
        <w:spacing w:after="0" w:before="0" w:line="276" w:lineRule="auto"/>
        <w:jc w:val="both"/>
      </w:pPr>
      <w:r>
        <w:rPr>
          <w:rFonts w:ascii="Times New Roman" w:hAnsi="Times New Roman" w:cs="Times New Roman"/>
          <w:b w:val="0"/>
          <w:i w:val="0"/>
          <w:sz w:val="24"/>
          <w:u w:val="none"/>
        </w:rPr>
        <w:t>Washington, DC 20005</w:t>
      </w:r>
    </w:p>
    <w:p>
      <w:pPr>
        <w:spacing w:after="160" w:before="0" w:line="276" w:lineRule="auto"/>
        <w:jc w:val="both"/>
      </w:pPr>
      <w:r>
        <w:rPr>
          <w:rFonts w:ascii="Times New Roman" w:hAnsi="Times New Roman" w:cs="Times New Roman"/>
          <w:b w:val="0"/>
          <w:i/>
          <w:sz w:val="24"/>
          <w:u w:val="none"/>
        </w:rPr>
        <w:t>Counsel for Defendant Veridian Health Systems, LLC</w:t>
      </w:r>
    </w:p>
    <w:p>
      <w:pPr>
        <w:spacing w:after="0" w:before="0" w:line="276" w:lineRule="auto"/>
        <w:jc w:val="both"/>
      </w:pPr>
      <w:r>
        <w:rPr>
          <w:rFonts w:ascii="Times New Roman" w:hAnsi="Times New Roman" w:cs="Times New Roman"/>
          <w:b w:val="0"/>
          <w:i w:val="0"/>
          <w:sz w:val="24"/>
          <w:u w:val="none"/>
        </w:rPr>
        <w:t>Patricia Dominguez</w:t>
      </w:r>
    </w:p>
    <w:p>
      <w:pPr>
        <w:spacing w:after="0" w:before="0" w:line="276" w:lineRule="auto"/>
        <w:jc w:val="both"/>
      </w:pPr>
      <w:r>
        <w:rPr>
          <w:rFonts w:ascii="Times New Roman" w:hAnsi="Times New Roman" w:cs="Times New Roman"/>
          <w:b w:val="0"/>
          <w:i w:val="0"/>
          <w:sz w:val="24"/>
          <w:u w:val="none"/>
        </w:rPr>
        <w:t>Barlow &amp; Crane PLLC</w:t>
      </w:r>
    </w:p>
    <w:p>
      <w:pPr>
        <w:spacing w:after="240" w:before="0" w:line="276" w:lineRule="auto"/>
        <w:jc w:val="both"/>
      </w:pPr>
      <w:r>
        <w:rPr>
          <w:rFonts w:ascii="Times New Roman" w:hAnsi="Times New Roman" w:cs="Times New Roman"/>
          <w:b w:val="0"/>
          <w:i/>
          <w:sz w:val="24"/>
          <w:u w:val="none"/>
        </w:rPr>
        <w:t>Counsel for Defendant Ryan Oshiro</w:t>
      </w:r>
    </w:p>
    <w:p>
      <w:pPr>
        <w:spacing w:after="40" w:before="0" w:line="276" w:lineRule="auto"/>
        <w:jc w:val="both"/>
      </w:pPr>
      <w:r>
        <w:rPr>
          <w:rFonts w:ascii="Times New Roman" w:hAnsi="Times New Roman" w:cs="Times New Roman"/>
          <w:b w:val="0"/>
          <w:i w:val="0"/>
          <w:sz w:val="24"/>
          <w:u w:val="none"/>
        </w:rPr>
        <w:t>____________________________</w:t>
      </w:r>
    </w:p>
    <w:p>
      <w:pPr>
        <w:spacing w:after="0" w:before="0" w:line="276" w:lineRule="auto"/>
        <w:jc w:val="both"/>
      </w:pPr>
      <w:r>
        <w:rPr>
          <w:rFonts w:ascii="Times New Roman" w:hAnsi="Times New Roman" w:cs="Times New Roman"/>
          <w:b w:val="0"/>
          <w:i w:val="0"/>
          <w:sz w:val="24"/>
          <w:u w:val="none"/>
        </w:rPr>
        <w:t>Margaret “Meg” Hargrove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18"/>
        <w:u w:val="none"/>
      </w:rPr>
      <w:t xml:space="preserve">Case No. 1:24-cv-03841-RLH    |    Page </w:t>
    </w:r>
    <w:r>
      <w:rPr>
        <w:rFonts w:ascii="Times New Roman" w:hAnsi="Times New Roman" w:cs="Times New Roman"/>
        <w:b w:val="0"/>
        <w:i w:val="0"/>
        <w:sz w:val="18"/>
        <w:u w:val="none"/>
      </w:rPr>
      <w:fldChar w:fldCharType="begin"/>
      <w:instrText xml:space="preserve">PAGE</w:instrText>
      <w:fldChar w:fldCharType="end"/>
    </w:r>
    <w:r>
      <w:rPr>
        <w:rFonts w:ascii="Times New Roman" w:hAnsi="Times New Roman" w:cs="Times New Roman"/>
        <w:b w:val="0"/>
        <w:i w:val="0"/>
        <w:sz w:val="18"/>
        <w:u w:val="none"/>
      </w:rPr>
      <w:t xml:space="preserve"> of </w:t>
    </w:r>
    <w:r>
      <w:rPr>
        <w:rFonts w:ascii="Times New Roman" w:hAnsi="Times New Roman" w:cs="Times New Roman"/>
        <w:b w:val="0"/>
        <w:i w:val="0"/>
        <w:sz w:val="18"/>
        <w:u w:val="none"/>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