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cs="Times New Roman"/>
          <w:b/>
          <w:i w:val="0"/>
          <w:sz w:val="24"/>
          <w:u w:val="none"/>
        </w:rPr>
        <w:t>STONEBRIDGE &amp; CALLOWAY LLP</w:t>
      </w:r>
    </w:p>
    <w:p>
      <w:pPr>
        <w:spacing w:after="40" w:before="0"/>
        <w:jc w:val="center"/>
      </w:pPr>
      <w:r>
        <w:rPr>
          <w:rFonts w:ascii="Times New Roman" w:hAnsi="Times New Roman" w:cs="Times New Roman"/>
          <w:b w:val="0"/>
          <w:i w:val="0"/>
          <w:sz w:val="20"/>
          <w:u w:val="none"/>
        </w:rPr>
        <w:t>600 Congress Avenue, Suite 2800  ·  Austin, Texas 78701</w:t>
      </w:r>
    </w:p>
    <w:p>
      <w:pPr>
        <w:spacing w:before="40" w:after="40"/>
        <w:pBdr>
          <w:bottom w:val="single" w:sz="6" w:space="1" w:color="000000"/>
        </w:pBdr>
      </w:pPr>
    </w:p>
    <w:p>
      <w:pPr>
        <w:spacing w:after="160" w:before="80"/>
        <w:jc w:val="center"/>
      </w:pPr>
      <w:r>
        <w:rPr>
          <w:rFonts w:ascii="Times New Roman" w:hAnsi="Times New Roman" w:cs="Times New Roman"/>
          <w:b/>
          <w:i w:val="0"/>
          <w:sz w:val="20"/>
          <w:u w:val="none"/>
        </w:rPr>
        <w:t>PRIVILEGED &amp; CONFIDENTIAL  ·  ATTORNEY WORK PRODUCT</w:t>
      </w:r>
    </w:p>
    <w:p>
      <w:pPr>
        <w:spacing w:after="160" w:before="0"/>
        <w:jc w:val="center"/>
      </w:pPr>
      <w:r>
        <w:rPr>
          <w:rFonts w:ascii="Times New Roman" w:hAnsi="Times New Roman" w:cs="Times New Roman"/>
          <w:b/>
          <w:i w:val="0"/>
          <w:sz w:val="24"/>
          <w:u w:val="none"/>
        </w:rPr>
        <w:t>MEMORANDUM</w:t>
      </w:r>
    </w:p>
    <w:p>
      <w:pPr>
        <w:spacing w:after="40" w:line="240" w:lineRule="auto"/>
        <w:ind w:left="0"/>
      </w:pPr>
      <w:r>
        <w:rPr>
          <w:rFonts w:ascii="Times New Roman" w:hAnsi="Times New Roman" w:cs="Times New Roman"/>
          <w:b/>
          <w:i w:val="0"/>
          <w:sz w:val="24"/>
          <w:u w:val="none"/>
        </w:rPr>
        <w:t xml:space="preserve">TO:  </w:t>
      </w:r>
      <w:r>
        <w:rPr>
          <w:rFonts w:ascii="Times New Roman" w:hAnsi="Times New Roman" w:cs="Times New Roman"/>
          <w:b w:val="0"/>
          <w:i w:val="0"/>
          <w:sz w:val="24"/>
          <w:u w:val="none"/>
        </w:rPr>
        <w:t>Margaret “Meg” Calloway, Lead Partner; David Arsenault, Senior Associate</w:t>
      </w:r>
    </w:p>
    <w:p>
      <w:pPr>
        <w:spacing w:after="40" w:line="240" w:lineRule="auto"/>
        <w:ind w:left="0"/>
      </w:pPr>
      <w:r>
        <w:rPr>
          <w:rFonts w:ascii="Times New Roman" w:hAnsi="Times New Roman" w:cs="Times New Roman"/>
          <w:b/>
          <w:i w:val="0"/>
          <w:sz w:val="24"/>
          <w:u w:val="none"/>
        </w:rPr>
        <w:t xml:space="preserve">FROM:  </w:t>
      </w:r>
      <w:r>
        <w:rPr>
          <w:rFonts w:ascii="Times New Roman" w:hAnsi="Times New Roman" w:cs="Times New Roman"/>
          <w:b w:val="0"/>
          <w:i w:val="0"/>
          <w:sz w:val="24"/>
          <w:u w:val="none"/>
        </w:rPr>
        <w:t>Litigation Team, Stonebridge &amp; Calloway LLP</w:t>
      </w:r>
    </w:p>
    <w:p>
      <w:pPr>
        <w:spacing w:after="40" w:line="240" w:lineRule="auto"/>
        <w:ind w:left="0"/>
      </w:pPr>
      <w:r>
        <w:rPr>
          <w:rFonts w:ascii="Times New Roman" w:hAnsi="Times New Roman" w:cs="Times New Roman"/>
          <w:b/>
          <w:i w:val="0"/>
          <w:sz w:val="24"/>
          <w:u w:val="none"/>
        </w:rPr>
        <w:t xml:space="preserve">DATE:  </w:t>
      </w:r>
      <w:r>
        <w:rPr>
          <w:rFonts w:ascii="Times New Roman" w:hAnsi="Times New Roman" w:cs="Times New Roman"/>
          <w:b w:val="0"/>
          <w:i w:val="0"/>
          <w:sz w:val="24"/>
          <w:u w:val="none"/>
        </w:rPr>
        <w:t>January 8, 2024</w:t>
      </w:r>
    </w:p>
    <w:p>
      <w:pPr>
        <w:spacing w:after="40" w:line="240" w:lineRule="auto"/>
        <w:ind w:left="0"/>
      </w:pPr>
      <w:r>
        <w:rPr>
          <w:rFonts w:ascii="Times New Roman" w:hAnsi="Times New Roman" w:cs="Times New Roman"/>
          <w:b/>
          <w:i w:val="0"/>
          <w:sz w:val="24"/>
          <w:u w:val="none"/>
        </w:rPr>
        <w:t xml:space="preserve">RE:  </w:t>
      </w:r>
      <w:r>
        <w:rPr>
          <w:rFonts w:ascii="Times New Roman" w:hAnsi="Times New Roman" w:cs="Times New Roman"/>
          <w:b w:val="0"/>
          <w:i w:val="0"/>
          <w:sz w:val="24"/>
          <w:u w:val="none"/>
        </w:rPr>
        <w:t>Threshold Issues — Rule 12(b)(6) Motion to Dismiss, Arcadia Health Systems, LLC v. Meridian Cloud Solutions, Inc., No. 1:23-cv-00847-CMA (W.D. Tex., Austin Div.)</w:t>
      </w:r>
    </w:p>
    <w:p>
      <w:pPr>
        <w:spacing w:before="40" w:after="40"/>
        <w:pBdr>
          <w:bottom w:val="single" w:sz="6" w:space="1" w:color="000000"/>
        </w:pBdr>
      </w:pPr>
    </w:p>
    <w:p>
      <w:pPr>
        <w:spacing w:after="0" w:before="0"/>
        <w:jc w:val="both"/>
      </w:pPr>
      <w:r>
        <w:rPr>
          <w:rFonts w:ascii="Times New Roman" w:hAnsi="Times New Roman" w:cs="Times New Roman"/>
          <w:b w:val="0"/>
          <w:i w:val="0"/>
          <w:sz w:val="24"/>
          <w:u w:val="none"/>
        </w:rPr>
        <w:t>This memorandum flags the threshold issues the team must resolve before filing the Rule 12(b)(6) motion to dismiss (the “Motion”), which is due January 15, 2024. The Motion itself is strong on the merits — the § 17.49(f) DTPA exemption and the express-contract bar on unjust enrichment are close to dispositive, and the fraud, negligent misrepresentation, and breach-of-contract counts all face serious contractual and pleading obstacles. But several threshold matters could affect whether, when, and how we file, and one of them is potentially case-dispositive. They are listed in order of urgency.</w:t>
      </w:r>
    </w:p>
    <w:p>
      <w:pPr>
        <w:spacing w:after="80" w:before="200"/>
        <w:jc w:val="left"/>
      </w:pPr>
      <w:r>
        <w:rPr>
          <w:rFonts w:ascii="Times New Roman" w:hAnsi="Times New Roman" w:cs="Times New Roman"/>
          <w:b/>
          <w:i w:val="0"/>
          <w:sz w:val="24"/>
          <w:u w:val="none"/>
        </w:rPr>
        <w:t>1.  Subject-matter jurisdiction — a likely complete-diversity defect (CRITICAL).</w:t>
      </w:r>
    </w:p>
    <w:p>
      <w:pPr>
        <w:spacing w:after="0" w:before="0"/>
        <w:jc w:val="both"/>
      </w:pPr>
      <w:r>
        <w:rPr>
          <w:rFonts w:ascii="Times New Roman" w:hAnsi="Times New Roman" w:cs="Times New Roman"/>
          <w:b w:val="0"/>
          <w:i w:val="0"/>
          <w:sz w:val="24"/>
          <w:u w:val="none"/>
        </w:rPr>
        <w:t xml:space="preserve">This is the most important threshold issue and may be dispositive. Our Notice of Removal alleged that Arcadia is a citizen of Texas only, based solely on the domicile of its Managing Member, Dr. Okonkwo. That allegation is almost certainly wrong. An LLC’s citizenship is traced through all of its members. </w:t>
      </w:r>
      <w:r>
        <w:rPr>
          <w:rFonts w:ascii="Times New Roman" w:hAnsi="Times New Roman" w:cs="Times New Roman"/>
          <w:b w:val="0"/>
          <w:i/>
          <w:sz w:val="24"/>
          <w:u w:val="none"/>
        </w:rPr>
        <w:t>Harvey v. Grey Wolf Drilling Co.</w:t>
      </w:r>
      <w:r>
        <w:rPr>
          <w:rFonts w:ascii="Times New Roman" w:hAnsi="Times New Roman" w:cs="Times New Roman"/>
          <w:b w:val="0"/>
          <w:i w:val="0"/>
          <w:sz w:val="24"/>
          <w:u w:val="none"/>
        </w:rPr>
        <w:t xml:space="preserve">, 542 F.3d 1077, 1080 (5th Cir. 2008). A limited partnership’s citizenship is traced through all of its partners, general and limited. </w:t>
      </w:r>
      <w:r>
        <w:rPr>
          <w:rFonts w:ascii="Times New Roman" w:hAnsi="Times New Roman" w:cs="Times New Roman"/>
          <w:b w:val="0"/>
          <w:i/>
          <w:sz w:val="24"/>
          <w:u w:val="none"/>
        </w:rPr>
        <w:t>Carden v. Arkoma Assocs., Ltd.</w:t>
      </w:r>
      <w:r>
        <w:rPr>
          <w:rFonts w:ascii="Times New Roman" w:hAnsi="Times New Roman" w:cs="Times New Roman"/>
          <w:b w:val="0"/>
          <w:i w:val="0"/>
          <w:sz w:val="24"/>
          <w:u w:val="none"/>
        </w:rPr>
        <w:t>, 494 U.S. 185, 195–96 (1990).</w:t>
      </w:r>
    </w:p>
    <w:p>
      <w:pPr>
        <w:spacing w:after="0" w:before="0"/>
        <w:jc w:val="both"/>
      </w:pPr>
      <w:r>
        <w:rPr>
          <w:rFonts w:ascii="Times New Roman" w:hAnsi="Times New Roman" w:cs="Times New Roman"/>
          <w:b w:val="0"/>
          <w:i w:val="0"/>
          <w:sz w:val="24"/>
          <w:u w:val="none"/>
        </w:rPr>
        <w:t>Tracing Arcadia’s citizenship through the documents now in the record:</w:t>
      </w:r>
    </w:p>
    <w:p>
      <w:pPr>
        <w:spacing w:after="40" w:before="0"/>
        <w:ind w:left="720"/>
        <w:jc w:val="left"/>
      </w:pPr>
      <w:r>
        <w:rPr>
          <w:rFonts w:ascii="Times New Roman" w:hAnsi="Times New Roman" w:cs="Times New Roman"/>
          <w:b w:val="0"/>
          <w:i w:val="0"/>
          <w:sz w:val="24"/>
          <w:u w:val="none"/>
        </w:rPr>
        <w:t>•  Dr. Rachel Okonkwo — Texas citizen (FAC ¶ 7).</w:t>
      </w:r>
    </w:p>
    <w:p>
      <w:pPr>
        <w:spacing w:after="40" w:before="0"/>
        <w:ind w:left="720"/>
        <w:jc w:val="left"/>
      </w:pPr>
      <w:r>
        <w:rPr>
          <w:rFonts w:ascii="Times New Roman" w:hAnsi="Times New Roman" w:cs="Times New Roman"/>
          <w:b w:val="0"/>
          <w:i w:val="0"/>
          <w:sz w:val="24"/>
          <w:u w:val="none"/>
        </w:rPr>
        <w:t>•  Martin Schreiber — Texas citizen (FAC ¶ 7).</w:t>
      </w:r>
    </w:p>
    <w:p>
      <w:pPr>
        <w:spacing w:after="40" w:before="0"/>
        <w:ind w:left="720"/>
        <w:jc w:val="both"/>
      </w:pPr>
      <w:r>
        <w:rPr>
          <w:rFonts w:ascii="Times New Roman" w:hAnsi="Times New Roman" w:cs="Times New Roman"/>
          <w:b w:val="0"/>
          <w:i w:val="0"/>
          <w:sz w:val="24"/>
          <w:u w:val="none"/>
        </w:rPr>
        <w:t>•  Apex Medical Ventures, LP — a Delaware limited partnership and Arcadia member (FAC ¶¶ 7–8; Operating Agreement Ex. A). Its general partner, Apex Medical Ventures GP, Inc., is a Delaware corporation with its principal place of business in Wilmington, Delaware — a citizen of Delaware. Its limited partner is the Okonkwo Family Trust (beneficiary domiciled in Texas).</w:t>
      </w:r>
    </w:p>
    <w:p>
      <w:pPr>
        <w:spacing w:after="0" w:before="0"/>
        <w:jc w:val="both"/>
      </w:pPr>
      <w:r>
        <w:rPr>
          <w:rFonts w:ascii="Times New Roman" w:hAnsi="Times New Roman" w:cs="Times New Roman"/>
          <w:b w:val="0"/>
          <w:i w:val="0"/>
          <w:sz w:val="24"/>
          <w:u w:val="none"/>
        </w:rPr>
        <w:t xml:space="preserve">Accordingly, Arcadia is a citizen of both Texas </w:t>
      </w:r>
      <w:r>
        <w:rPr>
          <w:rFonts w:ascii="Times New Roman" w:hAnsi="Times New Roman" w:cs="Times New Roman"/>
          <w:b/>
          <w:i w:val="0"/>
          <w:sz w:val="24"/>
          <w:u w:val="none"/>
        </w:rPr>
        <w:t>and Delaware</w:t>
      </w:r>
      <w:r>
        <w:rPr>
          <w:rFonts w:ascii="Times New Roman" w:hAnsi="Times New Roman" w:cs="Times New Roman"/>
          <w:b w:val="0"/>
          <w:i w:val="0"/>
          <w:sz w:val="24"/>
          <w:u w:val="none"/>
        </w:rPr>
        <w:t xml:space="preserve"> (through the Apex GP). Meridian is a citizen of Delaware (incorporation) and Texas (principal place of business). FAC ¶ 9. Both parties share citizenship in Delaware and Texas. </w:t>
      </w:r>
      <w:r>
        <w:rPr>
          <w:rFonts w:ascii="Times New Roman" w:hAnsi="Times New Roman" w:cs="Times New Roman"/>
          <w:b/>
          <w:i w:val="0"/>
          <w:sz w:val="24"/>
          <w:u w:val="none"/>
        </w:rPr>
        <w:t>Complete diversity does not exist</w:t>
      </w:r>
      <w:r>
        <w:rPr>
          <w:rFonts w:ascii="Times New Roman" w:hAnsi="Times New Roman" w:cs="Times New Roman"/>
          <w:b w:val="0"/>
          <w:i w:val="0"/>
          <w:sz w:val="24"/>
          <w:u w:val="none"/>
        </w:rPr>
        <w:t>, and the Court therefore lacks subject-matter jurisdiction under 28 U.S.C. § 1332(a). The defect is apparent on the face of the FAC itself (¶¶ 7–8).</w:t>
      </w:r>
    </w:p>
    <w:p>
      <w:pPr>
        <w:spacing w:after="0" w:before="0"/>
        <w:jc w:val="both"/>
      </w:pPr>
      <w:r>
        <w:rPr>
          <w:rFonts w:ascii="Times New Roman" w:hAnsi="Times New Roman" w:cs="Times New Roman"/>
          <w:b w:val="0"/>
          <w:i w:val="0"/>
          <w:sz w:val="24"/>
          <w:u w:val="none"/>
        </w:rPr>
        <w:t xml:space="preserve">Consequences and obligations. Subject-matter jurisdiction cannot be waived, and the Court may raise the defect sua sponte at any time. </w:t>
      </w:r>
      <w:r>
        <w:rPr>
          <w:rFonts w:ascii="Times New Roman" w:hAnsi="Times New Roman" w:cs="Times New Roman"/>
          <w:b w:val="0"/>
          <w:i/>
          <w:sz w:val="24"/>
          <w:u w:val="none"/>
        </w:rPr>
        <w:t>Arbaugh v. Y &amp; H Corp.</w:t>
      </w:r>
      <w:r>
        <w:rPr>
          <w:rFonts w:ascii="Times New Roman" w:hAnsi="Times New Roman" w:cs="Times New Roman"/>
          <w:b w:val="0"/>
          <w:i w:val="0"/>
          <w:sz w:val="24"/>
          <w:u w:val="none"/>
        </w:rPr>
        <w:t>, 546 U.S. 500, 514 (2006); 28 U.S.C. § 1447(c) (remand for lack of subject-matter jurisdiction may be ordered at any time). The 30-day deadline in § 1447(c) governs only non-jurisdictional defects, not this one. We also have a duty of candor to the tribunal: now that the Operating Agreement is in the record and confirms the Apex GP’s Delaware citizenship, we should not file a merits brief that presumes jurisdiction is proper without addressing the issue.</w:t>
      </w:r>
    </w:p>
    <w:p>
      <w:pPr>
        <w:spacing w:after="0" w:before="0"/>
        <w:jc w:val="both"/>
      </w:pPr>
      <w:r>
        <w:rPr>
          <w:rFonts w:ascii="Times New Roman" w:hAnsi="Times New Roman" w:cs="Times New Roman"/>
          <w:b w:val="0"/>
          <w:i w:val="0"/>
          <w:sz w:val="24"/>
          <w:u w:val="none"/>
        </w:rPr>
        <w:t xml:space="preserve">Two related wrinkles. </w:t>
      </w:r>
      <w:r>
        <w:rPr>
          <w:rFonts w:ascii="Times New Roman" w:hAnsi="Times New Roman" w:cs="Times New Roman"/>
          <w:b w:val="0"/>
          <w:i/>
          <w:sz w:val="24"/>
          <w:u w:val="none"/>
        </w:rPr>
        <w:t>First</w:t>
      </w:r>
      <w:r>
        <w:rPr>
          <w:rFonts w:ascii="Times New Roman" w:hAnsi="Times New Roman" w:cs="Times New Roman"/>
          <w:b w:val="0"/>
          <w:i w:val="0"/>
          <w:sz w:val="24"/>
          <w:u w:val="none"/>
        </w:rPr>
        <w:t xml:space="preserve">, the FAC (¶ 8) describes the Okonkwo Family Trust as “irrevocable,” while the Operating Agreement (Ex. A, Note 3) describes it as a “revocable inter vivos trust.” The trust’s characterization affects its citizenship analysis (trustee vs. beneficiary under Fifth Circuit law), but it is not outcome-determinative here — the Apex GP’s Delaware citizenship already destroys diversity. We should still resolve the discrepancy for a clean record. </w:t>
      </w:r>
      <w:r>
        <w:rPr>
          <w:rFonts w:ascii="Times New Roman" w:hAnsi="Times New Roman" w:cs="Times New Roman"/>
          <w:b w:val="0"/>
          <w:i/>
          <w:sz w:val="24"/>
          <w:u w:val="none"/>
        </w:rPr>
        <w:t>Second</w:t>
      </w:r>
      <w:r>
        <w:rPr>
          <w:rFonts w:ascii="Times New Roman" w:hAnsi="Times New Roman" w:cs="Times New Roman"/>
          <w:b w:val="0"/>
          <w:i w:val="0"/>
          <w:sz w:val="24"/>
          <w:u w:val="none"/>
        </w:rPr>
        <w:t>, we have not yet obtained the Apex Medical Ventures, LP partnership agreement; the Operating Agreement alone confirms the GP’s Delaware incorporation and PPB, which is enough, but the partnership agreement would lock down the analysis.</w:t>
      </w:r>
    </w:p>
    <w:p>
      <w:pPr>
        <w:spacing w:after="0" w:before="0"/>
        <w:jc w:val="both"/>
      </w:pPr>
      <w:r>
        <w:rPr>
          <w:rFonts w:ascii="Times New Roman" w:hAnsi="Times New Roman" w:cs="Times New Roman"/>
          <w:b w:val="0"/>
          <w:i w:val="0"/>
          <w:sz w:val="24"/>
          <w:u w:val="none"/>
        </w:rPr>
        <w:t xml:space="preserve">Strategic tension. Meridian removed this case, presumably preferring federal court (Judge Alvarez’s rigorous pleading standards; the post-answer 12(b)(6) procedure; the bench trial under the § 12.9 jury waiver, which the Scheduling Order has already enforced). If the diversity defect is confirmed, the case must be remanded — the Court cannot retain it. The options are: (a) file the Motion and separately alert the Court (and opposing counsel) to the jurisdictional defect, by notice or motion to remand; (b) move to remand first and re-file the merits arguments in state court; or (c) file the Motion and let the Court raise jurisdiction sua sponte (not recommended, given our duty of candor). The merits arguments — § 17.49(f), the express-contract bar, the economic loss doctrine, the contractual limitations — travel equally well to state court. </w:t>
      </w:r>
      <w:r>
        <w:rPr>
          <w:rFonts w:ascii="Times New Roman" w:hAnsi="Times New Roman" w:cs="Times New Roman"/>
          <w:b/>
          <w:i w:val="0"/>
          <w:sz w:val="24"/>
          <w:u w:val="none"/>
        </w:rPr>
        <w:t>Recommendation:</w:t>
      </w:r>
      <w:r>
        <w:rPr>
          <w:rFonts w:ascii="Times New Roman" w:hAnsi="Times New Roman" w:cs="Times New Roman"/>
          <w:b w:val="0"/>
          <w:i w:val="0"/>
          <w:sz w:val="24"/>
          <w:u w:val="none"/>
        </w:rPr>
        <w:t xml:space="preserve"> confirm the citizenship analysis with the Apex partnership agreement (quick), then decide whether to (i) file the Motion with a concurrent notice/motion addressing jurisdiction, or (ii) move to remand and pursue the merits in Bexar County. My lean is (i): file the Motion now to preserve our position and pressure settlement, while candidly flagging the jurisdictional issue so the Court can address both. We should not proceed as though jurisdiction is unproblematic.</w:t>
      </w:r>
    </w:p>
    <w:p>
      <w:pPr>
        <w:spacing w:after="80" w:before="200"/>
        <w:jc w:val="left"/>
      </w:pPr>
      <w:r>
        <w:rPr>
          <w:rFonts w:ascii="Times New Roman" w:hAnsi="Times New Roman" w:cs="Times New Roman"/>
          <w:b/>
          <w:i w:val="0"/>
          <w:sz w:val="24"/>
          <w:u w:val="none"/>
        </w:rPr>
        <w:t>2.  Post-answer posture — 12(b)(6) vs. 12(c).</w:t>
      </w:r>
    </w:p>
    <w:p>
      <w:pPr>
        <w:spacing w:after="0" w:before="0"/>
        <w:jc w:val="both"/>
      </w:pPr>
      <w:r>
        <w:rPr>
          <w:rFonts w:ascii="Times New Roman" w:hAnsi="Times New Roman" w:cs="Times New Roman"/>
          <w:b w:val="0"/>
          <w:i w:val="0"/>
          <w:sz w:val="24"/>
          <w:u w:val="none"/>
        </w:rPr>
        <w:t>Meridian already answered (Dkt. No. __, Oct. 2, 2023) and preserved the Rule 12(b)(6) defense (First Affirmative Defense; Part III). The Standing Order § 3.4 permits post-answer 12(b)(6) motions where the defense is preserved and says the Court “shall treat such motion as a motion to dismiss, not as a motion for judgment on the pleadings under Rule 12(c).” But the Scheduling Order (Oct. 16, 2023) says the Court “will treat any such motion as a Rule 12(c) motion for judgment on the pleadings, evaluated under the same standard as a Rule 12(b)(6) motion.” The two orders conflict; the Scheduling Order is more recent and case-specific.</w:t>
      </w:r>
    </w:p>
    <w:p>
      <w:pPr>
        <w:spacing w:after="0" w:before="0"/>
        <w:jc w:val="both"/>
      </w:pPr>
      <w:r>
        <w:rPr>
          <w:rFonts w:ascii="Times New Roman" w:hAnsi="Times New Roman" w:cs="Times New Roman"/>
          <w:b w:val="0"/>
          <w:i w:val="0"/>
          <w:sz w:val="24"/>
          <w:u w:val="none"/>
        </w:rPr>
        <w:t xml:space="preserve">Practical effect. The legal standard is identical (Twombly/Iqbal). The difference is what the Court may consider: under 12(c), the “pleadings” include both the complaint and the answer, which could let us point to our own answer’s averments (e.g., the 45-day PM gap, the 75-day API-spec delay, Linden Park’s migration errors). But relying on the answer’s new matter is risky — the Court still takes the complaint’s well-pleaded facts as true. </w:t>
      </w:r>
      <w:r>
        <w:rPr>
          <w:rFonts w:ascii="Times New Roman" w:hAnsi="Times New Roman" w:cs="Times New Roman"/>
          <w:b/>
          <w:i w:val="0"/>
          <w:sz w:val="24"/>
          <w:u w:val="none"/>
        </w:rPr>
        <w:t>Recommendation:</w:t>
      </w:r>
      <w:r>
        <w:rPr>
          <w:rFonts w:ascii="Times New Roman" w:hAnsi="Times New Roman" w:cs="Times New Roman"/>
          <w:b w:val="0"/>
          <w:i w:val="0"/>
          <w:sz w:val="24"/>
          <w:u w:val="none"/>
        </w:rPr>
        <w:t xml:space="preserve"> style the Motion as a Rule 12(b)(6) motion (consistent with the Standing Order and our preservation), but build the brief to survive either characterization: rely primarily on the FAC’s own allegations, the MSLSA/SOW-1/Change Orders (clearly cognizable under </w:t>
      </w:r>
      <w:r>
        <w:rPr>
          <w:rFonts w:ascii="Times New Roman" w:hAnsi="Times New Roman" w:cs="Times New Roman"/>
          <w:b w:val="0"/>
          <w:i/>
          <w:sz w:val="24"/>
          <w:u w:val="none"/>
        </w:rPr>
        <w:t>Lormand</w:t>
      </w:r>
      <w:r>
        <w:rPr>
          <w:rFonts w:ascii="Times New Roman" w:hAnsi="Times New Roman" w:cs="Times New Roman"/>
          <w:b w:val="0"/>
          <w:i w:val="0"/>
          <w:sz w:val="24"/>
          <w:u w:val="none"/>
        </w:rPr>
        <w:t>), and judicial notice of the DTPA statute. Avoid leaning on facts that appear only in our answer or in non-pleading documents (the project status report, the support-ticket summary, the negotiation emails) — those are summary-judgment ammunition, not 12(b)(6) fodder, and using them risks conversion.</w:t>
      </w:r>
    </w:p>
    <w:p>
      <w:pPr>
        <w:spacing w:after="80" w:before="200"/>
        <w:jc w:val="left"/>
      </w:pPr>
      <w:r>
        <w:rPr>
          <w:rFonts w:ascii="Times New Roman" w:hAnsi="Times New Roman" w:cs="Times New Roman"/>
          <w:b/>
          <w:i w:val="0"/>
          <w:sz w:val="24"/>
          <w:u w:val="none"/>
        </w:rPr>
        <w:t>3.  Choice of law for the tort claims (Delaware vs. Texas).</w:t>
      </w:r>
    </w:p>
    <w:p>
      <w:pPr>
        <w:spacing w:after="0" w:before="0"/>
        <w:jc w:val="both"/>
      </w:pPr>
      <w:r>
        <w:rPr>
          <w:rFonts w:ascii="Times New Roman" w:hAnsi="Times New Roman" w:cs="Times New Roman"/>
          <w:b w:val="0"/>
          <w:i w:val="0"/>
          <w:sz w:val="24"/>
          <w:u w:val="none"/>
        </w:rPr>
        <w:t>MSLSA § 12.7 selects Delaware law for “this Agreement.” Whether that clause reaches the tort claims (Counts II–III) is debatable; under Texas’s most-significant-relationship test, all contacts point to Texas (misrepresentations made and received in Texas; injury in Texas), so Texas law likely governs the torts. This matters because our strongest tort defenses are more robust under Delaware law: Delaware’s economic loss doctrine is broader (</w:t>
      </w:r>
      <w:r>
        <w:rPr>
          <w:rFonts w:ascii="Times New Roman" w:hAnsi="Times New Roman" w:cs="Times New Roman"/>
          <w:b w:val="0"/>
          <w:i/>
          <w:sz w:val="24"/>
          <w:u w:val="none"/>
        </w:rPr>
        <w:t>Brasby</w:t>
      </w:r>
      <w:r>
        <w:rPr>
          <w:rFonts w:ascii="Times New Roman" w:hAnsi="Times New Roman" w:cs="Times New Roman"/>
          <w:b w:val="0"/>
          <w:i w:val="0"/>
          <w:sz w:val="24"/>
          <w:u w:val="none"/>
        </w:rPr>
        <w:t xml:space="preserve">; </w:t>
      </w:r>
      <w:r>
        <w:rPr>
          <w:rFonts w:ascii="Times New Roman" w:hAnsi="Times New Roman" w:cs="Times New Roman"/>
          <w:b w:val="0"/>
          <w:i/>
          <w:sz w:val="24"/>
          <w:u w:val="none"/>
        </w:rPr>
        <w:t>Kuhn</w:t>
      </w:r>
      <w:r>
        <w:rPr>
          <w:rFonts w:ascii="Times New Roman" w:hAnsi="Times New Roman" w:cs="Times New Roman"/>
          <w:b w:val="0"/>
          <w:i w:val="0"/>
          <w:sz w:val="24"/>
          <w:u w:val="none"/>
        </w:rPr>
        <w:t>), and Delaware’s anti-reliance/integration-clause doctrine (</w:t>
      </w:r>
      <w:r>
        <w:rPr>
          <w:rFonts w:ascii="Times New Roman" w:hAnsi="Times New Roman" w:cs="Times New Roman"/>
          <w:b w:val="0"/>
          <w:i/>
          <w:sz w:val="24"/>
          <w:u w:val="none"/>
        </w:rPr>
        <w:t>Eagle Industries</w:t>
      </w:r>
      <w:r>
        <w:rPr>
          <w:rFonts w:ascii="Times New Roman" w:hAnsi="Times New Roman" w:cs="Times New Roman"/>
          <w:b w:val="0"/>
          <w:i w:val="0"/>
          <w:sz w:val="24"/>
          <w:u w:val="none"/>
        </w:rPr>
        <w:t xml:space="preserve">; </w:t>
      </w:r>
      <w:r>
        <w:rPr>
          <w:rFonts w:ascii="Times New Roman" w:hAnsi="Times New Roman" w:cs="Times New Roman"/>
          <w:b w:val="0"/>
          <w:i/>
          <w:sz w:val="24"/>
          <w:u w:val="none"/>
        </w:rPr>
        <w:t>SIGA</w:t>
      </w:r>
      <w:r>
        <w:rPr>
          <w:rFonts w:ascii="Times New Roman" w:hAnsi="Times New Roman" w:cs="Times New Roman"/>
          <w:b w:val="0"/>
          <w:i w:val="0"/>
          <w:sz w:val="24"/>
          <w:u w:val="none"/>
        </w:rPr>
        <w:t>) squarely bars fraud based on extra-contractual representations. Texas’s economic loss rule is narrower (</w:t>
      </w:r>
      <w:r>
        <w:rPr>
          <w:rFonts w:ascii="Times New Roman" w:hAnsi="Times New Roman" w:cs="Times New Roman"/>
          <w:b w:val="0"/>
          <w:i/>
          <w:sz w:val="24"/>
          <w:u w:val="none"/>
        </w:rPr>
        <w:t>Sharyland</w:t>
      </w:r>
      <w:r>
        <w:rPr>
          <w:rFonts w:ascii="Times New Roman" w:hAnsi="Times New Roman" w:cs="Times New Roman"/>
          <w:b w:val="0"/>
          <w:i w:val="0"/>
          <w:sz w:val="24"/>
          <w:u w:val="none"/>
        </w:rPr>
        <w:t xml:space="preserve">; </w:t>
      </w:r>
      <w:r>
        <w:rPr>
          <w:rFonts w:ascii="Times New Roman" w:hAnsi="Times New Roman" w:cs="Times New Roman"/>
          <w:b w:val="0"/>
          <w:i/>
          <w:sz w:val="24"/>
          <w:u w:val="none"/>
        </w:rPr>
        <w:t>Chapman</w:t>
      </w:r>
      <w:r>
        <w:rPr>
          <w:rFonts w:ascii="Times New Roman" w:hAnsi="Times New Roman" w:cs="Times New Roman"/>
          <w:b w:val="0"/>
          <w:i w:val="0"/>
          <w:sz w:val="24"/>
          <w:u w:val="none"/>
        </w:rPr>
        <w:t xml:space="preserve">) but still bars these claims, and Texas enforces integration clauses and defeats justifiable reliance on the facts here. </w:t>
      </w:r>
      <w:r>
        <w:rPr>
          <w:rFonts w:ascii="Times New Roman" w:hAnsi="Times New Roman" w:cs="Times New Roman"/>
          <w:b/>
          <w:i w:val="0"/>
          <w:sz w:val="24"/>
          <w:u w:val="none"/>
        </w:rPr>
        <w:t>Recommendation:</w:t>
      </w:r>
      <w:r>
        <w:rPr>
          <w:rFonts w:ascii="Times New Roman" w:hAnsi="Times New Roman" w:cs="Times New Roman"/>
          <w:b w:val="0"/>
          <w:i w:val="0"/>
          <w:sz w:val="24"/>
          <w:u w:val="none"/>
        </w:rPr>
        <w:t xml:space="preserve"> argue both bodies of law in the alternative, as the brief does. We can also press a broad reading of § 12.7 to pull the tort claims under Delaware law, but we should not depend on it.</w:t>
      </w:r>
    </w:p>
    <w:p>
      <w:pPr>
        <w:spacing w:after="80" w:before="200"/>
        <w:jc w:val="left"/>
      </w:pPr>
      <w:r>
        <w:rPr>
          <w:rFonts w:ascii="Times New Roman" w:hAnsi="Times New Roman" w:cs="Times New Roman"/>
          <w:b/>
          <w:i w:val="0"/>
          <w:sz w:val="24"/>
          <w:u w:val="none"/>
        </w:rPr>
        <w:t>4.  Count I — full dismissal is aggressive; lead with deemed acceptance, preserve the damages-limitation alternative.</w:t>
      </w:r>
    </w:p>
    <w:p>
      <w:pPr>
        <w:spacing w:after="0" w:before="0"/>
        <w:jc w:val="both"/>
      </w:pPr>
      <w:r>
        <w:rPr>
          <w:rFonts w:ascii="Times New Roman" w:hAnsi="Times New Roman" w:cs="Times New Roman"/>
          <w:b w:val="0"/>
          <w:i w:val="0"/>
          <w:sz w:val="24"/>
          <w:u w:val="none"/>
        </w:rPr>
        <w:t xml:space="preserve">Full dismissal of the breach-of-contract count is our most aggressive position, and courts are often reluctant to dismiss a breach-of-contract claim entirely at the pleading stage. The deemed-acceptance argument (§ 5.3) is strong and rests on the FAC’s own dates (Go-Live Jan. 15; first written complaint Mar. 8 — 22 days after the window closed), but a court may view the application of deemed acceptance as fact-dependent and prefer to reach it at summary judgment. </w:t>
      </w:r>
      <w:r>
        <w:rPr>
          <w:rFonts w:ascii="Times New Roman" w:hAnsi="Times New Roman" w:cs="Times New Roman"/>
          <w:b/>
          <w:i w:val="0"/>
          <w:sz w:val="24"/>
          <w:u w:val="none"/>
        </w:rPr>
        <w:t>Recommendation:</w:t>
      </w:r>
      <w:r>
        <w:rPr>
          <w:rFonts w:ascii="Times New Roman" w:hAnsi="Times New Roman" w:cs="Times New Roman"/>
          <w:b w:val="0"/>
          <w:i w:val="0"/>
          <w:sz w:val="24"/>
          <w:u w:val="none"/>
        </w:rPr>
        <w:t xml:space="preserve"> keep the primary argument (dismissal based on deemed acceptance, warranty expiration, and the data-migration allocation) but lead the Count I section with the deemed-acceptance point and preserve the alternative relief (limit damages to direct damages capped by § 8.1 and bar consequential damages under § 8.2). The consequential-damages waiver alone strips $30.1M of the $47.3M demand. Also flag: the § 8.1 cap calculation requires Meridian’s billing records, and the “event giving rise to liability” and the 12-month lookback are ambiguous — we need to nail down the cap amount before any damages-limited posture becomes operative.</w:t>
      </w:r>
    </w:p>
    <w:p>
      <w:pPr>
        <w:spacing w:after="80" w:before="200"/>
        <w:jc w:val="left"/>
      </w:pPr>
      <w:r>
        <w:rPr>
          <w:rFonts w:ascii="Times New Roman" w:hAnsi="Times New Roman" w:cs="Times New Roman"/>
          <w:b/>
          <w:i w:val="0"/>
          <w:sz w:val="24"/>
          <w:u w:val="none"/>
        </w:rPr>
        <w:t>5.  DTPA § 17.49(f) — confirm the operative statutory text and the asset threshold.</w:t>
      </w:r>
    </w:p>
    <w:p>
      <w:pPr>
        <w:spacing w:after="0" w:before="0"/>
        <w:jc w:val="both"/>
      </w:pPr>
      <w:r>
        <w:rPr>
          <w:rFonts w:ascii="Times New Roman" w:hAnsi="Times New Roman" w:cs="Times New Roman"/>
          <w:b w:val="0"/>
          <w:i w:val="0"/>
          <w:sz w:val="24"/>
          <w:u w:val="none"/>
        </w:rPr>
        <w:t xml:space="preserve">Our Answer (Thirteenth Affirmative Defense) pleads a $25 million asset threshold in addition to the $500,000 consideration threshold; the research memo relied only on the $500,000 / non-individual formulation. The statute has been amended several times, so we should confirm the current operative text. The good news: both thresholds are satisfied. Total consideration is $17,050,000 (FAC ¶¶ 34, 46–47), and Arcadia is an LLC, not an individual (FAC ¶ 7). As for the $25M asset threshold, Arcadia’s </w:t>
      </w:r>
      <w:r>
        <w:rPr>
          <w:rFonts w:ascii="Times New Roman" w:hAnsi="Times New Roman" w:cs="Times New Roman"/>
          <w:b/>
          <w:i w:val="0"/>
          <w:sz w:val="24"/>
          <w:u w:val="none"/>
        </w:rPr>
        <w:t>own damages expert</w:t>
      </w:r>
      <w:r>
        <w:rPr>
          <w:rFonts w:ascii="Times New Roman" w:hAnsi="Times New Roman" w:cs="Times New Roman"/>
          <w:b w:val="0"/>
          <w:i w:val="0"/>
          <w:sz w:val="24"/>
          <w:u w:val="none"/>
        </w:rPr>
        <w:t xml:space="preserve"> has conceded that Arcadia’s total assets are approximately $41 million — well above $25M. So the exemption applies under any version of the statute. </w:t>
      </w:r>
      <w:r>
        <w:rPr>
          <w:rFonts w:ascii="Times New Roman" w:hAnsi="Times New Roman" w:cs="Times New Roman"/>
          <w:b/>
          <w:i w:val="0"/>
          <w:sz w:val="24"/>
          <w:u w:val="none"/>
        </w:rPr>
        <w:t>Recommendation:</w:t>
      </w:r>
      <w:r>
        <w:rPr>
          <w:rFonts w:ascii="Times New Roman" w:hAnsi="Times New Roman" w:cs="Times New Roman"/>
          <w:b w:val="0"/>
          <w:i w:val="0"/>
          <w:sz w:val="24"/>
          <w:u w:val="none"/>
        </w:rPr>
        <w:t xml:space="preserve"> cite the $500,000 / non-individual ground as primary (it is fully supported by the FAC’s own allegations and needs no outside facts) and the $25M asset ground as alternative, citing the expert’s concession. Confirm the exact current text of § 17.49(f) before filing.</w:t>
      </w:r>
    </w:p>
    <w:p>
      <w:pPr>
        <w:spacing w:after="0" w:before="0"/>
        <w:jc w:val="both"/>
      </w:pPr>
      <w:r>
        <w:rPr>
          <w:rFonts w:ascii="Times New Roman" w:hAnsi="Times New Roman" w:cs="Times New Roman"/>
          <w:b w:val="0"/>
          <w:i w:val="0"/>
          <w:sz w:val="24"/>
          <w:u w:val="none"/>
        </w:rPr>
        <w:t>Secondary DTPA item — § 17.505 pre-suit-notice timing. The DTPA demand letter is dated June 15, 2023 (though Meridian’s response refers to a letter “dated June 26, 2023” — a discrepancy to resolve), and suit was filed August 7, 2023. Depending on which date controls and the current § 17.505 timing rule, Arcadia may have filed before the 60-day notice period elapsed. This is a possible additional ground, but it is factually murky and the § 17.49(f) exemption is cleaner. Verify the dates and the operative § 17.505 text; do not rely on this in the Motion unless it checks out.</w:t>
      </w:r>
    </w:p>
    <w:p>
      <w:pPr>
        <w:spacing w:after="80" w:before="200"/>
        <w:jc w:val="left"/>
      </w:pPr>
      <w:r>
        <w:rPr>
          <w:rFonts w:ascii="Times New Roman" w:hAnsi="Times New Roman" w:cs="Times New Roman"/>
          <w:b/>
          <w:i w:val="0"/>
          <w:sz w:val="24"/>
          <w:u w:val="none"/>
        </w:rPr>
        <w:t>6.  Dismissal with vs. without prejudice — prepare for leave to amend on the Rule 9(b) counts.</w:t>
      </w:r>
    </w:p>
    <w:p>
      <w:pPr>
        <w:spacing w:after="0" w:before="0"/>
        <w:jc w:val="both"/>
      </w:pPr>
      <w:r>
        <w:rPr>
          <w:rFonts w:ascii="Times New Roman" w:hAnsi="Times New Roman" w:cs="Times New Roman"/>
          <w:b w:val="0"/>
          <w:i w:val="0"/>
          <w:sz w:val="24"/>
          <w:u w:val="none"/>
        </w:rPr>
        <w:t xml:space="preserve">Counts IV (unjust enrichment) and V (DTPA) should be dismissed </w:t>
      </w:r>
      <w:r>
        <w:rPr>
          <w:rFonts w:ascii="Times New Roman" w:hAnsi="Times New Roman" w:cs="Times New Roman"/>
          <w:b/>
          <w:i w:val="0"/>
          <w:sz w:val="24"/>
          <w:u w:val="none"/>
        </w:rPr>
        <w:t>with prejudice</w:t>
      </w:r>
      <w:r>
        <w:rPr>
          <w:rFonts w:ascii="Times New Roman" w:hAnsi="Times New Roman" w:cs="Times New Roman"/>
          <w:b w:val="0"/>
          <w:i w:val="0"/>
          <w:sz w:val="24"/>
          <w:u w:val="none"/>
        </w:rPr>
        <w:t xml:space="preserve">: the express-contract bar and the § 17.49(f) exemption cannot be cured by repleading. Count I, if dismissed, will likely be without prejudice or limited to damages rather than dismissed outright. The vulnerability is Counts II and III: if the Court dismisses them for Rule 9(b) inadequacy, it may grant leave to amend, and a more specific second amended complaint could cure the “why” deficiency. </w:t>
      </w:r>
      <w:r>
        <w:rPr>
          <w:rFonts w:ascii="Times New Roman" w:hAnsi="Times New Roman" w:cs="Times New Roman"/>
          <w:b/>
          <w:i w:val="0"/>
          <w:sz w:val="24"/>
          <w:u w:val="none"/>
        </w:rPr>
        <w:t>Recommendation:</w:t>
      </w:r>
      <w:r>
        <w:rPr>
          <w:rFonts w:ascii="Times New Roman" w:hAnsi="Times New Roman" w:cs="Times New Roman"/>
          <w:b w:val="0"/>
          <w:i w:val="0"/>
          <w:sz w:val="24"/>
          <w:u w:val="none"/>
        </w:rPr>
        <w:t xml:space="preserve"> argue for with-prejudice dismissal on all counts (the integration clause, anti-reliance acknowledgment, and puffery defeat any amended fraud theory on these facts), but be prepared for the Court to allow a second amended complaint on the fraud/negligent-misrepresentation counts. If leave is granted, we will move to strike or oppose on the same integration-clause/economic-loss/puffery grounds.</w:t>
      </w:r>
    </w:p>
    <w:p>
      <w:pPr>
        <w:spacing w:after="80" w:before="200"/>
        <w:jc w:val="left"/>
      </w:pPr>
      <w:r>
        <w:rPr>
          <w:rFonts w:ascii="Times New Roman" w:hAnsi="Times New Roman" w:cs="Times New Roman"/>
          <w:b/>
          <w:i w:val="0"/>
          <w:sz w:val="24"/>
          <w:u w:val="none"/>
        </w:rPr>
        <w:t>7.  Procedural and housekeeping items.</w:t>
      </w:r>
    </w:p>
    <w:p>
      <w:pPr>
        <w:spacing w:after="80" w:before="0"/>
        <w:ind w:left="720"/>
        <w:jc w:val="both"/>
      </w:pPr>
      <w:r>
        <w:rPr>
          <w:rFonts w:ascii="Times New Roman" w:hAnsi="Times New Roman" w:cs="Times New Roman"/>
          <w:b w:val="0"/>
          <w:i w:val="0"/>
          <w:sz w:val="24"/>
          <w:u w:val="none"/>
        </w:rPr>
        <w:t>•  Deadline: January 15, 2024 (Scheduling Order § III.A). Briefing: response due 21 days; reply 14 days (Standing Order § 3.3). Page limit: 25 pages, exclusive of caption, signature block, and certificates (Standing Order § 3.2).</w:t>
      </w:r>
    </w:p>
    <w:p>
      <w:pPr>
        <w:spacing w:after="80" w:before="0"/>
        <w:ind w:left="720"/>
        <w:jc w:val="both"/>
      </w:pPr>
      <w:r>
        <w:rPr>
          <w:rFonts w:ascii="Times New Roman" w:hAnsi="Times New Roman" w:cs="Times New Roman"/>
          <w:b w:val="0"/>
          <w:i w:val="0"/>
          <w:sz w:val="24"/>
          <w:u w:val="none"/>
        </w:rPr>
        <w:t>•  Certificate of conference: required (Standing Order § 3.1). We conferred; Arcadia opposes dismissal of any count. The certificate is included in the Motion and should also be filed as a separate document.</w:t>
      </w:r>
    </w:p>
    <w:p>
      <w:pPr>
        <w:spacing w:after="80" w:before="0"/>
        <w:ind w:left="720"/>
        <w:jc w:val="both"/>
      </w:pPr>
      <w:r>
        <w:rPr>
          <w:rFonts w:ascii="Times New Roman" w:hAnsi="Times New Roman" w:cs="Times New Roman"/>
          <w:b w:val="0"/>
          <w:i w:val="0"/>
          <w:sz w:val="24"/>
          <w:u w:val="none"/>
        </w:rPr>
        <w:t>•  Proposed order: must be filed separately in .docx, not embedded in the Motion (Standing Order § 3.5). Update the docket-entry number in the proposed order within one business day of filing.</w:t>
      </w:r>
    </w:p>
    <w:p>
      <w:pPr>
        <w:spacing w:after="80" w:before="0"/>
        <w:ind w:left="720"/>
        <w:jc w:val="both"/>
      </w:pPr>
      <w:r>
        <w:rPr>
          <w:rFonts w:ascii="Times New Roman" w:hAnsi="Times New Roman" w:cs="Times New Roman"/>
          <w:b w:val="0"/>
          <w:i w:val="0"/>
          <w:sz w:val="24"/>
          <w:u w:val="none"/>
        </w:rPr>
        <w:t>•  Exhibits: attach the MSLSA, SOW-1, the four Change Orders, and the December 9, 2021 written proposal as exhibits (all referenced in the FAC and central to the claims, so cognizable under Lormand). Do not attach the project status report, support-ticket summary, or negotiation emails — those would invite conversion.</w:t>
      </w:r>
    </w:p>
    <w:p>
      <w:pPr>
        <w:spacing w:after="80" w:before="0"/>
        <w:ind w:left="720"/>
        <w:jc w:val="both"/>
      </w:pPr>
      <w:r>
        <w:rPr>
          <w:rFonts w:ascii="Times New Roman" w:hAnsi="Times New Roman" w:cs="Times New Roman"/>
          <w:b w:val="0"/>
          <w:i w:val="0"/>
          <w:sz w:val="24"/>
          <w:u w:val="none"/>
        </w:rPr>
        <w:t>•  Jury waiver: the Scheduling Order has already enforced MSLSA § 12.9; the case will be tried to the bench. That reduces settlement leverage from a jury threat but favors us on the legal issues. Note this only if we remand — the contractual jury waiver should still bind the parties in state court, but confirm.</w:t>
      </w:r>
    </w:p>
    <w:p>
      <w:pPr>
        <w:spacing w:after="80" w:before="200"/>
        <w:jc w:val="left"/>
      </w:pPr>
      <w:r>
        <w:rPr>
          <w:rFonts w:ascii="Times New Roman" w:hAnsi="Times New Roman" w:cs="Times New Roman"/>
          <w:b/>
          <w:i w:val="0"/>
          <w:sz w:val="24"/>
          <w:u w:val="none"/>
        </w:rPr>
        <w:t>Bottom line.</w:t>
      </w:r>
    </w:p>
    <w:p>
      <w:pPr>
        <w:spacing w:after="0" w:before="0"/>
        <w:jc w:val="both"/>
      </w:pPr>
      <w:r>
        <w:rPr>
          <w:rFonts w:ascii="Times New Roman" w:hAnsi="Times New Roman" w:cs="Times New Roman"/>
          <w:b w:val="0"/>
          <w:i w:val="0"/>
          <w:sz w:val="24"/>
          <w:u w:val="none"/>
        </w:rPr>
        <w:t>The Motion is meritorious and should be filed by January 15. The single most important decision is how to handle the diversity-jurisdiction defect (Item 1) — that should be resolved this week, before filing, because it affects whether the Motion is filed in this Court at all. Everything else is refinable within the brief. I am available to discuss the jurisdictional strategy and the Count I posture at your convenience.</w:t>
      </w:r>
    </w:p>
    <w:p>
      <w:pPr>
        <w:spacing w:after="0" w:before="0"/>
        <w:jc w:val="left"/>
      </w:pPr>
    </w:p>
    <w:p>
      <w:pPr>
        <w:spacing w:after="0" w:before="160"/>
        <w:jc w:val="left"/>
      </w:pPr>
      <w:r>
        <w:rPr>
          <w:rFonts w:ascii="Times New Roman" w:hAnsi="Times New Roman" w:cs="Times New Roman"/>
          <w:b w:val="0"/>
          <w:i w:val="0"/>
          <w:sz w:val="24"/>
          <w:u w:val="none"/>
        </w:rPr>
        <w:t>/s/  [Litigation Team]</w:t>
      </w:r>
    </w:p>
    <w:p>
      <w:pPr>
        <w:spacing w:after="0" w:before="0"/>
        <w:jc w:val="left"/>
      </w:pPr>
      <w:r>
        <w:rPr>
          <w:rFonts w:ascii="Times New Roman" w:hAnsi="Times New Roman" w:cs="Times New Roman"/>
          <w:b w:val="0"/>
          <w:i w:val="0"/>
          <w:sz w:val="20"/>
          <w:u w:val="none"/>
        </w:rPr>
        <w:t>Stonebridge &amp; Calloway LLP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u w:val="none"/>
      </w:rPr>
      <w:t xml:space="preserve">Page </w:t>
    </w:r>
    <w:r>
      <w:rPr>
        <w:rFonts w:ascii="Times New Roman" w:hAnsi="Times New Roman" w:cs="Times New Roman"/>
        <w:b w:val="0"/>
        <w:i w:val="0"/>
        <w:sz w:val="20"/>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