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pPr>
      <w:r>
        <w:rPr>
          <w:rFonts w:ascii="Times New Roman" w:hAnsi="Times New Roman"/>
          <w:b/>
          <w:sz w:val="24"/>
        </w:rPr>
        <w:t>STONEBRIDGE &amp; CALLOWAY LLP</w:t>
      </w:r>
    </w:p>
    <w:p>
      <w:pPr>
        <w:spacing w:line="240" w:lineRule="auto"/>
        <w:jc w:val="center"/>
      </w:pPr>
      <w:r>
        <w:rPr>
          <w:rFonts w:ascii="Times New Roman" w:hAnsi="Times New Roman"/>
          <w:sz w:val="24"/>
        </w:rPr>
        <w:t>600 Congress Avenue, Suite 2800  •  Austin, Texas 78701</w:t>
      </w:r>
    </w:p>
    <w:p>
      <w:pPr>
        <w:spacing w:line="480" w:lineRule="auto" w:after="0" w:before="0"/>
      </w:pPr>
    </w:p>
    <w:p>
      <w:pPr>
        <w:spacing w:line="240" w:lineRule="auto"/>
        <w:jc w:val="center"/>
      </w:pPr>
      <w:r>
        <w:rPr>
          <w:rFonts w:ascii="Times New Roman" w:hAnsi="Times New Roman"/>
          <w:b/>
          <w:sz w:val="24"/>
        </w:rPr>
        <w:t>PRIVILEGED &amp; CONFIDENTIAL  —  ATTORNEY WORK PRODUCT</w:t>
      </w:r>
    </w:p>
    <w:p>
      <w:pPr>
        <w:spacing w:line="480" w:lineRule="auto" w:after="0" w:before="0"/>
      </w:pPr>
    </w:p>
    <w:p>
      <w:pPr>
        <w:keepNext/>
        <w:spacing w:line="480" w:lineRule="auto" w:before="120" w:after="0"/>
      </w:pPr>
      <w:r>
        <w:rPr>
          <w:rFonts w:ascii="Times New Roman" w:hAnsi="Times New Roman"/>
          <w:b/>
          <w:caps/>
          <w:sz w:val="24"/>
        </w:rPr>
        <w:t>MEMORANDUM</w:t>
      </w:r>
    </w:p>
    <w:p>
      <w:pPr>
        <w:spacing w:line="240" w:lineRule="auto" w:after="40"/>
      </w:pPr>
      <w:r>
        <w:rPr>
          <w:rFonts w:ascii="Times New Roman" w:hAnsi="Times New Roman"/>
          <w:b/>
          <w:sz w:val="24"/>
        </w:rPr>
        <w:t xml:space="preserve">TO:  </w:t>
      </w:r>
      <w:r>
        <w:rPr>
          <w:rFonts w:ascii="Times New Roman" w:hAnsi="Times New Roman"/>
          <w:sz w:val="24"/>
        </w:rPr>
        <w:t>Margaret “Meg” Calloway, Lead Partner; David Arsenault, Senior Associate</w:t>
      </w:r>
    </w:p>
    <w:p>
      <w:pPr>
        <w:spacing w:line="240" w:lineRule="auto" w:after="40"/>
      </w:pPr>
      <w:r>
        <w:rPr>
          <w:rFonts w:ascii="Times New Roman" w:hAnsi="Times New Roman"/>
          <w:b/>
          <w:sz w:val="24"/>
        </w:rPr>
        <w:t xml:space="preserve">FROM:  </w:t>
      </w:r>
      <w:r>
        <w:rPr>
          <w:rFonts w:ascii="Times New Roman" w:hAnsi="Times New Roman"/>
          <w:sz w:val="24"/>
        </w:rPr>
        <w:t>Litigation Team, Stonebridge &amp; Calloway LLP</w:t>
      </w:r>
    </w:p>
    <w:p>
      <w:pPr>
        <w:spacing w:line="240" w:lineRule="auto" w:after="40"/>
      </w:pPr>
      <w:r>
        <w:rPr>
          <w:rFonts w:ascii="Times New Roman" w:hAnsi="Times New Roman"/>
          <w:b/>
          <w:sz w:val="24"/>
        </w:rPr>
        <w:t xml:space="preserve">DATE:  </w:t>
      </w:r>
      <w:r>
        <w:rPr>
          <w:rFonts w:ascii="Times New Roman" w:hAnsi="Times New Roman"/>
          <w:sz w:val="24"/>
        </w:rPr>
        <w:t>January 12, 2024</w:t>
      </w:r>
    </w:p>
    <w:p>
      <w:pPr>
        <w:spacing w:line="240" w:lineRule="auto" w:after="40"/>
      </w:pPr>
      <w:r>
        <w:rPr>
          <w:rFonts w:ascii="Times New Roman" w:hAnsi="Times New Roman"/>
          <w:b/>
          <w:sz w:val="24"/>
        </w:rPr>
        <w:t xml:space="preserve">RE:  </w:t>
      </w:r>
      <w:r>
        <w:rPr>
          <w:rFonts w:ascii="Times New Roman" w:hAnsi="Times New Roman"/>
          <w:sz w:val="24"/>
        </w:rPr>
        <w:t>Threshold and Strategic Issues — Defendant's Rule 12(b)(6) Motion to Dismiss — Arcadia Health Systems, LLC v. Meridian Cloud Solutions, Inc., No. 1:23-cv-00847-CMA (W.D. Tex., Austin Div.)</w:t>
      </w:r>
    </w:p>
    <w:p>
      <w:pPr>
        <w:spacing w:line="240" w:lineRule="auto" w:after="0"/>
        <w:pBdr>
          <w:bottom w:val="single" w:sz="6" w:space="1" w:color="auto"/>
        </w:pBdr>
      </w:pPr>
    </w:p>
    <w:p>
      <w:pPr>
        <w:spacing w:line="480" w:lineRule="auto" w:after="0" w:before="0"/>
      </w:pPr>
    </w:p>
    <w:p>
      <w:pPr>
        <w:spacing w:line="480" w:lineRule="auto" w:after="0" w:before="0"/>
      </w:pPr>
      <w:r>
        <w:rPr>
          <w:rFonts w:ascii="Times New Roman" w:hAnsi="Times New Roman"/>
          <w:b w:val="0"/>
          <w:i w:val="0"/>
          <w:sz w:val="24"/>
        </w:rPr>
        <w:t>This memorandum flags the threshold and strategic issues the team should resolve before and shortly after filing the attached motion to dismiss, proposed order, and this cover memo. The issues are listed in approximate order of urgency. The motion itself is drafted to move to dismiss all five counts; the points below concern matters that either sit outside the four corners of the brief, that may affect how or whether the brief is filed, or that require follow-up.</w:t>
      </w:r>
    </w:p>
    <w:p>
      <w:pPr>
        <w:keepNext/>
        <w:spacing w:line="480" w:lineRule="auto" w:before="120" w:after="0"/>
      </w:pPr>
      <w:r>
        <w:rPr>
          <w:rFonts w:ascii="Times New Roman" w:hAnsi="Times New Roman"/>
          <w:b/>
          <w:caps/>
          <w:sz w:val="24"/>
        </w:rPr>
        <w:t>1. Subject-Matter Jurisdiction — A Likely Complete-Diversity Defect (HIGHEST PRIORITY)</w:t>
      </w:r>
    </w:p>
    <w:p>
      <w:pPr>
        <w:spacing w:line="480" w:lineRule="auto" w:after="0" w:before="0"/>
      </w:pPr>
      <w:r>
        <w:rPr>
          <w:rFonts w:ascii="Times New Roman" w:hAnsi="Times New Roman"/>
          <w:b w:val="0"/>
          <w:i w:val="0"/>
          <w:sz w:val="24"/>
        </w:rPr>
        <w:t>Our own Notice of Removal alleged that Arcadia is a citizen of Texas only, based solely on Dr. Okonkwo's domicile. That analysis is almost certainly wrong and may be fatal to the Court's subject-matter jurisdiction. An LLC's citizenship is determined by the citizenship of all of its members. Harvey v. Grey Wolf Drilling Co., 542 F.3d 1077, 1080 (5th Cir. 2008). Arcadia's operating agreement (produced as Exhibit 7) and the FAC itself (¶¶ 7–8) disclose three members: Dr. Okonkwo (Texas), Martin Schreiber (Texas), and Apex Medical Ventures, LP (a Delaware limited partnership). A limited partnership's citizenship is traced to all of its partners. Carden v. Arkoma Assocs., 494 U.S. 185, 195–96 (1990). Apex's general partner is Apex Medical Ventures GP, Inc., a Delaware corporation with its principal place of business in Wilmington, Delaware—a citizen of Delaware. Apex's limited partner is the Okonkwo Family Trust (beneficiary domiciled in Texas).</w:t>
      </w:r>
    </w:p>
    <w:p>
      <w:pPr>
        <w:spacing w:line="480" w:lineRule="auto" w:after="0" w:before="0"/>
      </w:pPr>
      <w:r>
        <w:rPr>
          <w:rFonts w:ascii="Times New Roman" w:hAnsi="Times New Roman"/>
          <w:b w:val="0"/>
          <w:i w:val="0"/>
          <w:sz w:val="24"/>
        </w:rPr>
        <w:t>Accordingly, Arcadia is a citizen of both Texas and Delaware (through Apex GP, Inc.). Meridian is a citizen of both Delaware (incorporation) and Texas (principal place of business, Austin). Because both parties share Delaware and Texas citizenship, complete diversity does not exist, and the Court likely lacks subject-matter jurisdiction under 28 U.S.C. § 1332(a). Subject-matter jurisdiction cannot be waived and may be raised by the Court sua sponte at any time. Arbaugh v. Y &amp; H Corp., 546 U.S. 500, 514 (2006).</w:t>
      </w:r>
    </w:p>
    <w:p>
      <w:pPr>
        <w:spacing w:line="480" w:lineRule="auto" w:after="0" w:before="0"/>
      </w:pPr>
      <w:r>
        <w:rPr>
          <w:rFonts w:ascii="Times New Roman" w:hAnsi="Times New Roman"/>
          <w:b w:val="0"/>
          <w:i w:val="0"/>
          <w:sz w:val="24"/>
        </w:rPr>
        <w:t>Strategic implications. This is awkward because Meridian removed the case and would be moving to remand on a defect it created. Options to discuss with the client: (a) file the 12(b)(6) motion on the merits and let the jurisdictional issue be raised sua sponte or by Arcadia (risk: the Court may remand and the motion becomes moot, but the substantive defenses travel with the case to state court); (b) move to remand ourselves (cleanest legally, but concedes our removal was improper and forfeits the federal forum and Judge Alvarez's rigorous pleading standards); (c) file the 12(b)(6) motion and concurrently flag the jurisdictional issue to the Court. We should confirm the citizenship analysis against the Apex partnership agreement (still outstanding) and decide before the January 15 deadline. Note: the FAC's own allegations (¶¶ 7–8) disclose the membership structure that destroys diversity, so the defect is apparent on the face of the operative pleading.</w:t>
      </w:r>
    </w:p>
    <w:p>
      <w:pPr>
        <w:keepNext/>
        <w:spacing w:line="480" w:lineRule="auto" w:before="120" w:after="0"/>
      </w:pPr>
      <w:r>
        <w:rPr>
          <w:rFonts w:ascii="Times New Roman" w:hAnsi="Times New Roman"/>
          <w:b/>
          <w:caps/>
          <w:sz w:val="24"/>
        </w:rPr>
        <w:t>2. Post-Answer Motion — Rule 12(b)(6) vs. Rule 12(c)</w:t>
      </w:r>
    </w:p>
    <w:p>
      <w:pPr>
        <w:spacing w:line="480" w:lineRule="auto" w:after="0" w:before="0"/>
      </w:pPr>
      <w:r>
        <w:rPr>
          <w:rFonts w:ascii="Times New Roman" w:hAnsi="Times New Roman"/>
          <w:b w:val="0"/>
          <w:i w:val="0"/>
          <w:sz w:val="24"/>
        </w:rPr>
        <w:t>There is a direct conflict between the Court's Standing Order and the Scheduling Order. Standing Order § 3.4 states that a post-answer motion preserved in the Answer “shall [be] treat[ed]… as a motion to dismiss, not as a motion for judgment on the pleadings under Rule 12(c).” The Scheduling Order states the opposite: “The Court will treat any such motion as a Rule 12(c) motion for judgment on the pleadings, evaluated under the same standard as a Rule 12(b)(6) motion.” The Answer preserved the defense (First Affirmative Defense; Part III reservation; letter to the Court dated November 8, 2023), so preservation is not in dispute. The practical effect is minimal because the standard is identical (Twombly/Iqbal), and on a 12(c) motion the Court may also consider the Answer. The motion is captioned as a 12(b)(6) motion per the task and the Standing Order; we should be prepared for the Court to treat it as 12(c) and should not object.</w:t>
      </w:r>
    </w:p>
    <w:p>
      <w:pPr>
        <w:keepNext/>
        <w:spacing w:line="480" w:lineRule="auto" w:before="120" w:after="0"/>
      </w:pPr>
      <w:r>
        <w:rPr>
          <w:rFonts w:ascii="Times New Roman" w:hAnsi="Times New Roman"/>
          <w:b/>
          <w:caps/>
          <w:sz w:val="24"/>
        </w:rPr>
        <w:t>3. Choice of Law — The FAC Misstates the Governing Law for Count I</w:t>
      </w:r>
    </w:p>
    <w:p>
      <w:pPr>
        <w:spacing w:line="480" w:lineRule="auto" w:after="0" w:before="0"/>
      </w:pPr>
      <w:r>
        <w:rPr>
          <w:rFonts w:ascii="Times New Roman" w:hAnsi="Times New Roman"/>
          <w:b w:val="0"/>
          <w:i w:val="0"/>
          <w:sz w:val="24"/>
        </w:rPr>
        <w:t>Section 12.7 of the MSLSA selects Delaware law, without regard to conflict-of-law principles, to govern “this Agreement.” The FAC nevertheless pleads that “Texas law governs this breach of contract claim” (FAC ¶ 76) and “this fraud claim” (¶ 89), “this negligent misrepresentation claim” (¶ 97), and “this unjust enrichment claim” (¶ 104). The motion argues Delaware law governs Count I and that the tort claims fail under either Delaware or Texas law. We should be prepared to brief choice of law more fully if Arcadia contests it. The DTPA (Count V) is a Texas statute regardless of the choice-of-law clause. For unjust enrichment (Count IV), both Delaware and Texas bar the claim where an express contract governs, so the choice of law is immaterial to the result.</w:t>
      </w:r>
    </w:p>
    <w:p>
      <w:pPr>
        <w:keepNext/>
        <w:spacing w:line="480" w:lineRule="auto" w:before="120" w:after="0"/>
      </w:pPr>
      <w:r>
        <w:rPr>
          <w:rFonts w:ascii="Times New Roman" w:hAnsi="Times New Roman"/>
          <w:b/>
          <w:caps/>
          <w:sz w:val="24"/>
        </w:rPr>
        <w:t>4. DTPA — The Section 17.49(f) Asset Threshold and a Contradiction in Arcadia's Own Submissions</w:t>
      </w:r>
    </w:p>
    <w:p>
      <w:pPr>
        <w:spacing w:line="480" w:lineRule="auto" w:after="0" w:before="0"/>
      </w:pPr>
      <w:r>
        <w:rPr>
          <w:rFonts w:ascii="Times New Roman" w:hAnsi="Times New Roman"/>
          <w:b w:val="0"/>
          <w:i w:val="0"/>
          <w:sz w:val="24"/>
        </w:rPr>
        <w:t>The § 17.49(f) exemption is our cleanest DTPA ground, but it has a wrinkle. Arcadia's own July 25, 2023 letter confirms that the current statute is conjunctive: it requires both (a) total consideration exceeding $500,000 and (b) the consumer having assets of $25 million or more. The $500,000 element is indisputably met ($17.05 million). The $25 million asset element is where the record is messy:</w:t>
      </w:r>
    </w:p>
    <w:p>
      <w:pPr>
        <w:spacing w:line="240" w:lineRule="auto" w:after="0" w:before="0"/>
      </w:pPr>
      <w:r>
        <w:rPr>
          <w:rFonts w:ascii="Times New Roman" w:hAnsi="Times New Roman"/>
          <w:b w:val="0"/>
          <w:i w:val="0"/>
          <w:sz w:val="24"/>
        </w:rPr>
        <w:t xml:space="preserve">  • Arcadia's counsel represented in the July 25, 2023 letter that Arcadia's total assets were “$23.8 million”—below the threshold.</w:t>
      </w:r>
    </w:p>
    <w:p>
      <w:pPr>
        <w:spacing w:line="240" w:lineRule="auto" w:after="0" w:before="0"/>
      </w:pPr>
      <w:r>
        <w:rPr>
          <w:rFonts w:ascii="Times New Roman" w:hAnsi="Times New Roman"/>
          <w:b w:val="0"/>
          <w:i w:val="0"/>
          <w:sz w:val="24"/>
        </w:rPr>
        <w:t xml:space="preserve">  • Arcadia's own damages expert (Grayson Whitmore, July 28, 2023) reported Arcadia's total assets at “approximately $41 million”—above the threshold.</w:t>
      </w:r>
    </w:p>
    <w:p>
      <w:pPr>
        <w:spacing w:line="240" w:lineRule="auto" w:after="0" w:before="0"/>
      </w:pPr>
      <w:r>
        <w:rPr>
          <w:rFonts w:ascii="Times New Roman" w:hAnsi="Times New Roman"/>
          <w:b w:val="0"/>
          <w:i w:val="0"/>
          <w:sz w:val="24"/>
        </w:rPr>
        <w:t xml:space="preserve">  • The FAC alleges “substantial infrastructure investments exceeding $30 million” (FAC ¶¶ 38, 117), which supports (though does not conclusively establish) assets above $25 million.</w:t>
      </w:r>
    </w:p>
    <w:p>
      <w:pPr>
        <w:spacing w:line="480" w:lineRule="auto" w:after="0" w:before="0"/>
      </w:pPr>
      <w:r>
        <w:rPr>
          <w:rFonts w:ascii="Times New Roman" w:hAnsi="Times New Roman"/>
          <w:b w:val="0"/>
          <w:i w:val="0"/>
          <w:sz w:val="24"/>
        </w:rPr>
        <w:t>This direct contradiction in Arcadia's own submissions is both a litigation asset and a complication. On a 12(b)(6) motion, the Court may be reluctant to find the exemption established if Arcadia's asset size is not conclusively shown on the face of the complaint. The motion therefore argues the exemption is satisfied (relying on the FAC's $30 million investment allegation and the $41 million figure in Arcadia's own damages report) and, in the alternative, presses the puffery, disclaimer, and producing-cause grounds so that the DTPA count fails even if the asset threshold is not resolved at the pleading stage. We should obtain Arcadia's audited financial statements (counsel for Arcadia offered to produce them) and be prepared to renew the § 17.49(f) argument on summary judgment if needed. The burden of proving the exemption is on Meridian. Cameron v. Terrell &amp; Garrett, Inc., 618 S.W.2d 535, 541 (Tex. 1981).</w:t>
      </w:r>
    </w:p>
    <w:p>
      <w:pPr>
        <w:keepNext/>
        <w:spacing w:line="480" w:lineRule="auto" w:before="120" w:after="0"/>
      </w:pPr>
      <w:r>
        <w:rPr>
          <w:rFonts w:ascii="Times New Roman" w:hAnsi="Times New Roman"/>
          <w:b/>
          <w:caps/>
          <w:sz w:val="24"/>
        </w:rPr>
        <w:t>5. DTPA — Verify the Current Text of Section 17.49(f)</w:t>
      </w:r>
    </w:p>
    <w:p>
      <w:pPr>
        <w:spacing w:line="480" w:lineRule="auto" w:after="0" w:before="0"/>
      </w:pPr>
      <w:r>
        <w:rPr>
          <w:rFonts w:ascii="Times New Roman" w:hAnsi="Times New Roman"/>
          <w:b w:val="0"/>
          <w:i w:val="0"/>
          <w:sz w:val="24"/>
        </w:rPr>
        <w:t>The record contains inconsistent statements of the statute. Our research memo states the exemption as “$500,000 + consumer not an individual.” Arcadia's letter, our Answer (Thirteenth Affirmative Defense), and our pre-suit response letter state it as “$500,000 + $25 million in assets.” These are not the same test. We must verify the current statutory text (and any 2011/2019 amendments) before the brief is finalized and align the motion, the Answer, and our pre-suit correspondence. The motion currently tracks the conjunctive $500,000 + $25 million-assets formulation as stated by Arcadia's own counsel.</w:t>
      </w:r>
    </w:p>
    <w:p>
      <w:pPr>
        <w:keepNext/>
        <w:spacing w:line="480" w:lineRule="auto" w:before="120" w:after="0"/>
      </w:pPr>
      <w:r>
        <w:rPr>
          <w:rFonts w:ascii="Times New Roman" w:hAnsi="Times New Roman"/>
          <w:b/>
          <w:caps/>
          <w:sz w:val="24"/>
        </w:rPr>
        <w:t>6. DTPA — Possible Failure to Satisfy the 60-Day Pre-Suit Notice (Section 17.505(a))</w:t>
      </w:r>
    </w:p>
    <w:p>
      <w:pPr>
        <w:spacing w:line="480" w:lineRule="auto" w:after="0" w:before="0"/>
      </w:pPr>
      <w:r>
        <w:rPr>
          <w:rFonts w:ascii="Times New Roman" w:hAnsi="Times New Roman"/>
          <w:b w:val="0"/>
          <w:i w:val="0"/>
          <w:sz w:val="24"/>
        </w:rPr>
        <w:t>Section 17.505(a) requires a consumer to give written notice at least 60 days before filing suit. Arcadia's DTPA demand letter is dated June 15, 2023; the original petition was filed August 7, 2023—only 53 days later. (There is also a date discrepancy: our July 10, 2023 response refers to Arcadia's letter as dated “June 26, 2023,” which would make the gap only 42 days.) Either way, suit appears to have been filed before the 60-day period elapsed. This is a procedural defect more naturally raised by a motion to abate or in the answer than by a 12(b)(6) motion, and courts often treat it as curable rather than jurisdictional. We have not made it a primary ground in the motion, but it should be raised separately (or held in reserve) and the demand-letter date reconciled.</w:t>
      </w:r>
    </w:p>
    <w:p>
      <w:pPr>
        <w:keepNext/>
        <w:spacing w:line="480" w:lineRule="auto" w:before="120" w:after="0"/>
      </w:pPr>
      <w:r>
        <w:rPr>
          <w:rFonts w:ascii="Times New Roman" w:hAnsi="Times New Roman"/>
          <w:b/>
          <w:caps/>
          <w:sz w:val="24"/>
        </w:rPr>
        <w:t>7. Jury-Trial Waiver (Section 12.9)</w:t>
      </w:r>
    </w:p>
    <w:p>
      <w:pPr>
        <w:spacing w:line="480" w:lineRule="auto" w:after="0" w:before="0"/>
      </w:pPr>
      <w:r>
        <w:rPr>
          <w:rFonts w:ascii="Times New Roman" w:hAnsi="Times New Roman"/>
          <w:b w:val="0"/>
          <w:i w:val="0"/>
          <w:sz w:val="24"/>
        </w:rPr>
        <w:t>The MSLSA contains a mutual jury-trial waiver, which Arcadia's counsel expressly accepted during negotiations. The Scheduling Order recites that “[t]he parties have waived their right to a jury trial pursuant to Section 12.9” and sets a bench trial. The FAC nonetheless demands a jury (FAC ¶ 122), and our Answer conditionally demands a jury “to the extent that the Court determines the jury trial waiver… is not enforceable.” Watch for an Arcadia challenge to the waiver on the theory that fraudulent inducement voids the waiver or that the waiver does not extend to the fraud/DTPA claims. This is a trial-phase issue, not a motion-to-dismiss issue, but it should be tracked.</w:t>
      </w:r>
    </w:p>
    <w:p>
      <w:pPr>
        <w:keepNext/>
        <w:spacing w:line="480" w:lineRule="auto" w:before="120" w:after="0"/>
      </w:pPr>
      <w:r>
        <w:rPr>
          <w:rFonts w:ascii="Times New Roman" w:hAnsi="Times New Roman"/>
          <w:b/>
          <w:caps/>
          <w:sz w:val="24"/>
        </w:rPr>
        <w:t>8. Documents the Court May Consider on the Motion</w:t>
      </w:r>
    </w:p>
    <w:p>
      <w:pPr>
        <w:spacing w:line="480" w:lineRule="auto" w:after="0" w:before="0"/>
      </w:pPr>
      <w:r>
        <w:rPr>
          <w:rFonts w:ascii="Times New Roman" w:hAnsi="Times New Roman"/>
          <w:b w:val="0"/>
          <w:i w:val="0"/>
          <w:sz w:val="24"/>
        </w:rPr>
        <w:t>The motion relies on documents beyond the FAC. Under Lormand, the Court may consider documents referenced in and central to the claims without converting the motion to summary judgment. Safest: the MSLSA, SOW-1, and the four Change Orders (all referenced in the FAC and central to every count). Also strong: the written proposal (Exhibit H), the sales presentation (Exhibit G), Dr. Okonkwo's March 8, 2023 email (Exhibit E), and the Grayson Whitmore damages analysis (Exhibit F)—all listed in the FAC's exhibit list. Pushing the boundary: the Schreiber internal memo and the August 25, 2022 project status report, which are referenced in the FAC (¶¶ 31, 44) and central to reliance and causation but were not attached. Be prepared for Arcadia to argue that consideration of the project-status report and Schreiber memo converts the motion to summary judgment; we should be ready to respond that both are referenced in and central to the claims, or to rely primarily on the contract documents and the FAC's own allegations.</w:t>
      </w:r>
    </w:p>
    <w:p>
      <w:pPr>
        <w:keepNext/>
        <w:spacing w:line="480" w:lineRule="auto" w:before="120" w:after="0"/>
      </w:pPr>
      <w:r>
        <w:rPr>
          <w:rFonts w:ascii="Times New Roman" w:hAnsi="Times New Roman"/>
          <w:b/>
          <w:caps/>
          <w:sz w:val="24"/>
        </w:rPr>
        <w:t>9. Procedural Compliance with the Standing Order</w:t>
      </w:r>
    </w:p>
    <w:p>
      <w:pPr>
        <w:spacing w:line="240" w:lineRule="auto" w:after="0" w:before="0"/>
      </w:pPr>
      <w:r>
        <w:rPr>
          <w:rFonts w:ascii="Times New Roman" w:hAnsi="Times New Roman"/>
          <w:b w:val="0"/>
          <w:i w:val="0"/>
          <w:sz w:val="24"/>
        </w:rPr>
        <w:t xml:space="preserve">  • Certificate of conference. Standing Order § 3.1 requires a certificate of conference for dispositive motions, filed as a separate document. The motion includes a certificate of conference; we should also file it as a standalone document to be safe, and ensure the meet-and-confer with Breckenridge actually occurs and is documented before filing.</w:t>
      </w:r>
    </w:p>
    <w:p>
      <w:pPr>
        <w:spacing w:line="240" w:lineRule="auto" w:after="0" w:before="0"/>
      </w:pPr>
      <w:r>
        <w:rPr>
          <w:rFonts w:ascii="Times New Roman" w:hAnsi="Times New Roman"/>
          <w:b w:val="0"/>
          <w:i w:val="0"/>
          <w:sz w:val="24"/>
        </w:rPr>
        <w:t xml:space="preserve">  • Page limit. The motion is within the 25-page limit (Standing Order § 3.2), exclusive of the caption, signature block, and certificates.</w:t>
      </w:r>
    </w:p>
    <w:p>
      <w:pPr>
        <w:spacing w:line="240" w:lineRule="auto" w:after="0" w:before="0"/>
      </w:pPr>
      <w:r>
        <w:rPr>
          <w:rFonts w:ascii="Times New Roman" w:hAnsi="Times New Roman"/>
          <w:b w:val="0"/>
          <w:i w:val="0"/>
          <w:sz w:val="24"/>
        </w:rPr>
        <w:t xml:space="preserve">  • Reply page limit conflict. The Standing Order allows 15-page replies; the Scheduling Order says 10-page replies. We should plan for 10 pages to be safe.</w:t>
      </w:r>
    </w:p>
    <w:p>
      <w:pPr>
        <w:spacing w:line="240" w:lineRule="auto" w:after="0" w:before="0"/>
      </w:pPr>
      <w:r>
        <w:rPr>
          <w:rFonts w:ascii="Times New Roman" w:hAnsi="Times New Roman"/>
          <w:b w:val="0"/>
          <w:i w:val="0"/>
          <w:sz w:val="24"/>
        </w:rPr>
        <w:t xml:space="preserve">  • Proposed order. Standing Order § 3.5 requires the proposed order as a separate .docx filing (not embedded in the motion). The attached proposed order is drafted accordingly; update the docket entry number within one business day of filing.</w:t>
      </w:r>
    </w:p>
    <w:p>
      <w:pPr>
        <w:spacing w:line="240" w:lineRule="auto" w:after="0" w:before="0"/>
      </w:pPr>
      <w:r>
        <w:rPr>
          <w:rFonts w:ascii="Times New Roman" w:hAnsi="Times New Roman"/>
          <w:b w:val="0"/>
          <w:i w:val="0"/>
          <w:sz w:val="24"/>
        </w:rPr>
        <w:t xml:space="preserve">  • Deadline. The dispositive-motion deadline is January 15, 2024 (Scheduling Order § III.A).</w:t>
      </w:r>
    </w:p>
    <w:p>
      <w:pPr>
        <w:keepNext/>
        <w:spacing w:line="480" w:lineRule="auto" w:before="120" w:after="0"/>
      </w:pPr>
      <w:r>
        <w:rPr>
          <w:rFonts w:ascii="Times New Roman" w:hAnsi="Times New Roman"/>
          <w:b/>
          <w:caps/>
          <w:sz w:val="24"/>
        </w:rPr>
        <w:t>10. Strategy on Count I — Full Dismissal vs. Damages Limitation</w:t>
      </w:r>
    </w:p>
    <w:p>
      <w:pPr>
        <w:spacing w:line="480" w:lineRule="auto" w:after="0" w:before="0"/>
      </w:pPr>
      <w:r>
        <w:rPr>
          <w:rFonts w:ascii="Times New Roman" w:hAnsi="Times New Roman"/>
          <w:b w:val="0"/>
          <w:i w:val="0"/>
          <w:sz w:val="24"/>
        </w:rPr>
        <w:t>The motion seeks full dismissal of Count I but, in the alternative, asks that damages be limited to the contractual cap and exclusive remedies. Full dismissal of a breach-of-contract claim at the pleading stage is aggressive, and Judge Alvarez may be reluctant to dismiss it entirely where the FAC alleges non-delivery of conforming software. The deemed-acceptance and warranty-expiration arguments are strong, but the safer play may be to press the damages-limitation alternative heavily. The proposed order grants full dismissal but, in the alternative, limits damages—matching the motion's primary/alternative structure. We should be prepared for the Court to deny full dismissal of Count I but grant the damages limitation, which would still eliminate roughly $30 million of the $47.3 million demand.</w:t>
      </w:r>
    </w:p>
    <w:p>
      <w:pPr>
        <w:keepNext/>
        <w:spacing w:line="480" w:lineRule="auto" w:before="120" w:after="0"/>
      </w:pPr>
      <w:r>
        <w:rPr>
          <w:rFonts w:ascii="Times New Roman" w:hAnsi="Times New Roman"/>
          <w:b/>
          <w:caps/>
          <w:sz w:val="24"/>
        </w:rPr>
        <w:t>11. The “Seamless Integration” Representation — Evidentiary Note</w:t>
      </w:r>
    </w:p>
    <w:p>
      <w:pPr>
        <w:spacing w:line="480" w:lineRule="auto" w:after="0" w:before="0"/>
      </w:pPr>
      <w:r>
        <w:rPr>
          <w:rFonts w:ascii="Times New Roman" w:hAnsi="Times New Roman"/>
          <w:b w:val="0"/>
          <w:i w:val="0"/>
          <w:sz w:val="24"/>
        </w:rPr>
        <w:t>The FAC alleges Poletti said NexusCore “will integrate seamlessly with any EHR platform” (FAC ¶ 25). Our Answer avers that Poletti's contemporaneous notes reflect that he actually said integration is “subject to proper configuration.” The contemporaneous notes are extrinsic and should not be the primary basis at the pleading stage. Instead, the motion relies on the written proposal (Exhibit H), which expressly disclaims “seamless” integration, and the sales presentation (Exhibit G), which qualifies integration as “subject to proper configuration.” Both are referenced in the FAC and central to the claims. Preserve the Poletti notes for summary judgment or trial.</w:t>
      </w:r>
    </w:p>
    <w:p>
      <w:pPr>
        <w:spacing w:line="480" w:lineRule="auto" w:after="0" w:before="0"/>
      </w:pPr>
      <w:r>
        <w:rPr>
          <w:rFonts w:ascii="Times New Roman" w:hAnsi="Times New Roman" w:eastAsia="Times New Roman"/>
          <w:b/>
          <w:i w:val="0"/>
          <w:sz w:val="24"/>
        </w:rPr>
        <w:t>12. Post-Warranty Voluntary Patching — Characterization Risk</w:t>
      </w:r>
      <w:r>
        <w:rPr>
          <w:rFonts w:ascii="Times New Roman" w:hAnsi="Times New Roman" w:eastAsia="Times New Roman"/>
          <w:b w:val="0"/>
          <w:i w:val="0"/>
          <w:sz w:val="24"/>
        </w:rPr>
        <w:t>The Section 9.1 limited warranty expired on April 15, 2023 (90 days after the January 15, 2023 Go-Live). Meridian nonetheless released software patches on May 2 and June 19, 2023, addressing the four confirmed NexusCore defects—both dates falling after the warranty period. Arcadia may argue that Meridian's post-warranty patching constitutes an acknowledgment of ongoing warranty obligations or an admission that the software was defective during the warranty period. We should be prepared to characterize this conduct as good-customer-service performance under the separately paid maintenance-and-support obligations (Year 1 maintenance fees of $1.9 million), not a waiver of the warranty expiration or the exclusive-remedy provisions. The support-ticket report already frames the patches as standard maintenance; we should ensure internal communications are consistent with that framing and avoid any language suggesting the patches were warranty cures. This is a factual/characterization issue to monitor through discovery, not a motion-to-dismiss ground.</w:t>
      </w:r>
    </w:p>
    <w:p>
      <w:pPr>
        <w:keepNext/>
        <w:spacing w:line="480" w:lineRule="auto" w:before="120" w:after="0"/>
      </w:pPr>
      <w:r>
        <w:rPr>
          <w:rFonts w:ascii="Times New Roman" w:hAnsi="Times New Roman"/>
          <w:b/>
          <w:caps/>
          <w:sz w:val="24"/>
        </w:rPr>
        <w:t>13. Outstanding Factual Items</w:t>
      </w:r>
    </w:p>
    <w:p>
      <w:pPr>
        <w:spacing w:line="240" w:lineRule="auto" w:after="0" w:before="0"/>
      </w:pPr>
      <w:r>
        <w:rPr>
          <w:rFonts w:ascii="Times New Roman" w:hAnsi="Times New Roman"/>
          <w:b w:val="0"/>
          <w:i w:val="0"/>
          <w:sz w:val="24"/>
        </w:rPr>
        <w:t xml:space="preserve">  • Confirm the citizenship analysis with the Apex Medical Ventures, LP partnership agreement (still outstanding).</w:t>
      </w:r>
    </w:p>
    <w:p>
      <w:pPr>
        <w:spacing w:line="240" w:lineRule="auto" w:after="0" w:before="0"/>
      </w:pPr>
      <w:r>
        <w:rPr>
          <w:rFonts w:ascii="Times New Roman" w:hAnsi="Times New Roman"/>
          <w:b w:val="0"/>
          <w:i w:val="0"/>
          <w:sz w:val="24"/>
        </w:rPr>
        <w:t xml:space="preserve">  • Obtain Arcadia's audited financial statements to nail down the § 17.49(f) asset threshold (Arcadia's counsel offered to produce them).</w:t>
      </w:r>
    </w:p>
    <w:p>
      <w:pPr>
        <w:spacing w:line="240" w:lineRule="auto" w:after="0" w:before="0"/>
      </w:pPr>
      <w:r>
        <w:rPr>
          <w:rFonts w:ascii="Times New Roman" w:hAnsi="Times New Roman"/>
          <w:b w:val="0"/>
          <w:i w:val="0"/>
          <w:sz w:val="24"/>
        </w:rPr>
        <w:t xml:space="preserve">  • Reconcile the DTPA demand-letter date (June 15 vs. June 26, 2023) for the § 17.505(a) 60-day-notice analysis.</w:t>
      </w:r>
    </w:p>
    <w:p>
      <w:pPr>
        <w:spacing w:line="240" w:lineRule="auto" w:after="0" w:before="0"/>
      </w:pPr>
      <w:r>
        <w:rPr>
          <w:rFonts w:ascii="Times New Roman" w:hAnsi="Times New Roman"/>
          <w:b w:val="0"/>
          <w:i w:val="0"/>
          <w:sz w:val="24"/>
        </w:rPr>
        <w:t xml:space="preserve">  • Obtain Linden Park's scope-of-work and correspondence to strengthen the causation/data-migration arguments.</w:t>
      </w:r>
    </w:p>
    <w:p>
      <w:pPr>
        <w:spacing w:line="240" w:lineRule="auto" w:after="0" w:before="0"/>
      </w:pPr>
      <w:r>
        <w:rPr>
          <w:rFonts w:ascii="Times New Roman" w:hAnsi="Times New Roman"/>
          <w:b w:val="0"/>
          <w:i w:val="0"/>
          <w:sz w:val="24"/>
        </w:rPr>
        <w:t xml:space="preserve">  • Calculate the Section 8.1 cap amount (fees paid or payable in the 12 months preceding the “event giving rise to liability”) from Meridian's billing records; the “event” date is ambiguous and affects the cap.</w:t>
      </w:r>
    </w:p>
    <w:p>
      <w:pPr>
        <w:spacing w:line="480" w:lineRule="auto" w:after="0" w:before="0"/>
      </w:pPr>
    </w:p>
    <w:p>
      <w:pPr>
        <w:spacing w:line="240" w:lineRule="auto" w:after="0" w:before="0"/>
      </w:pPr>
      <w:r>
        <w:rPr>
          <w:rFonts w:ascii="Times New Roman" w:hAnsi="Times New Roman"/>
          <w:b w:val="0"/>
          <w:i w:val="0"/>
          <w:sz w:val="24"/>
        </w:rPr>
        <w:t>Please advise on the jurisdictional question (Item 1) at your earliest convenience, as it may affect whether and how we file on January 15.</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sz w:val="24"/>
      </w:rPr>
      <w:t xml:space="preserve">Page </w:t>
    </w:r>
    <w:r>
      <w:rPr>
        <w:rFonts w:ascii="Times New Roman" w:hAnsi="Times New Roman"/>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