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F3864"/>
          <w:sz w:val="32"/>
        </w:rPr>
        <w:t>CLOSING NOTES MEMORANDUM</w:t>
      </w:r>
    </w:p>
    <w:p>
      <w:pPr>
        <w:spacing w:before="40" w:after="160"/>
        <w:jc w:val="center"/>
      </w:pPr>
      <w:r>
        <w:rPr>
          <w:rFonts w:ascii="Calibri" w:hAnsi="Calibri"/>
          <w:i/>
          <w:color w:val="595959"/>
          <w:sz w:val="21"/>
        </w:rPr>
        <w:t>Discrepancies, Assumptions &amp; Items Requiring Confirmation</w:t>
      </w:r>
    </w:p>
    <w:tbl>
      <w:tblPr>
        <w:tblW w:type="auto" w:w="0"/>
        <w:tblLayout w:type="fixed"/>
        <w:tblLook w:firstColumn="1" w:firstRow="1" w:lastColumn="0" w:lastRow="0" w:noHBand="0" w:noVBand="1" w:val="04A0"/>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Pr>
      <w:tblGrid>
        <w:gridCol w:w="4968"/>
        <w:gridCol w:w="4968"/>
      </w:tblGrid>
      <w:tr>
        <w:tc>
          <w:tcPr>
            <w:tcW w:type="dxa" w:w="1296"/>
            <w:shd w:fill="F2F2F2"/>
            <w:tcMar>
              <w:top w:w="50" w:type="dxa"/>
              <w:bottom w:w="50" w:type="dxa"/>
              <w:start w:w="90" w:type="dxa"/>
              <w:end w:w="90" w:type="dxa"/>
            </w:tcMar>
          </w:tcPr>
          <w:p>
            <w:pPr>
              <w:spacing w:before="20" w:after="20"/>
              <w:jc w:val="left"/>
            </w:pPr>
            <w:r/>
            <w:r>
              <w:rPr>
                <w:rFonts w:ascii="Calibri" w:hAnsi="Calibri"/>
                <w:b/>
                <w:i w:val="0"/>
                <w:sz w:val="19"/>
              </w:rPr>
              <w:t>TO:</w:t>
            </w:r>
          </w:p>
        </w:tc>
        <w:tc>
          <w:tcPr>
            <w:tcW w:type="dxa" w:w="8496"/>
            <w:tcMar>
              <w:top w:w="50" w:type="dxa"/>
              <w:bottom w:w="50" w:type="dxa"/>
              <w:start w:w="90" w:type="dxa"/>
              <w:end w:w="90" w:type="dxa"/>
            </w:tcMar>
          </w:tcPr>
          <w:p>
            <w:pPr>
              <w:spacing w:before="20" w:after="20"/>
              <w:jc w:val="left"/>
            </w:pPr>
            <w:r/>
            <w:r>
              <w:rPr>
                <w:rFonts w:ascii="Calibri" w:hAnsi="Calibri"/>
                <w:b w:val="0"/>
                <w:i w:val="0"/>
                <w:sz w:val="19"/>
              </w:rPr>
              <w:t>Lorraine M. Grasso, Closing Officer — Pinnacle Abstract &amp; Title LLC; Nora F. Kapadia, Esq. (Buyer's Counsel); David H. Clement, Esq. (Seller's Counsel); Marcus J. Pellegrino (Lender)</w:t>
            </w:r>
          </w:p>
        </w:tc>
      </w:tr>
      <w:tr>
        <w:tc>
          <w:tcPr>
            <w:tcW w:type="dxa" w:w="1296"/>
            <w:shd w:fill="F2F2F2"/>
            <w:tcMar>
              <w:top w:w="50" w:type="dxa"/>
              <w:bottom w:w="50" w:type="dxa"/>
              <w:start w:w="90" w:type="dxa"/>
              <w:end w:w="90" w:type="dxa"/>
            </w:tcMar>
          </w:tcPr>
          <w:p>
            <w:pPr>
              <w:spacing w:before="20" w:after="20"/>
              <w:jc w:val="left"/>
            </w:pPr>
            <w:r/>
            <w:r>
              <w:rPr>
                <w:rFonts w:ascii="Calibri" w:hAnsi="Calibri"/>
                <w:b/>
                <w:i w:val="0"/>
                <w:sz w:val="19"/>
              </w:rPr>
              <w:t>FROM:</w:t>
            </w:r>
          </w:p>
        </w:tc>
        <w:tc>
          <w:tcPr>
            <w:tcW w:type="dxa" w:w="8496"/>
            <w:tcMar>
              <w:top w:w="50" w:type="dxa"/>
              <w:bottom w:w="50" w:type="dxa"/>
              <w:start w:w="90" w:type="dxa"/>
              <w:end w:w="90" w:type="dxa"/>
            </w:tcMar>
          </w:tcPr>
          <w:p>
            <w:pPr>
              <w:spacing w:before="20" w:after="20"/>
              <w:jc w:val="left"/>
            </w:pPr>
            <w:r/>
            <w:r>
              <w:rPr>
                <w:rFonts w:ascii="Calibri" w:hAnsi="Calibri"/>
                <w:b w:val="0"/>
                <w:i w:val="0"/>
                <w:sz w:val="19"/>
              </w:rPr>
              <w:t>Settlement Statement Preparation Team</w:t>
            </w:r>
          </w:p>
        </w:tc>
      </w:tr>
      <w:tr>
        <w:tc>
          <w:tcPr>
            <w:tcW w:type="dxa" w:w="1296"/>
            <w:shd w:fill="F2F2F2"/>
            <w:tcMar>
              <w:top w:w="50" w:type="dxa"/>
              <w:bottom w:w="50" w:type="dxa"/>
              <w:start w:w="90" w:type="dxa"/>
              <w:end w:w="90" w:type="dxa"/>
            </w:tcMar>
          </w:tcPr>
          <w:p>
            <w:pPr>
              <w:spacing w:before="20" w:after="20"/>
              <w:jc w:val="left"/>
            </w:pPr>
            <w:r/>
            <w:r>
              <w:rPr>
                <w:rFonts w:ascii="Calibri" w:hAnsi="Calibri"/>
                <w:b/>
                <w:i w:val="0"/>
                <w:sz w:val="19"/>
              </w:rPr>
              <w:t>DATE:</w:t>
            </w:r>
          </w:p>
        </w:tc>
        <w:tc>
          <w:tcPr>
            <w:tcW w:type="dxa" w:w="8496"/>
            <w:tcMar>
              <w:top w:w="50" w:type="dxa"/>
              <w:bottom w:w="50" w:type="dxa"/>
              <w:start w:w="90" w:type="dxa"/>
              <w:end w:w="90" w:type="dxa"/>
            </w:tcMar>
          </w:tcPr>
          <w:p>
            <w:pPr>
              <w:spacing w:before="20" w:after="20"/>
              <w:jc w:val="left"/>
            </w:pPr>
            <w:r/>
            <w:r>
              <w:rPr>
                <w:rFonts w:ascii="Calibri" w:hAnsi="Calibri"/>
                <w:b w:val="0"/>
                <w:i w:val="0"/>
                <w:sz w:val="19"/>
              </w:rPr>
              <w:t>July 14, 2025</w:t>
            </w:r>
          </w:p>
        </w:tc>
      </w:tr>
      <w:tr>
        <w:tc>
          <w:tcPr>
            <w:tcW w:type="dxa" w:w="1296"/>
            <w:shd w:fill="F2F2F2"/>
            <w:tcMar>
              <w:top w:w="50" w:type="dxa"/>
              <w:bottom w:w="50" w:type="dxa"/>
              <w:start w:w="90" w:type="dxa"/>
              <w:end w:w="90" w:type="dxa"/>
            </w:tcMar>
          </w:tcPr>
          <w:p>
            <w:pPr>
              <w:spacing w:before="20" w:after="20"/>
              <w:jc w:val="left"/>
            </w:pPr>
            <w:r/>
            <w:r>
              <w:rPr>
                <w:rFonts w:ascii="Calibri" w:hAnsi="Calibri"/>
                <w:b/>
                <w:i w:val="0"/>
                <w:sz w:val="19"/>
              </w:rPr>
              <w:t>RE:</w:t>
            </w:r>
          </w:p>
        </w:tc>
        <w:tc>
          <w:tcPr>
            <w:tcW w:type="dxa" w:w="8496"/>
            <w:tcMar>
              <w:top w:w="50" w:type="dxa"/>
              <w:bottom w:w="50" w:type="dxa"/>
              <w:start w:w="90" w:type="dxa"/>
              <w:end w:w="90" w:type="dxa"/>
            </w:tcMar>
          </w:tcPr>
          <w:p>
            <w:pPr>
              <w:spacing w:before="20" w:after="20"/>
              <w:jc w:val="left"/>
            </w:pPr>
            <w:r/>
            <w:r>
              <w:rPr>
                <w:rFonts w:ascii="Calibri" w:hAnsi="Calibri"/>
                <w:b w:val="0"/>
                <w:i w:val="0"/>
                <w:sz w:val="19"/>
              </w:rPr>
              <w:t>Notes to Settlement Statement — Sale of 4280 Harborview Boulevard, Bridgeport, CT 06604 (Closing July 15, 2025)</w:t>
            </w:r>
          </w:p>
        </w:tc>
      </w:tr>
      <w:tr>
        <w:tc>
          <w:tcPr>
            <w:tcW w:type="dxa" w:w="1296"/>
            <w:shd w:fill="F2F2F2"/>
            <w:tcMar>
              <w:top w:w="50" w:type="dxa"/>
              <w:bottom w:w="50" w:type="dxa"/>
              <w:start w:w="90" w:type="dxa"/>
              <w:end w:w="90" w:type="dxa"/>
            </w:tcMar>
          </w:tcPr>
          <w:p>
            <w:pPr>
              <w:spacing w:before="20" w:after="20"/>
              <w:jc w:val="left"/>
            </w:pPr>
            <w:r/>
            <w:r>
              <w:rPr>
                <w:rFonts w:ascii="Calibri" w:hAnsi="Calibri"/>
                <w:b/>
                <w:i w:val="0"/>
                <w:sz w:val="19"/>
              </w:rPr>
              <w:t>FILE:</w:t>
            </w:r>
          </w:p>
        </w:tc>
        <w:tc>
          <w:tcPr>
            <w:tcW w:type="dxa" w:w="8496"/>
            <w:tcMar>
              <w:top w:w="50" w:type="dxa"/>
              <w:bottom w:w="50" w:type="dxa"/>
              <w:start w:w="90" w:type="dxa"/>
              <w:end w:w="90" w:type="dxa"/>
            </w:tcMar>
          </w:tcPr>
          <w:p>
            <w:pPr>
              <w:spacing w:before="20" w:after="20"/>
              <w:jc w:val="left"/>
            </w:pPr>
            <w:r/>
            <w:r>
              <w:rPr>
                <w:rFonts w:ascii="Calibri" w:hAnsi="Calibri"/>
                <w:b w:val="0"/>
                <w:i w:val="0"/>
                <w:sz w:val="19"/>
              </w:rPr>
              <w:t>PCT-2025-08814 / Title Commitment TC-2025-07182 / Loan TSB-2025-CRE-04183</w:t>
            </w:r>
          </w:p>
        </w:tc>
      </w:tr>
    </w:tbl>
    <w:p>
      <w:pPr>
        <w:keepNext/>
        <w:spacing w:before="240" w:after="80"/>
        <w:pBdr>
          <w:bottom w:val="single" w:sz="6" w:space="2" w:color="1F3864"/>
        </w:pBdr>
      </w:pPr>
      <w:r>
        <w:rPr>
          <w:rFonts w:ascii="Calibri" w:hAnsi="Calibri"/>
          <w:b/>
          <w:color w:val="1F3864"/>
          <w:sz w:val="24"/>
        </w:rPr>
        <w:t>1.  PURPOSE</w:t>
      </w:r>
    </w:p>
    <w:p>
      <w:pPr>
        <w:spacing w:after="120" w:before="0"/>
        <w:jc w:val="both"/>
      </w:pPr>
      <w:r>
        <w:rPr>
          <w:rFonts w:ascii="Calibri" w:hAnsi="Calibri"/>
          <w:b w:val="0"/>
          <w:i w:val="0"/>
          <w:sz w:val="19"/>
        </w:rPr>
        <w:t>This memorandum accompanies the Settlement Statement prepared for the closing of the above-referenced commercial property. It identifies discrepancies among the closing documents, states the assumptions used to resolve them or to estimate amounts not yet finalized, and lists items that must be confirmed before or shortly after closing. Each item is keyed to the corresponding line on the Settlement Statement and to the source document. The Settlement Statement is in balance (Total Funds In = Total Funds Out = $3,918,564.52); the items below do not affect that balance but may require adjustment to specific line items upon confirmation.</w:t>
      </w:r>
    </w:p>
    <w:p>
      <w:pPr>
        <w:keepNext/>
        <w:spacing w:before="240" w:after="80"/>
        <w:pBdr>
          <w:bottom w:val="single" w:sz="6" w:space="2" w:color="1F3864"/>
        </w:pBdr>
      </w:pPr>
      <w:r>
        <w:rPr>
          <w:rFonts w:ascii="Calibri" w:hAnsi="Calibri"/>
          <w:b/>
          <w:color w:val="1F3864"/>
          <w:sz w:val="24"/>
        </w:rPr>
        <w:t>2.  DISCREPANCIES IDENTIFIED</w:t>
      </w:r>
    </w:p>
    <w:p>
      <w:pPr>
        <w:spacing w:after="80" w:before="0"/>
      </w:pPr>
      <w:r>
        <w:rPr>
          <w:rFonts w:ascii="Calibri" w:hAnsi="Calibri"/>
          <w:b w:val="0"/>
          <w:i/>
          <w:color w:val="595959"/>
          <w:sz w:val="18"/>
        </w:rPr>
        <w:t>The following inconsistencies appear across the closing documents and should be reconciled before disbursement.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12"/>
        <w:gridCol w:w="3312"/>
        <w:gridCol w:w="3312"/>
      </w:tblGrid>
      <w:tr>
        <w:tc>
          <w:tcPr>
            <w:tcW w:type="dxa" w:w="576"/>
            <w:shd w:fill="1F3864"/>
          </w:tcPr>
          <w:p>
            <w:pPr>
              <w:spacing w:before="20" w:after="20"/>
              <w:jc w:val="center"/>
            </w:pPr>
            <w:r/>
            <w:r>
              <w:rPr>
                <w:rFonts w:ascii="Calibri" w:hAnsi="Calibri"/>
                <w:b/>
                <w:i w:val="0"/>
                <w:color w:val="FFFFFF"/>
                <w:sz w:val="18"/>
              </w:rPr>
              <w:t>#</w:t>
            </w:r>
          </w:p>
        </w:tc>
        <w:tc>
          <w:tcPr>
            <w:tcW w:type="dxa" w:w="7920"/>
            <w:shd w:fill="1F3864"/>
          </w:tcPr>
          <w:p>
            <w:pPr>
              <w:spacing w:before="20" w:after="20"/>
              <w:jc w:val="left"/>
            </w:pPr>
            <w:r/>
            <w:r>
              <w:rPr>
                <w:rFonts w:ascii="Calibri" w:hAnsi="Calibri"/>
                <w:b/>
                <w:i w:val="0"/>
                <w:color w:val="FFFFFF"/>
                <w:sz w:val="18"/>
              </w:rPr>
              <w:t>Issue / Item</w:t>
            </w:r>
          </w:p>
        </w:tc>
        <w:tc>
          <w:tcPr>
            <w:tcW w:type="dxa" w:w="1296"/>
            <w:shd w:fill="1F3864"/>
          </w:tcPr>
          <w:p>
            <w:pPr>
              <w:spacing w:before="20" w:after="20"/>
              <w:jc w:val="center"/>
            </w:pPr>
            <w:r/>
            <w:r>
              <w:rPr>
                <w:rFonts w:ascii="Calibri" w:hAnsi="Calibri"/>
                <w:b/>
                <w:i w:val="0"/>
                <w:color w:val="FFFFFF"/>
                <w:sz w:val="18"/>
              </w:rPr>
              <w:t>Severity</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D-1</w:t>
            </w:r>
          </w:p>
        </w:tc>
        <w:tc>
          <w:tcPr>
            <w:tcW w:type="dxa" w:w="7920"/>
            <w:tcMar>
              <w:top w:w="50" w:type="dxa"/>
              <w:bottom w:w="50" w:type="dxa"/>
              <w:start w:w="90" w:type="dxa"/>
              <w:end w:w="90" w:type="dxa"/>
            </w:tcMar>
          </w:tcPr>
          <w:p>
            <w:pPr>
              <w:spacing w:after="40"/>
            </w:pPr>
            <w:r/>
            <w:r>
              <w:rPr>
                <w:rFonts w:ascii="Calibri" w:hAnsi="Calibri"/>
                <w:b/>
                <w:sz w:val="19"/>
              </w:rPr>
              <w:t>Title Commitment Number and Date</w:t>
            </w:r>
          </w:p>
          <w:p>
            <w:pPr>
              <w:spacing w:before="0" w:after="20"/>
            </w:pPr>
            <w:r>
              <w:rPr>
                <w:rFonts w:ascii="Calibri" w:hAnsi="Calibri"/>
                <w:color w:val="404040"/>
                <w:sz w:val="17"/>
              </w:rPr>
              <w:t>The Purchase &amp; Sale Agreement (§5.1) references Title Commitment No. PCT-2025-08814 dated April 30, 2025, while the operative title commitment delivered for closing is No. TC-2025-07182, effective June 18, 2025. The June 18 commitment appears to be the current/controlling commitment (it is the one containing the full Schedule B-I requirements and B-II exceptions). Confirm with Pinnacle Abstract &amp; Title LLC which commitment number governs and ensure the file number on the settlement statement matches the recorded policy.</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D-2</w:t>
            </w:r>
          </w:p>
        </w:tc>
        <w:tc>
          <w:tcPr>
            <w:tcW w:type="dxa" w:w="7920"/>
            <w:tcMar>
              <w:top w:w="50" w:type="dxa"/>
              <w:bottom w:w="50" w:type="dxa"/>
              <w:start w:w="90" w:type="dxa"/>
              <w:end w:w="90" w:type="dxa"/>
            </w:tcMar>
          </w:tcPr>
          <w:p>
            <w:pPr>
              <w:spacing w:after="40"/>
            </w:pPr>
            <w:r/>
            <w:r>
              <w:rPr>
                <w:rFonts w:ascii="Calibri" w:hAnsi="Calibri"/>
                <w:b/>
                <w:sz w:val="19"/>
              </w:rPr>
              <w:t>Title Insurer Name Inconsistency</w:t>
            </w:r>
          </w:p>
          <w:p>
            <w:pPr>
              <w:spacing w:before="0" w:after="20"/>
            </w:pPr>
            <w:r>
              <w:rPr>
                <w:rFonts w:ascii="Calibri" w:hAnsi="Calibri"/>
                <w:color w:val="404040"/>
                <w:sz w:val="17"/>
              </w:rPr>
              <w:t>The title commitment header names "Continental Fidelity Title Insurance Company" as the underwriter, while the body and Conditions &amp; Stipulations refer to "Continental Hartleigh Title Insurance Company." The two names do not match. Confirm the correct legal name of the underwriting insurer so that the Owner's and Lender's policies are issued in the proper name.</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D-3</w:t>
            </w:r>
          </w:p>
        </w:tc>
        <w:tc>
          <w:tcPr>
            <w:tcW w:type="dxa" w:w="7920"/>
            <w:tcMar>
              <w:top w:w="50" w:type="dxa"/>
              <w:bottom w:w="50" w:type="dxa"/>
              <w:start w:w="90" w:type="dxa"/>
              <w:end w:w="90" w:type="dxa"/>
            </w:tcMar>
          </w:tcPr>
          <w:p>
            <w:pPr>
              <w:spacing w:after="40"/>
            </w:pPr>
            <w:r/>
            <w:r>
              <w:rPr>
                <w:rFonts w:ascii="Calibri" w:hAnsi="Calibri"/>
                <w:b/>
                <w:sz w:val="19"/>
              </w:rPr>
              <w:t>Water &amp; Sewer — Payoff vs. Proration Treatment</w:t>
            </w:r>
          </w:p>
          <w:p>
            <w:pPr>
              <w:spacing w:before="0" w:after="20"/>
            </w:pPr>
            <w:r>
              <w:rPr>
                <w:rFonts w:ascii="Calibri" w:hAnsi="Calibri"/>
                <w:color w:val="404040"/>
                <w:sz w:val="17"/>
              </w:rPr>
              <w:t>The City of Bridgeport Municipal Tax Status Certificate (TLC-2025-04892) includes the water/sewer balance of $1,847.60 in its "Total Due to City of Bridgeport" of $30,450.40, suggesting it may be intended to be paid directly to the City at closing. However, PSA §7.5(a) directs that where a utility billing period ends on or before the Closing Date, the full unpaid balance is credited to Buyer. The billing period (05/15–07/14/2025) ends July 14, before the July 15 closing. The Settlement Statement follows the PSA and credits the $1,847.60 to Buyer (debit Seller). Confirm with the Closing Agent whether the City requires direct payment at closing or whether the credit-to-Buyer treatment is acceptable; if paid directly, reclassify from a proration to a Seller payoff.</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D-4</w:t>
            </w:r>
          </w:p>
        </w:tc>
        <w:tc>
          <w:tcPr>
            <w:tcW w:type="dxa" w:w="7920"/>
            <w:tcMar>
              <w:top w:w="50" w:type="dxa"/>
              <w:bottom w:w="50" w:type="dxa"/>
              <w:start w:w="90" w:type="dxa"/>
              <w:end w:w="90" w:type="dxa"/>
            </w:tcMar>
          </w:tcPr>
          <w:p>
            <w:pPr>
              <w:spacing w:after="40"/>
            </w:pPr>
            <w:r/>
            <w:r>
              <w:rPr>
                <w:rFonts w:ascii="Calibri" w:hAnsi="Calibri"/>
                <w:b/>
                <w:sz w:val="19"/>
              </w:rPr>
              <w:t>Conveyance Tax — Statutory Default vs. Contractual 50/50 Split</w:t>
            </w:r>
          </w:p>
          <w:p>
            <w:pPr>
              <w:spacing w:before="0" w:after="20"/>
            </w:pPr>
            <w:r>
              <w:rPr>
                <w:rFonts w:ascii="Calibri" w:hAnsi="Calibri"/>
                <w:color w:val="404040"/>
                <w:sz w:val="17"/>
              </w:rPr>
              <w:t>Under Connecticut law, the default allocation is that the grantor (Seller) pays the state conveyance tax and the grantee (Buyer) pays the municipal conveyance tax. PSA §12.1 overrides this default with an equal 50/50 split of the total tax. The Settlement Statement applies the 50/50 split ($22,375.00 each) per the contract. No change required, but the conveyance tax return (Form OP-236) must be prepared to reflect the agreed allocation.</w:t>
            </w:r>
          </w:p>
        </w:tc>
        <w:tc>
          <w:tcPr>
            <w:tcW w:type="dxa" w:w="1296"/>
            <w:tcMar>
              <w:top w:w="50" w:type="dxa"/>
              <w:bottom w:w="50" w:type="dxa"/>
              <w:start w:w="90" w:type="dxa"/>
              <w:end w:w="90" w:type="dxa"/>
            </w:tcMar>
          </w:tcPr>
          <w:p>
            <w:pPr>
              <w:spacing w:before="20" w:after="20"/>
              <w:jc w:val="center"/>
            </w:pPr>
            <w:r/>
            <w:r>
              <w:rPr>
                <w:rFonts w:ascii="Calibri" w:hAnsi="Calibri"/>
                <w:b/>
                <w:i w:val="0"/>
                <w:color w:val="595959"/>
                <w:sz w:val="17"/>
              </w:rPr>
              <w:t>Low</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D-5</w:t>
            </w:r>
          </w:p>
        </w:tc>
        <w:tc>
          <w:tcPr>
            <w:tcW w:type="dxa" w:w="7920"/>
            <w:tcMar>
              <w:top w:w="50" w:type="dxa"/>
              <w:bottom w:w="50" w:type="dxa"/>
              <w:start w:w="90" w:type="dxa"/>
              <w:end w:w="90" w:type="dxa"/>
            </w:tcMar>
          </w:tcPr>
          <w:p>
            <w:pPr>
              <w:spacing w:after="40"/>
            </w:pPr>
            <w:r/>
            <w:r>
              <w:rPr>
                <w:rFonts w:ascii="Calibri" w:hAnsi="Calibri"/>
                <w:b/>
                <w:sz w:val="19"/>
              </w:rPr>
              <w:t>Address Variations for Closing Agent / Counsel</w:t>
            </w:r>
          </w:p>
          <w:p>
            <w:pPr>
              <w:spacing w:before="0" w:after="20"/>
            </w:pPr>
            <w:r>
              <w:rPr>
                <w:rFonts w:ascii="Calibri" w:hAnsi="Calibri"/>
                <w:color w:val="404040"/>
                <w:sz w:val="17"/>
              </w:rPr>
              <w:t>Correspondence in the file lists multiple addresses for Pinnacle Abstract &amp; Title LLC (88 Field Point Road, Greenwich; 3100 Main Street, Suite 204, Bridgeport; 1200 Post Road East, Suite 214, Westport) and minor variations for counsel addresses. The PSA and title commitment identify 88 Field Point Road, Greenwich, CT 06830 as the primary address. Verify wire instructions independently by telephone (known contact) before transmitting any funds to guard against wire-fraud redirection.</w:t>
            </w:r>
          </w:p>
        </w:tc>
        <w:tc>
          <w:tcPr>
            <w:tcW w:type="dxa" w:w="1296"/>
            <w:tcMar>
              <w:top w:w="50" w:type="dxa"/>
              <w:bottom w:w="50" w:type="dxa"/>
              <w:start w:w="90" w:type="dxa"/>
              <w:end w:w="90" w:type="dxa"/>
            </w:tcMar>
          </w:tcPr>
          <w:p>
            <w:pPr>
              <w:spacing w:before="20" w:after="20"/>
              <w:jc w:val="center"/>
            </w:pPr>
            <w:r/>
            <w:r>
              <w:rPr>
                <w:rFonts w:ascii="Calibri" w:hAnsi="Calibri"/>
                <w:b/>
                <w:i w:val="0"/>
                <w:color w:val="595959"/>
                <w:sz w:val="17"/>
              </w:rPr>
              <w:t>Low</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D-6</w:t>
            </w:r>
          </w:p>
        </w:tc>
        <w:tc>
          <w:tcPr>
            <w:tcW w:type="dxa" w:w="7920"/>
            <w:tcMar>
              <w:top w:w="50" w:type="dxa"/>
              <w:bottom w:w="50" w:type="dxa"/>
              <w:start w:w="90" w:type="dxa"/>
              <w:end w:w="90" w:type="dxa"/>
            </w:tcMar>
          </w:tcPr>
          <w:p>
            <w:pPr>
              <w:spacing w:after="40"/>
            </w:pPr>
            <w:r/>
            <w:r>
              <w:rPr>
                <w:rFonts w:ascii="Calibri" w:hAnsi="Calibri"/>
                <w:b/>
                <w:sz w:val="19"/>
              </w:rPr>
              <w:t>Recording Volume/Page References for Liens</w:t>
            </w:r>
          </w:p>
          <w:p>
            <w:pPr>
              <w:spacing w:before="0" w:after="20"/>
            </w:pPr>
            <w:r>
              <w:rPr>
                <w:rFonts w:ascii="Calibri" w:hAnsi="Calibri"/>
                <w:color w:val="404040"/>
                <w:sz w:val="17"/>
              </w:rPr>
              <w:t>The lien payoff compilation cites the first mortgage at "Vol. 312, Pg. 88" (which is the deed recording reference) while the title commitment cites it at "Vol. 1087, Pg. 445." The HELOC is cited at Vol. 487, Pg. 112 (payoff letter) vs. Vol. 1204, Pg. 218 (title commitment), and the mechanic's lien at Vol. 1064, Pg. 517 (payoff letter) vs. Vol. 1398, Pg. 77 (title commitment). These are clerical cross-reference discrepancies; confirm the correct recording references with the title company before recording releases so that each release discharges the correct instrument.</w:t>
            </w:r>
          </w:p>
        </w:tc>
        <w:tc>
          <w:tcPr>
            <w:tcW w:type="dxa" w:w="1296"/>
            <w:tcMar>
              <w:top w:w="50" w:type="dxa"/>
              <w:bottom w:w="50" w:type="dxa"/>
              <w:start w:w="90" w:type="dxa"/>
              <w:end w:w="90" w:type="dxa"/>
            </w:tcMar>
          </w:tcPr>
          <w:p>
            <w:pPr>
              <w:spacing w:before="20" w:after="20"/>
              <w:jc w:val="center"/>
            </w:pPr>
            <w:r/>
            <w:r>
              <w:rPr>
                <w:rFonts w:ascii="Calibri" w:hAnsi="Calibri"/>
                <w:b/>
                <w:i w:val="0"/>
                <w:color w:val="595959"/>
                <w:sz w:val="17"/>
              </w:rPr>
              <w:t>Low</w:t>
            </w:r>
          </w:p>
        </w:tc>
      </w:tr>
    </w:tbl>
    <w:p>
      <w:pPr>
        <w:keepNext/>
        <w:spacing w:before="240" w:after="80"/>
        <w:pBdr>
          <w:bottom w:val="single" w:sz="6" w:space="2" w:color="1F3864"/>
        </w:pBdr>
      </w:pPr>
      <w:r>
        <w:rPr>
          <w:rFonts w:ascii="Calibri" w:hAnsi="Calibri"/>
          <w:b/>
          <w:color w:val="1F3864"/>
          <w:sz w:val="24"/>
        </w:rPr>
        <w:t>3.  ASSUMPTIONS MADE IN PREPARING THE SETTLEMENT STATEMENT</w:t>
      </w:r>
    </w:p>
    <w:p>
      <w:pPr>
        <w:spacing w:after="80" w:before="0"/>
      </w:pPr>
      <w:r>
        <w:rPr>
          <w:rFonts w:ascii="Calibri" w:hAnsi="Calibri"/>
          <w:b w:val="0"/>
          <w:i/>
          <w:color w:val="595959"/>
          <w:sz w:val="18"/>
        </w:rPr>
        <w:t>Where amounts were not finalized as of the statement date, the following assumptions were applied. Each is subject to reproration or adjustment under PSA §7.7 (surviving 90 days post-closing).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12"/>
        <w:gridCol w:w="3312"/>
        <w:gridCol w:w="3312"/>
      </w:tblGrid>
      <w:tr>
        <w:tc>
          <w:tcPr>
            <w:tcW w:type="dxa" w:w="576"/>
            <w:shd w:fill="1F3864"/>
          </w:tcPr>
          <w:p>
            <w:pPr>
              <w:spacing w:before="20" w:after="20"/>
              <w:jc w:val="center"/>
            </w:pPr>
            <w:r/>
            <w:r>
              <w:rPr>
                <w:rFonts w:ascii="Calibri" w:hAnsi="Calibri"/>
                <w:b/>
                <w:i w:val="0"/>
                <w:color w:val="FFFFFF"/>
                <w:sz w:val="18"/>
              </w:rPr>
              <w:t>#</w:t>
            </w:r>
          </w:p>
        </w:tc>
        <w:tc>
          <w:tcPr>
            <w:tcW w:type="dxa" w:w="7920"/>
            <w:shd w:fill="1F3864"/>
          </w:tcPr>
          <w:p>
            <w:pPr>
              <w:spacing w:before="20" w:after="20"/>
              <w:jc w:val="left"/>
            </w:pPr>
            <w:r/>
            <w:r>
              <w:rPr>
                <w:rFonts w:ascii="Calibri" w:hAnsi="Calibri"/>
                <w:b/>
                <w:i w:val="0"/>
                <w:color w:val="FFFFFF"/>
                <w:sz w:val="18"/>
              </w:rPr>
              <w:t>Issue / Item</w:t>
            </w:r>
          </w:p>
        </w:tc>
        <w:tc>
          <w:tcPr>
            <w:tcW w:type="dxa" w:w="1296"/>
            <w:shd w:fill="1F3864"/>
          </w:tcPr>
          <w:p>
            <w:pPr>
              <w:spacing w:before="20" w:after="20"/>
              <w:jc w:val="center"/>
            </w:pPr>
            <w:r/>
            <w:r>
              <w:rPr>
                <w:rFonts w:ascii="Calibri" w:hAnsi="Calibri"/>
                <w:b/>
                <w:i w:val="0"/>
                <w:color w:val="FFFFFF"/>
                <w:sz w:val="18"/>
              </w:rPr>
              <w:t>Severity</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A-1</w:t>
            </w:r>
          </w:p>
        </w:tc>
        <w:tc>
          <w:tcPr>
            <w:tcW w:type="dxa" w:w="7920"/>
            <w:tcMar>
              <w:top w:w="50" w:type="dxa"/>
              <w:bottom w:w="50" w:type="dxa"/>
              <w:start w:w="90" w:type="dxa"/>
              <w:end w:w="90" w:type="dxa"/>
            </w:tcMar>
          </w:tcPr>
          <w:p>
            <w:pPr>
              <w:spacing w:after="40"/>
            </w:pPr>
            <w:r/>
            <w:r>
              <w:rPr>
                <w:rFonts w:ascii="Calibri" w:hAnsi="Calibri"/>
                <w:b/>
                <w:sz w:val="19"/>
              </w:rPr>
              <w:t>Earnest Money Interest — Not Quantified</w:t>
            </w:r>
          </w:p>
          <w:p>
            <w:pPr>
              <w:spacing w:before="0" w:after="20"/>
            </w:pPr>
            <w:r>
              <w:rPr>
                <w:rFonts w:ascii="Calibri" w:hAnsi="Calibri"/>
                <w:color w:val="404040"/>
                <w:sz w:val="17"/>
              </w:rPr>
              <w:t>PSA §3.2(d) requires the Earnest Money ($195,000.00) to be held in an interest-bearing account with all accrued interest credited to Buyer at closing. No interest amount is stated in any document. The Settlement Statement credits only the $195,000.00 principal. Assumption: accrued interest is $0.00 pending confirmation. Action: obtain an interest statement from the Escrow Agent and add any accrued interest as an additional credit to Buyer (and corresponding reduction of Buyer's cash to close).</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A-2</w:t>
            </w:r>
          </w:p>
        </w:tc>
        <w:tc>
          <w:tcPr>
            <w:tcW w:type="dxa" w:w="7920"/>
            <w:tcMar>
              <w:top w:w="50" w:type="dxa"/>
              <w:bottom w:w="50" w:type="dxa"/>
              <w:start w:w="90" w:type="dxa"/>
              <w:end w:w="90" w:type="dxa"/>
            </w:tcMar>
          </w:tcPr>
          <w:p>
            <w:pPr>
              <w:spacing w:after="40"/>
            </w:pPr>
            <w:r/>
            <w:r>
              <w:rPr>
                <w:rFonts w:ascii="Calibri" w:hAnsi="Calibri"/>
                <w:b/>
                <w:sz w:val="19"/>
              </w:rPr>
              <w:t>Residential Security Deposit Interest — Not Quantified</w:t>
            </w:r>
          </w:p>
          <w:p>
            <w:pPr>
              <w:spacing w:before="0" w:after="20"/>
            </w:pPr>
            <w:r>
              <w:rPr>
                <w:rFonts w:ascii="Calibri" w:hAnsi="Calibri"/>
                <w:color w:val="404040"/>
                <w:sz w:val="17"/>
              </w:rPr>
              <w:t>PSA §7.4(a) and CGS §47a-21 require transfer of residential security deposits together with accrued interest. The deposit schedule shows $18,000.00 residential principal (held in an interest-bearing Harborstone FCU escrow account) but does not state the accrued interest. The commercial deposit ($14,400.00) is non-interest-bearing per the management agreement. Assumption: only principal ($32,400.00 total) is reflected. Action: obtain the interest accrual from Bayshore Management Co./Harborstone FCU and add it to the credit to Buyer / debit to Seller.</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A-3</w:t>
            </w:r>
          </w:p>
        </w:tc>
        <w:tc>
          <w:tcPr>
            <w:tcW w:type="dxa" w:w="7920"/>
            <w:tcMar>
              <w:top w:w="50" w:type="dxa"/>
              <w:bottom w:w="50" w:type="dxa"/>
              <w:start w:w="90" w:type="dxa"/>
              <w:end w:w="90" w:type="dxa"/>
            </w:tcMar>
          </w:tcPr>
          <w:p>
            <w:pPr>
              <w:spacing w:after="40"/>
            </w:pPr>
            <w:r/>
            <w:r>
              <w:rPr>
                <w:rFonts w:ascii="Calibri" w:hAnsi="Calibri"/>
                <w:b/>
                <w:sz w:val="19"/>
              </w:rPr>
              <w:t>Next Fiscal Year Property Tax — Estimated</w:t>
            </w:r>
          </w:p>
          <w:p>
            <w:pPr>
              <w:spacing w:before="0" w:after="20"/>
            </w:pPr>
            <w:r>
              <w:rPr>
                <w:rFonts w:ascii="Calibri" w:hAnsi="Calibri"/>
                <w:color w:val="404040"/>
                <w:sz w:val="17"/>
              </w:rPr>
              <w:t>The FY 2025–2026 (July 1, 2025–June 30, 2026) tax has not been billed; the new mill rate is not set. Per PSA §7.1(b) and the municipal tax certificate, the current-year levy of $52,480.00 is used as the estimate. Seller's 14-day share = $2,012.93; Buyer's 351-day share = $50,467.07. Assumption: actual levy equals the estimate. Action: reprorate within 90 days of closing when the actual bill issues (PSA §7.7); any difference is settled between the parties within 10 business days of demand.</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A-4</w:t>
            </w:r>
          </w:p>
        </w:tc>
        <w:tc>
          <w:tcPr>
            <w:tcW w:type="dxa" w:w="7920"/>
            <w:tcMar>
              <w:top w:w="50" w:type="dxa"/>
              <w:bottom w:w="50" w:type="dxa"/>
              <w:start w:w="90" w:type="dxa"/>
              <w:end w:w="90" w:type="dxa"/>
            </w:tcMar>
          </w:tcPr>
          <w:p>
            <w:pPr>
              <w:spacing w:after="40"/>
            </w:pPr>
            <w:r/>
            <w:r>
              <w:rPr>
                <w:rFonts w:ascii="Calibri" w:hAnsi="Calibri"/>
                <w:b/>
                <w:sz w:val="19"/>
              </w:rPr>
              <w:t>Connecticut Conveyance Tax — Estimated</w:t>
            </w:r>
          </w:p>
          <w:p>
            <w:pPr>
              <w:spacing w:before="0" w:after="20"/>
            </w:pPr>
            <w:r>
              <w:rPr>
                <w:rFonts w:ascii="Calibri" w:hAnsi="Calibri"/>
                <w:color w:val="404040"/>
                <w:sz w:val="17"/>
              </w:rPr>
              <w:t>The title commitment estimates the total conveyance tax at $44,750.00 using a "tiered rate structure applicable to the City of Bridgeport," split 50/50 ($22,375.00 each). This is an estimate. Assumption: the estimate is accurate. Action: confirm the exact amount upon preparation and filing of Form OP-236; adjust both parties' shares if the actual differs.</w:t>
            </w:r>
          </w:p>
        </w:tc>
        <w:tc>
          <w:tcPr>
            <w:tcW w:type="dxa" w:w="1296"/>
            <w:tcMar>
              <w:top w:w="50" w:type="dxa"/>
              <w:bottom w:w="50" w:type="dxa"/>
              <w:start w:w="90" w:type="dxa"/>
              <w:end w:w="90" w:type="dxa"/>
            </w:tcMar>
          </w:tcPr>
          <w:p>
            <w:pPr>
              <w:spacing w:before="20" w:after="20"/>
              <w:jc w:val="center"/>
            </w:pPr>
            <w:r/>
            <w:r>
              <w:rPr>
                <w:rFonts w:ascii="Calibri" w:hAnsi="Calibri"/>
                <w:b/>
                <w:i w:val="0"/>
                <w:color w:val="595959"/>
                <w:sz w:val="17"/>
              </w:rPr>
              <w:t>Low</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A-5</w:t>
            </w:r>
          </w:p>
        </w:tc>
        <w:tc>
          <w:tcPr>
            <w:tcW w:type="dxa" w:w="7920"/>
            <w:tcMar>
              <w:top w:w="50" w:type="dxa"/>
              <w:bottom w:w="50" w:type="dxa"/>
              <w:start w:w="90" w:type="dxa"/>
              <w:end w:w="90" w:type="dxa"/>
            </w:tcMar>
          </w:tcPr>
          <w:p>
            <w:pPr>
              <w:spacing w:after="40"/>
            </w:pPr>
            <w:r/>
            <w:r>
              <w:rPr>
                <w:rFonts w:ascii="Calibri" w:hAnsi="Calibri"/>
                <w:b/>
                <w:sz w:val="19"/>
              </w:rPr>
              <w:t>Lien Payoff Good-Through Dates — Closing Within Window</w:t>
            </w:r>
          </w:p>
          <w:p>
            <w:pPr>
              <w:spacing w:before="0" w:after="20"/>
            </w:pPr>
            <w:r>
              <w:rPr>
                <w:rFonts w:ascii="Calibri" w:hAnsi="Calibri"/>
                <w:color w:val="404040"/>
                <w:sz w:val="17"/>
              </w:rPr>
              <w:t>The Harborstone first mortgage ($687,412.33) and HELOC ($148,219.56) payoffs are good through July 20, 2025. The delinquent-tax payoff ($28,602.80) is valid through July 20, 2025. Assumption: closing occurs on July 15, 2025, within all good-through periods, so no per diem adjustments are needed. Action: if closing is delayed beyond July 20, 2025, add per diem interest — first mortgage $112.67/day, HELOC ~$27.93/day, delinquent tax $13.12/day — and obtain updated payoff statements.</w:t>
            </w:r>
          </w:p>
        </w:tc>
        <w:tc>
          <w:tcPr>
            <w:tcW w:type="dxa" w:w="1296"/>
            <w:tcMar>
              <w:top w:w="50" w:type="dxa"/>
              <w:bottom w:w="50" w:type="dxa"/>
              <w:start w:w="90" w:type="dxa"/>
              <w:end w:w="90" w:type="dxa"/>
            </w:tcMar>
          </w:tcPr>
          <w:p>
            <w:pPr>
              <w:spacing w:before="20" w:after="20"/>
              <w:jc w:val="center"/>
            </w:pPr>
            <w:r/>
            <w:r>
              <w:rPr>
                <w:rFonts w:ascii="Calibri" w:hAnsi="Calibri"/>
                <w:b/>
                <w:i w:val="0"/>
                <w:color w:val="BF8F00"/>
                <w:sz w:val="17"/>
              </w:rPr>
              <w:t>Medium</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A-6</w:t>
            </w:r>
          </w:p>
        </w:tc>
        <w:tc>
          <w:tcPr>
            <w:tcW w:type="dxa" w:w="7920"/>
            <w:tcMar>
              <w:top w:w="50" w:type="dxa"/>
              <w:bottom w:w="50" w:type="dxa"/>
              <w:start w:w="90" w:type="dxa"/>
              <w:end w:w="90" w:type="dxa"/>
            </w:tcMar>
          </w:tcPr>
          <w:p>
            <w:pPr>
              <w:spacing w:after="40"/>
            </w:pPr>
            <w:r/>
            <w:r>
              <w:rPr>
                <w:rFonts w:ascii="Calibri" w:hAnsi="Calibri"/>
                <w:b/>
                <w:sz w:val="19"/>
              </w:rPr>
              <w:t>Rent Proration Rounding — Per-Lease Then Aggregated</w:t>
            </w:r>
          </w:p>
          <w:p>
            <w:pPr>
              <w:spacing w:before="0" w:after="20"/>
            </w:pPr>
            <w:r>
              <w:rPr>
                <w:rFonts w:ascii="Calibri" w:hAnsi="Calibri"/>
                <w:color w:val="404040"/>
                <w:sz w:val="17"/>
              </w:rPr>
              <w:t>Per PSA §7.2(c)–(d), each lease's July rent is prorated separately (Seller 14/31, Buyer 17/31), rounded to the nearest cent, then aggregated; any remaining balance is allocated to Buyer. Line-by-line rounding yields Seller $10,658.05 and Buyer $12,941.95 (summing exactly to $23,600.00). The net credit to Buyer / debit to Seller is $12,941.95. This differs by one cent from an aggregate-first calculation; the per-lease method is used because it gives effect to the "remaining balance allocated to Buyer" clause.</w:t>
            </w:r>
          </w:p>
        </w:tc>
        <w:tc>
          <w:tcPr>
            <w:tcW w:type="dxa" w:w="1296"/>
            <w:tcMar>
              <w:top w:w="50" w:type="dxa"/>
              <w:bottom w:w="50" w:type="dxa"/>
              <w:start w:w="90" w:type="dxa"/>
              <w:end w:w="90" w:type="dxa"/>
            </w:tcMar>
          </w:tcPr>
          <w:p>
            <w:pPr>
              <w:spacing w:before="20" w:after="20"/>
              <w:jc w:val="center"/>
            </w:pPr>
            <w:r/>
            <w:r>
              <w:rPr>
                <w:rFonts w:ascii="Calibri" w:hAnsi="Calibri"/>
                <w:b/>
                <w:i w:val="0"/>
                <w:color w:val="595959"/>
                <w:sz w:val="17"/>
              </w:rPr>
              <w:t>Low</w:t>
            </w:r>
          </w:p>
        </w:tc>
      </w:tr>
      <w:tr>
        <w:tc>
          <w:tcPr>
            <w:tcW w:type="dxa" w:w="576"/>
            <w:tcMar>
              <w:top w:w="50" w:type="dxa"/>
              <w:bottom w:w="50" w:type="dxa"/>
              <w:start w:w="90" w:type="dxa"/>
              <w:end w:w="90" w:type="dxa"/>
            </w:tcMar>
          </w:tcPr>
          <w:p>
            <w:pPr>
              <w:spacing w:before="20" w:after="20"/>
              <w:jc w:val="center"/>
            </w:pPr>
            <w:r/>
            <w:r>
              <w:rPr>
                <w:rFonts w:ascii="Calibri" w:hAnsi="Calibri"/>
                <w:b/>
                <w:i w:val="0"/>
                <w:sz w:val="18"/>
              </w:rPr>
              <w:t>A-7</w:t>
            </w:r>
          </w:p>
        </w:tc>
        <w:tc>
          <w:tcPr>
            <w:tcW w:type="dxa" w:w="7920"/>
            <w:tcMar>
              <w:top w:w="50" w:type="dxa"/>
              <w:bottom w:w="50" w:type="dxa"/>
              <w:start w:w="90" w:type="dxa"/>
              <w:end w:w="90" w:type="dxa"/>
            </w:tcMar>
          </w:tcPr>
          <w:p>
            <w:pPr>
              <w:spacing w:after="40"/>
            </w:pPr>
            <w:r/>
            <w:r>
              <w:rPr>
                <w:rFonts w:ascii="Calibri" w:hAnsi="Calibri"/>
                <w:b/>
                <w:sz w:val="19"/>
              </w:rPr>
              <w:t>Repair Escrow Treated as Seller Holdback Only</w:t>
            </w:r>
          </w:p>
          <w:p>
            <w:pPr>
              <w:spacing w:before="0" w:after="20"/>
            </w:pPr>
            <w:r>
              <w:rPr>
                <w:rFonts w:ascii="Calibri" w:hAnsi="Calibri"/>
                <w:color w:val="404040"/>
                <w:sz w:val="17"/>
              </w:rPr>
              <w:t>Per PSA §8.4(c), the $45,000.00 Repair Escrow is funded solely from Seller's proceeds, held by the Escrow Agent in a segregated account, and is NOT a credit to either party. It appears as a deduction from Seller's net proceeds and a disbursement to the Escrow Agent. Assumption: the Repair Escrow Agreement is executed at closing and Tidewater Savings Bank is named as an interested party (lender condition).</w:t>
            </w:r>
          </w:p>
        </w:tc>
        <w:tc>
          <w:tcPr>
            <w:tcW w:type="dxa" w:w="1296"/>
            <w:tcMar>
              <w:top w:w="50" w:type="dxa"/>
              <w:bottom w:w="50" w:type="dxa"/>
              <w:start w:w="90" w:type="dxa"/>
              <w:end w:w="90" w:type="dxa"/>
            </w:tcMar>
          </w:tcPr>
          <w:p>
            <w:pPr>
              <w:spacing w:before="20" w:after="20"/>
              <w:jc w:val="center"/>
            </w:pPr>
            <w:r/>
            <w:r>
              <w:rPr>
                <w:rFonts w:ascii="Calibri" w:hAnsi="Calibri"/>
                <w:b/>
                <w:i w:val="0"/>
                <w:color w:val="595959"/>
                <w:sz w:val="17"/>
              </w:rPr>
              <w:t>Low</w:t>
            </w:r>
          </w:p>
        </w:tc>
      </w:tr>
    </w:tbl>
    <w:p>
      <w:pPr>
        <w:keepNext/>
        <w:spacing w:before="240" w:after="80"/>
        <w:pBdr>
          <w:bottom w:val="single" w:sz="6" w:space="2" w:color="1F3864"/>
        </w:pBdr>
      </w:pPr>
      <w:r>
        <w:rPr>
          <w:rFonts w:ascii="Calibri" w:hAnsi="Calibri"/>
          <w:b/>
          <w:color w:val="1F3864"/>
          <w:sz w:val="24"/>
        </w:rPr>
        <w:t>4.  ITEMS REQUIRING CONFIRMATION BEFORE CLOSING</w:t>
      </w:r>
    </w:p>
    <w:p>
      <w:pPr>
        <w:spacing w:after="80" w:before="0"/>
      </w:pPr>
      <w:r>
        <w:rPr>
          <w:rFonts w:ascii="Calibri" w:hAnsi="Calibri"/>
          <w:b w:val="0"/>
          <w:i/>
          <w:color w:val="595959"/>
          <w:sz w:val="18"/>
        </w:rPr>
        <w:t>The following non-monetary or conditional items must be satisfied or confirmed at the closing table. They do not appear as line items on the Settlement Statement but are conditions to the lender's disbursement and/or the title company's issuance of policies.</w:t>
      </w:r>
    </w:p>
    <w:p>
      <w:pPr>
        <w:pStyle w:val="ListBullet"/>
        <w:spacing w:after="60" w:before="0"/>
      </w:pPr>
      <w:r>
        <w:rPr>
          <w:rFonts w:ascii="Calibri" w:hAnsi="Calibri"/>
          <w:b/>
          <w:sz w:val="19"/>
        </w:rPr>
        <w:t>Survey (Title Req. 12)</w:t>
      </w:r>
      <w:r>
        <w:rPr>
          <w:rFonts w:ascii="Calibri" w:hAnsi="Calibri"/>
          <w:sz w:val="19"/>
        </w:rPr>
        <w:t xml:space="preserve"> — Confirm a current ALTA/NSPS Land Title Survey (or acceptable no-change affidavit) is delivered and certified to the title company, Buyer, and Lender (Title Commitment Requirement 12). No survey fee is stated in the closing documents; if a survey was ordered, confirm whether a fee must be added to Buyer's costs.</w:t>
      </w:r>
    </w:p>
    <w:p>
      <w:pPr>
        <w:pStyle w:val="ListBullet"/>
        <w:spacing w:after="60" w:before="0"/>
      </w:pPr>
      <w:r>
        <w:rPr>
          <w:rFonts w:ascii="Calibri" w:hAnsi="Calibri"/>
          <w:b/>
          <w:sz w:val="19"/>
        </w:rPr>
        <w:t>Phase I Environmental Assessment</w:t>
      </w:r>
      <w:r>
        <w:rPr>
          <w:rFonts w:ascii="Calibri" w:hAnsi="Calibri"/>
          <w:sz w:val="19"/>
        </w:rPr>
        <w:t xml:space="preserve"> — Confirm a Phase I Environmental Site Assessment (ASTM E1527-21) reflecting no recognized environmental conditions is delivered, or that any conditions are acceptable to the Lender (Lender Commitment §5.6). No ESA fee appears in the documents; confirm whether a fee is POC or must be added.</w:t>
      </w:r>
    </w:p>
    <w:p>
      <w:pPr>
        <w:pStyle w:val="ListBullet"/>
        <w:spacing w:after="60" w:before="0"/>
      </w:pPr>
      <w:r>
        <w:rPr>
          <w:rFonts w:ascii="Calibri" w:hAnsi="Calibri"/>
          <w:b/>
          <w:sz w:val="19"/>
        </w:rPr>
        <w:t>Property Insurance</w:t>
      </w:r>
      <w:r>
        <w:rPr>
          <w:rFonts w:ascii="Calibri" w:hAnsi="Calibri"/>
          <w:sz w:val="19"/>
        </w:rPr>
        <w:t xml:space="preserve"> — Confirm evidence of a property &amp; casualty policy with ≥ $3,900,000 replacement-cost coverage, naming Tidewater Savings Bank as mortgagee/loss payee (Lender Commitment §5.5). No insurance premium appears on the settlement statement; confirm whether a premium is collected at closing or paid POC.</w:t>
      </w:r>
    </w:p>
    <w:p>
      <w:pPr>
        <w:pStyle w:val="ListBullet"/>
        <w:spacing w:after="60" w:before="0"/>
      </w:pPr>
      <w:r>
        <w:rPr>
          <w:rFonts w:ascii="Calibri" w:hAnsi="Calibri"/>
          <w:b/>
          <w:sz w:val="19"/>
        </w:rPr>
        <w:t>SNDA — Commercial Tenant</w:t>
      </w:r>
      <w:r>
        <w:rPr>
          <w:rFonts w:ascii="Calibri" w:hAnsi="Calibri"/>
          <w:sz w:val="19"/>
        </w:rPr>
        <w:t xml:space="preserve"> — Confirm a Subordination, Non-Disturbance, and Attornment Agreement (SNDA) among Lender, Buyer, and Coastal Provisions Market LLC is executed (Lender Commitment §5.7).</w:t>
      </w:r>
    </w:p>
    <w:p>
      <w:pPr>
        <w:pStyle w:val="ListBullet"/>
        <w:spacing w:after="60" w:before="0"/>
      </w:pPr>
      <w:r>
        <w:rPr>
          <w:rFonts w:ascii="Calibri" w:hAnsi="Calibri"/>
          <w:b/>
          <w:sz w:val="19"/>
        </w:rPr>
        <w:t>Personal Guaranty</w:t>
      </w:r>
      <w:r>
        <w:rPr>
          <w:rFonts w:ascii="Calibri" w:hAnsi="Calibri"/>
          <w:sz w:val="19"/>
        </w:rPr>
        <w:t xml:space="preserve"> — Confirm Elaine R. Matsuda's unconditional personal guaranty is executed (Lender Commitment §5.10).</w:t>
      </w:r>
    </w:p>
    <w:p>
      <w:pPr>
        <w:pStyle w:val="ListBullet"/>
        <w:spacing w:after="60" w:before="0"/>
      </w:pPr>
      <w:r>
        <w:rPr>
          <w:rFonts w:ascii="Calibri" w:hAnsi="Calibri"/>
          <w:b/>
          <w:sz w:val="19"/>
        </w:rPr>
        <w:t>FIRPTA / Estate Withholding Certification</w:t>
      </w:r>
      <w:r>
        <w:rPr>
          <w:rFonts w:ascii="Calibri" w:hAnsi="Calibri"/>
          <w:sz w:val="19"/>
        </w:rPr>
        <w:t xml:space="preserve"> — Confirm a FIRPTA affidavit / estate-equivalent certification exempting the sale from withholding under IRC §1445 is delivered (PSA §6.2(i)). The estate is a U.S. estate of a U.S. decedent; no withholding is expected, but the certification is required.</w:t>
      </w:r>
    </w:p>
    <w:p>
      <w:pPr>
        <w:pStyle w:val="ListBullet"/>
        <w:spacing w:after="60" w:before="0"/>
      </w:pPr>
      <w:r>
        <w:rPr>
          <w:rFonts w:ascii="Calibri" w:hAnsi="Calibri"/>
          <w:b/>
          <w:sz w:val="19"/>
        </w:rPr>
        <w:t>Fiduciary Authority / Probate Recency</w:t>
      </w:r>
      <w:r>
        <w:rPr>
          <w:rFonts w:ascii="Calibri" w:hAnsi="Calibri"/>
          <w:sz w:val="19"/>
        </w:rPr>
        <w:t xml:space="preserve"> — Confirm the certified Fiduciary Certificate (dated June 25, 2025) and Letters Testamentary are within the 60-day recency window required by the title commitment (Requirement 2) and lender (§5.12).</w:t>
      </w:r>
    </w:p>
    <w:p>
      <w:pPr>
        <w:pStyle w:val="ListBullet"/>
        <w:spacing w:after="60" w:before="0"/>
      </w:pPr>
      <w:r>
        <w:rPr>
          <w:rFonts w:ascii="Calibri" w:hAnsi="Calibri"/>
          <w:b/>
          <w:sz w:val="19"/>
        </w:rPr>
        <w:t>CT DRS Estate Tax Lien Release</w:t>
      </w:r>
      <w:r>
        <w:rPr>
          <w:rFonts w:ascii="Calibri" w:hAnsi="Calibri"/>
          <w:sz w:val="19"/>
        </w:rPr>
        <w:t xml:space="preserve"> — Confirm the CT DRS estate tax lien release (Release Certificate No. ETL-2025-08834) is in recordable form and delivered for recording (no payoff; $73.00 recording fee is a Seller expense already on the statement).</w:t>
      </w:r>
    </w:p>
    <w:p>
      <w:pPr>
        <w:pStyle w:val="ListBullet"/>
        <w:spacing w:after="60" w:before="0"/>
      </w:pPr>
      <w:r>
        <w:rPr>
          <w:rFonts w:ascii="Calibri" w:hAnsi="Calibri"/>
          <w:b/>
          <w:sz w:val="19"/>
        </w:rPr>
        <w:t>Additional Recording Fee — Assignment of Rents to Lender</w:t>
      </w:r>
      <w:r>
        <w:rPr>
          <w:rFonts w:ascii="Calibri" w:hAnsi="Calibri"/>
          <w:sz w:val="19"/>
        </w:rPr>
        <w:t xml:space="preserve"> — The PSA allocates $339.00 in Buyer recording fees for three instruments (deed, mortgage, assignment of leases). The Lender's recording instructions (Commitment §6.4) require recording a fourth instrument — the Assignment of Rents and Leases from Buyer to Lender. An additional recording fee of approximately $113.00 may be required and is not reflected in the PSA's $339.00 total. Confirm with the Town Clerk and add to Buyer's debits if applicable.</w:t>
      </w:r>
    </w:p>
    <w:p>
      <w:pPr>
        <w:pStyle w:val="ListBullet"/>
        <w:spacing w:after="60" w:before="0"/>
      </w:pPr>
      <w:r>
        <w:rPr>
          <w:rFonts w:ascii="Calibri" w:hAnsi="Calibri"/>
          <w:b/>
          <w:sz w:val="19"/>
        </w:rPr>
        <w:t>Flood Zone Determination</w:t>
      </w:r>
      <w:r>
        <w:rPr>
          <w:rFonts w:ascii="Calibri" w:hAnsi="Calibri"/>
          <w:sz w:val="19"/>
        </w:rPr>
        <w:t xml:space="preserve"> — Confirm a FEMA flood zone determination is obtained (Lender Commitment §5.4). The flood certification fee ($25.00) is on the statement; confirm the determination result and whether flood insurance is required.</w:t>
      </w:r>
    </w:p>
    <w:p>
      <w:pPr>
        <w:keepNext/>
        <w:spacing w:before="240" w:after="80"/>
        <w:pBdr>
          <w:bottom w:val="single" w:sz="6" w:space="2" w:color="1F3864"/>
        </w:pBdr>
      </w:pPr>
      <w:r>
        <w:rPr>
          <w:rFonts w:ascii="Calibri" w:hAnsi="Calibri"/>
          <w:b/>
          <w:color w:val="1F3864"/>
          <w:sz w:val="24"/>
        </w:rPr>
        <w:t>5.  ITEMS REQUIRING POST-CLOSING FOLLOW-UP</w:t>
      </w:r>
    </w:p>
    <w:p>
      <w:pPr>
        <w:pStyle w:val="ListBullet"/>
        <w:spacing w:after="60" w:before="0"/>
      </w:pPr>
      <w:r>
        <w:rPr>
          <w:rFonts w:ascii="Calibri" w:hAnsi="Calibri"/>
          <w:b/>
          <w:sz w:val="19"/>
        </w:rPr>
        <w:t>Proration Reproration (PSA §7.7)</w:t>
      </w:r>
      <w:r>
        <w:rPr>
          <w:rFonts w:ascii="Calibri" w:hAnsi="Calibri"/>
          <w:sz w:val="19"/>
        </w:rPr>
        <w:t xml:space="preserve"> — Reprorate the FY 2025–2026 property taxes and any estimated utility charges when actual bills issue; settle differences within 10 business days of demand (PSA §7.7; survives 90 days).</w:t>
      </w:r>
    </w:p>
    <w:p>
      <w:pPr>
        <w:pStyle w:val="ListBullet"/>
        <w:spacing w:after="60" w:before="0"/>
      </w:pPr>
      <w:r>
        <w:rPr>
          <w:rFonts w:ascii="Calibri" w:hAnsi="Calibri"/>
          <w:b/>
          <w:sz w:val="19"/>
        </w:rPr>
        <w:t>Delinquent Rent — Unit 2E</w:t>
      </w:r>
      <w:r>
        <w:rPr>
          <w:rFonts w:ascii="Calibri" w:hAnsi="Calibri"/>
          <w:sz w:val="19"/>
        </w:rPr>
        <w:t xml:space="preserve"> — Unit 2E's July 2025 rent ($1,600.00) is delinquent and was excluded from the rent proration per PSA §7.3. Buyer may collect it post-closing; any excess over current rent must be remitted to Seller within 30 days (PSA §7.3(b)). Buyer is not obligated to litigate or evict for this purpose.</w:t>
      </w:r>
    </w:p>
    <w:p>
      <w:pPr>
        <w:pStyle w:val="ListBullet"/>
        <w:spacing w:after="60" w:before="0"/>
      </w:pPr>
      <w:r>
        <w:rPr>
          <w:rFonts w:ascii="Calibri" w:hAnsi="Calibri"/>
          <w:b/>
          <w:sz w:val="19"/>
        </w:rPr>
        <w:t>Repair Escrow — Roof Repairs</w:t>
      </w:r>
      <w:r>
        <w:rPr>
          <w:rFonts w:ascii="Calibri" w:hAnsi="Calibri"/>
          <w:sz w:val="19"/>
        </w:rPr>
        <w:t xml:space="preserve"> — Buyer has 12 months from closing to complete the roof repairs and submit paid invoices/liens waivers to the Escrow Agent for reimbursement from the $45,000.00 Repair Escrow. Any unused balance plus interest returns to Seller after 12 months (PSA §8.4(d)). The pre-closing inspection estimates only 1–2 years of remaining roof life; Buyer should obtain competitive bids promptly to confirm the escrow is adequate.</w:t>
      </w:r>
    </w:p>
    <w:p>
      <w:pPr>
        <w:pStyle w:val="ListBullet"/>
        <w:spacing w:after="60" w:before="0"/>
      </w:pPr>
      <w:r>
        <w:rPr>
          <w:rFonts w:ascii="Calibri" w:hAnsi="Calibri"/>
          <w:b/>
          <w:sz w:val="19"/>
        </w:rPr>
        <w:t>Tenant Notices</w:t>
      </w:r>
      <w:r>
        <w:rPr>
          <w:rFonts w:ascii="Calibri" w:hAnsi="Calibri"/>
          <w:sz w:val="19"/>
        </w:rPr>
        <w:t xml:space="preserve"> — Buyer must send written notice to all tenants of the ownership change, new rent-payment instructions, and the new security-deposit holder within 15 days of closing (PSA §11.3; CGS §47a-21 notice requirements).</w:t>
      </w:r>
    </w:p>
    <w:p>
      <w:pPr>
        <w:pStyle w:val="ListBullet"/>
        <w:spacing w:after="60" w:before="0"/>
      </w:pPr>
      <w:r>
        <w:rPr>
          <w:rFonts w:ascii="Calibri" w:hAnsi="Calibri"/>
          <w:b/>
          <w:sz w:val="19"/>
        </w:rPr>
        <w:t>Lien Release Recording</w:t>
      </w:r>
      <w:r>
        <w:rPr>
          <w:rFonts w:ascii="Calibri" w:hAnsi="Calibri"/>
          <w:sz w:val="19"/>
        </w:rPr>
        <w:t xml:space="preserve"> — Confirm all lien releases (Harborstone first mortgage, HELOC, Northbridge mechanic's lien, CT DRS estate tax lien) are recorded in the Bridgeport Land Records within 60 days of closing (Lender Commitment §6.3).</w:t>
      </w:r>
    </w:p>
    <w:p>
      <w:pPr>
        <w:pStyle w:val="ListBullet"/>
        <w:spacing w:after="60" w:before="0"/>
      </w:pPr>
      <w:r>
        <w:rPr>
          <w:rFonts w:ascii="Calibri" w:hAnsi="Calibri"/>
          <w:b/>
          <w:sz w:val="19"/>
        </w:rPr>
        <w:t>Post-Closing Deliverables to Lender</w:t>
      </w:r>
      <w:r>
        <w:rPr>
          <w:rFonts w:ascii="Calibri" w:hAnsi="Calibri"/>
          <w:sz w:val="19"/>
        </w:rPr>
        <w:t xml:space="preserve"> — The Settlement Agent must deliver recorded documents, final settlement statement, original promissory note, and lease assignments/SNDAs to the Lender within 10 business days (Lender Commitment §6.5).</w:t>
      </w:r>
    </w:p>
    <w:p>
      <w:pPr>
        <w:keepNext/>
        <w:spacing w:before="240" w:after="80"/>
        <w:pBdr>
          <w:bottom w:val="single" w:sz="6" w:space="2" w:color="1F3864"/>
        </w:pBdr>
      </w:pPr>
      <w:r>
        <w:rPr>
          <w:rFonts w:ascii="Calibri" w:hAnsi="Calibri"/>
          <w:b/>
          <w:color w:val="1F3864"/>
          <w:sz w:val="24"/>
        </w:rPr>
        <w:t>6.  SURVIVING OBLIGATIONS &amp; RISK FLAGS</w:t>
      </w:r>
    </w:p>
    <w:p>
      <w:pPr>
        <w:pStyle w:val="ListBullet"/>
        <w:spacing w:after="60" w:before="0"/>
      </w:pPr>
      <w:r>
        <w:rPr>
          <w:rFonts w:ascii="Calibri" w:hAnsi="Calibri"/>
          <w:b/>
          <w:sz w:val="19"/>
        </w:rPr>
        <w:t>Survival Periods:</w:t>
      </w:r>
      <w:r>
        <w:rPr>
          <w:rFonts w:ascii="Calibri" w:hAnsi="Calibri"/>
          <w:sz w:val="19"/>
        </w:rPr>
        <w:t xml:space="preserve"> — Reps and warranties survive 12 months (PSA §15.1); proration/adjustment obligations survive 90 days (PSA §7.7).</w:t>
      </w:r>
    </w:p>
    <w:p>
      <w:pPr>
        <w:pStyle w:val="ListBullet"/>
        <w:spacing w:after="60" w:before="0"/>
      </w:pPr>
      <w:r>
        <w:rPr>
          <w:rFonts w:ascii="Calibri" w:hAnsi="Calibri"/>
          <w:b/>
          <w:sz w:val="19"/>
        </w:rPr>
        <w:t>Vacant Unit 3C:</w:t>
      </w:r>
      <w:r>
        <w:rPr>
          <w:rFonts w:ascii="Calibri" w:hAnsi="Calibri"/>
          <w:sz w:val="19"/>
        </w:rPr>
        <w:t xml:space="preserve"> — Unit 3C is vacant (since 11/01/2024) with an estimated market rent of $1,650/month. No rent or deposit is prorated. This is an income-risk item for Buyer, not a settlement adjustment.</w:t>
      </w:r>
    </w:p>
    <w:p>
      <w:pPr>
        <w:pStyle w:val="ListBullet"/>
        <w:spacing w:after="60" w:before="0"/>
      </w:pPr>
      <w:r>
        <w:rPr>
          <w:rFonts w:ascii="Calibri" w:hAnsi="Calibri"/>
          <w:b/>
          <w:sz w:val="19"/>
        </w:rPr>
        <w:t>Month-to-Month Tenancies:</w:t>
      </w:r>
      <w:r>
        <w:rPr>
          <w:rFonts w:ascii="Calibri" w:hAnsi="Calibri"/>
          <w:sz w:val="19"/>
        </w:rPr>
        <w:t xml:space="preserve"> — Six residential units (2B, 2C, 2E, 3B, 3D, 3F) are on month-to-month holdover tenancies. Buyer should evaluate lease renewals/renegotiations post-closing.</w:t>
      </w:r>
    </w:p>
    <w:p>
      <w:pPr>
        <w:pStyle w:val="ListBullet"/>
        <w:spacing w:after="60" w:before="0"/>
      </w:pPr>
      <w:r>
        <w:rPr>
          <w:rFonts w:ascii="Calibri" w:hAnsi="Calibri"/>
          <w:b/>
          <w:sz w:val="19"/>
        </w:rPr>
        <w:t>Commercial Lease ROFR / Renewals:</w:t>
      </w:r>
      <w:r>
        <w:rPr>
          <w:rFonts w:ascii="Calibri" w:hAnsi="Calibri"/>
          <w:sz w:val="19"/>
        </w:rPr>
        <w:t xml:space="preserve"> — The commercial lease (Coastal Provisions Market LLC) includes a right of first refusal on adjacent space (Lease §18) and two 5-year renewal options. These are Permitted Exceptions running with the land; Buyer assumes them via the Assignment of Leases.</w:t>
      </w:r>
    </w:p>
    <w:p>
      <w:pPr>
        <w:pStyle w:val="ListBullet"/>
        <w:spacing w:after="60" w:before="0"/>
      </w:pPr>
      <w:r>
        <w:rPr>
          <w:rFonts w:ascii="Calibri" w:hAnsi="Calibri"/>
          <w:b/>
          <w:sz w:val="19"/>
        </w:rPr>
        <w:t>Appraisal / LTV:</w:t>
      </w:r>
      <w:r>
        <w:rPr>
          <w:rFonts w:ascii="Calibri" w:hAnsi="Calibri"/>
          <w:sz w:val="19"/>
        </w:rPr>
        <w:t xml:space="preserve"> — The LTV per the lender commitment is stated as ~67.7% on an appraised value of $3,920,000 (which exceeds the $3,900,000 purchase price). The appraisal was POC ($4,500.00, paid 05/05/2025) and is excluded from cash-to-close.</w:t>
      </w:r>
    </w:p>
    <w:p>
      <w:pPr>
        <w:pStyle w:val="ListBullet"/>
        <w:spacing w:after="60" w:before="0"/>
      </w:pPr>
      <w:r>
        <w:rPr>
          <w:rFonts w:ascii="Calibri" w:hAnsi="Calibri"/>
          <w:b/>
          <w:sz w:val="19"/>
        </w:rPr>
        <w:t>Probate Bond:</w:t>
      </w:r>
      <w:r>
        <w:rPr>
          <w:rFonts w:ascii="Calibri" w:hAnsi="Calibri"/>
          <w:sz w:val="19"/>
        </w:rPr>
        <w:t xml:space="preserve"> — The Estate's probate bond is $500,000 (Fiduciary Certificate §1). The Executrix acts under independent-administration authority; no further court order is required for this sale.</w:t>
      </w:r>
    </w:p>
    <w:p>
      <w:pPr>
        <w:keepNext/>
        <w:spacing w:before="240" w:after="80"/>
        <w:pBdr>
          <w:bottom w:val="single" w:sz="6" w:space="2" w:color="1F3864"/>
        </w:pBdr>
      </w:pPr>
      <w:r>
        <w:rPr>
          <w:rFonts w:ascii="Calibri" w:hAnsi="Calibri"/>
          <w:b/>
          <w:color w:val="1F3864"/>
          <w:sz w:val="24"/>
        </w:rPr>
        <w:t>7.  SUMMARY OF POTENTIAL FINANCIAL ADJUSTMENTS</w:t>
      </w:r>
    </w:p>
    <w:p>
      <w:pPr>
        <w:spacing w:after="80" w:before="0"/>
      </w:pPr>
      <w:r>
        <w:rPr>
          <w:rFonts w:ascii="Calibri" w:hAnsi="Calibri"/>
          <w:b w:val="0"/>
          <w:i/>
          <w:color w:val="595959"/>
          <w:sz w:val="18"/>
        </w:rPr>
        <w:t>The following items, if confirmed, would adjust the figures on the Settlement Statement. None are currently reflected because the underlying amounts are unconfirmed.</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84"/>
        <w:gridCol w:w="2484"/>
        <w:gridCol w:w="2484"/>
        <w:gridCol w:w="2484"/>
      </w:tblGrid>
      <w:tr>
        <w:tc>
          <w:tcPr>
            <w:tcW w:type="dxa" w:w="3168"/>
            <w:shd w:fill="1F3864"/>
            <w:tcMar>
              <w:top w:w="50" w:type="dxa"/>
              <w:bottom w:w="50" w:type="dxa"/>
              <w:start w:w="90" w:type="dxa"/>
              <w:end w:w="90" w:type="dxa"/>
            </w:tcMar>
          </w:tcPr>
          <w:p>
            <w:pPr>
              <w:spacing w:before="20" w:after="20"/>
              <w:jc w:val="left"/>
            </w:pPr>
            <w:r/>
            <w:r>
              <w:rPr>
                <w:rFonts w:ascii="Calibri" w:hAnsi="Calibri"/>
                <w:b/>
                <w:i w:val="0"/>
                <w:color w:val="FFFFFF"/>
                <w:sz w:val="18"/>
              </w:rPr>
              <w:t>Item</w:t>
            </w:r>
          </w:p>
        </w:tc>
        <w:tc>
          <w:tcPr>
            <w:tcW w:type="dxa" w:w="2736"/>
            <w:shd w:fill="1F3864"/>
            <w:tcMar>
              <w:top w:w="50" w:type="dxa"/>
              <w:bottom w:w="50" w:type="dxa"/>
              <w:start w:w="90" w:type="dxa"/>
              <w:end w:w="90" w:type="dxa"/>
            </w:tcMar>
          </w:tcPr>
          <w:p>
            <w:pPr>
              <w:spacing w:before="20" w:after="20"/>
              <w:jc w:val="right"/>
            </w:pPr>
            <w:r/>
            <w:r>
              <w:rPr>
                <w:rFonts w:ascii="Calibri" w:hAnsi="Calibri"/>
                <w:b/>
                <w:i w:val="0"/>
                <w:color w:val="FFFFFF"/>
                <w:sz w:val="18"/>
              </w:rPr>
              <w:t>Potential Adjustment</w:t>
            </w:r>
          </w:p>
        </w:tc>
        <w:tc>
          <w:tcPr>
            <w:tcW w:type="dxa" w:w="2448"/>
            <w:shd w:fill="1F3864"/>
            <w:tcMar>
              <w:top w:w="50" w:type="dxa"/>
              <w:bottom w:w="50" w:type="dxa"/>
              <w:start w:w="90" w:type="dxa"/>
              <w:end w:w="90" w:type="dxa"/>
            </w:tcMar>
          </w:tcPr>
          <w:p>
            <w:pPr>
              <w:spacing w:before="20" w:after="20"/>
              <w:jc w:val="left"/>
            </w:pPr>
            <w:r/>
            <w:r>
              <w:rPr>
                <w:rFonts w:ascii="Calibri" w:hAnsi="Calibri"/>
                <w:b/>
                <w:i w:val="0"/>
                <w:color w:val="FFFFFF"/>
                <w:sz w:val="18"/>
              </w:rPr>
              <w:t>Affects</w:t>
            </w:r>
          </w:p>
        </w:tc>
        <w:tc>
          <w:tcPr>
            <w:tcW w:type="dxa" w:w="2160"/>
            <w:shd w:fill="1F3864"/>
            <w:tcMar>
              <w:top w:w="50" w:type="dxa"/>
              <w:bottom w:w="50" w:type="dxa"/>
              <w:start w:w="90" w:type="dxa"/>
              <w:end w:w="90" w:type="dxa"/>
            </w:tcMar>
          </w:tcPr>
          <w:p>
            <w:pPr>
              <w:spacing w:before="20" w:after="20"/>
              <w:jc w:val="left"/>
            </w:pPr>
            <w:r/>
            <w:r>
              <w:rPr>
                <w:rFonts w:ascii="Calibri" w:hAnsi="Calibri"/>
                <w:b/>
                <w:i w:val="0"/>
                <w:color w:val="FFFFFF"/>
                <w:sz w:val="18"/>
              </w:rPr>
              <w:t>Status</w:t>
            </w:r>
          </w:p>
        </w:tc>
      </w:tr>
      <w:tr>
        <w:tc>
          <w:tcPr>
            <w:tcW w:type="dxa" w:w="3168"/>
            <w:tcMar>
              <w:top w:w="50" w:type="dxa"/>
              <w:bottom w:w="50" w:type="dxa"/>
              <w:start w:w="90" w:type="dxa"/>
              <w:end w:w="90" w:type="dxa"/>
            </w:tcMar>
          </w:tcPr>
          <w:p>
            <w:pPr>
              <w:spacing w:before="20" w:after="20"/>
              <w:jc w:val="left"/>
            </w:pPr>
            <w:r/>
            <w:r>
              <w:rPr>
                <w:rFonts w:ascii="Calibri" w:hAnsi="Calibri"/>
                <w:b w:val="0"/>
                <w:i w:val="0"/>
                <w:sz w:val="17"/>
              </w:rPr>
              <w:t>Earnest money interest (A-1)</w:t>
            </w:r>
          </w:p>
        </w:tc>
        <w:tc>
          <w:tcPr>
            <w:tcW w:type="dxa" w:w="2736"/>
            <w:tcMar>
              <w:top w:w="50" w:type="dxa"/>
              <w:bottom w:w="50" w:type="dxa"/>
              <w:start w:w="90" w:type="dxa"/>
              <w:end w:w="90" w:type="dxa"/>
            </w:tcMar>
          </w:tcPr>
          <w:p>
            <w:pPr>
              <w:spacing w:before="20" w:after="20"/>
              <w:jc w:val="left"/>
            </w:pPr>
            <w:r/>
            <w:r>
              <w:rPr>
                <w:rFonts w:ascii="Calibri" w:hAnsi="Calibri"/>
                <w:b w:val="0"/>
                <w:i w:val="0"/>
                <w:sz w:val="17"/>
              </w:rPr>
              <w:t>TBD — credit Buyer / debit Seller</w:t>
            </w:r>
          </w:p>
        </w:tc>
        <w:tc>
          <w:tcPr>
            <w:tcW w:type="dxa" w:w="2448"/>
            <w:tcMar>
              <w:top w:w="50" w:type="dxa"/>
              <w:bottom w:w="50" w:type="dxa"/>
              <w:start w:w="90" w:type="dxa"/>
              <w:end w:w="90" w:type="dxa"/>
            </w:tcMar>
          </w:tcPr>
          <w:p>
            <w:pPr>
              <w:spacing w:before="20" w:after="20"/>
              <w:jc w:val="left"/>
            </w:pPr>
            <w:r/>
            <w:r>
              <w:rPr>
                <w:rFonts w:ascii="Calibri" w:hAnsi="Calibri"/>
                <w:b w:val="0"/>
                <w:i w:val="0"/>
                <w:sz w:val="17"/>
              </w:rPr>
              <w:t>Buyer cash ↓ / Seller proceeds ↓</w:t>
            </w:r>
          </w:p>
        </w:tc>
        <w:tc>
          <w:tcPr>
            <w:tcW w:type="dxa" w:w="2160"/>
            <w:tcMar>
              <w:top w:w="50" w:type="dxa"/>
              <w:bottom w:w="50" w:type="dxa"/>
              <w:start w:w="90" w:type="dxa"/>
              <w:end w:w="90" w:type="dxa"/>
            </w:tcMar>
          </w:tcPr>
          <w:p>
            <w:pPr>
              <w:spacing w:before="20" w:after="20"/>
              <w:jc w:val="left"/>
            </w:pPr>
            <w:r/>
            <w:r>
              <w:rPr>
                <w:rFonts w:ascii="Calibri" w:hAnsi="Calibri"/>
                <w:b w:val="0"/>
                <w:i/>
                <w:color w:val="595959"/>
                <w:sz w:val="17"/>
              </w:rPr>
              <w:t>Pending Escrow Agent</w:t>
            </w:r>
          </w:p>
        </w:tc>
      </w:tr>
      <w:tr>
        <w:tc>
          <w:tcPr>
            <w:tcW w:type="dxa" w:w="3168"/>
            <w:tcMar>
              <w:top w:w="50" w:type="dxa"/>
              <w:bottom w:w="50" w:type="dxa"/>
              <w:start w:w="90" w:type="dxa"/>
              <w:end w:w="90" w:type="dxa"/>
            </w:tcMar>
          </w:tcPr>
          <w:p>
            <w:pPr>
              <w:spacing w:before="20" w:after="20"/>
              <w:jc w:val="left"/>
            </w:pPr>
            <w:r/>
            <w:r>
              <w:rPr>
                <w:rFonts w:ascii="Calibri" w:hAnsi="Calibri"/>
                <w:b w:val="0"/>
                <w:i w:val="0"/>
                <w:sz w:val="17"/>
              </w:rPr>
              <w:t>Residential deposit interest (A-2)</w:t>
            </w:r>
          </w:p>
        </w:tc>
        <w:tc>
          <w:tcPr>
            <w:tcW w:type="dxa" w:w="2736"/>
            <w:tcMar>
              <w:top w:w="50" w:type="dxa"/>
              <w:bottom w:w="50" w:type="dxa"/>
              <w:start w:w="90" w:type="dxa"/>
              <w:end w:w="90" w:type="dxa"/>
            </w:tcMar>
          </w:tcPr>
          <w:p>
            <w:pPr>
              <w:spacing w:before="20" w:after="20"/>
              <w:jc w:val="left"/>
            </w:pPr>
            <w:r/>
            <w:r>
              <w:rPr>
                <w:rFonts w:ascii="Calibri" w:hAnsi="Calibri"/>
                <w:b w:val="0"/>
                <w:i w:val="0"/>
                <w:sz w:val="17"/>
              </w:rPr>
              <w:t>TBD — credit Buyer / debit Seller</w:t>
            </w:r>
          </w:p>
        </w:tc>
        <w:tc>
          <w:tcPr>
            <w:tcW w:type="dxa" w:w="2448"/>
            <w:tcMar>
              <w:top w:w="50" w:type="dxa"/>
              <w:bottom w:w="50" w:type="dxa"/>
              <w:start w:w="90" w:type="dxa"/>
              <w:end w:w="90" w:type="dxa"/>
            </w:tcMar>
          </w:tcPr>
          <w:p>
            <w:pPr>
              <w:spacing w:before="20" w:after="20"/>
              <w:jc w:val="left"/>
            </w:pPr>
            <w:r/>
            <w:r>
              <w:rPr>
                <w:rFonts w:ascii="Calibri" w:hAnsi="Calibri"/>
                <w:b w:val="0"/>
                <w:i w:val="0"/>
                <w:sz w:val="17"/>
              </w:rPr>
              <w:t>Buyer cash ↓ / Seller proceeds ↓</w:t>
            </w:r>
          </w:p>
        </w:tc>
        <w:tc>
          <w:tcPr>
            <w:tcW w:type="dxa" w:w="2160"/>
            <w:tcMar>
              <w:top w:w="50" w:type="dxa"/>
              <w:bottom w:w="50" w:type="dxa"/>
              <w:start w:w="90" w:type="dxa"/>
              <w:end w:w="90" w:type="dxa"/>
            </w:tcMar>
          </w:tcPr>
          <w:p>
            <w:pPr>
              <w:spacing w:before="20" w:after="20"/>
              <w:jc w:val="left"/>
            </w:pPr>
            <w:r/>
            <w:r>
              <w:rPr>
                <w:rFonts w:ascii="Calibri" w:hAnsi="Calibri"/>
                <w:b w:val="0"/>
                <w:i/>
                <w:color w:val="595959"/>
                <w:sz w:val="17"/>
              </w:rPr>
              <w:t>Pending Bayshore/Harborstone</w:t>
            </w:r>
          </w:p>
        </w:tc>
      </w:tr>
      <w:tr>
        <w:tc>
          <w:tcPr>
            <w:tcW w:type="dxa" w:w="3168"/>
            <w:tcMar>
              <w:top w:w="50" w:type="dxa"/>
              <w:bottom w:w="50" w:type="dxa"/>
              <w:start w:w="90" w:type="dxa"/>
              <w:end w:w="90" w:type="dxa"/>
            </w:tcMar>
          </w:tcPr>
          <w:p>
            <w:pPr>
              <w:spacing w:before="20" w:after="20"/>
              <w:jc w:val="left"/>
            </w:pPr>
            <w:r/>
            <w:r>
              <w:rPr>
                <w:rFonts w:ascii="Calibri" w:hAnsi="Calibri"/>
                <w:b w:val="0"/>
                <w:i w:val="0"/>
                <w:sz w:val="17"/>
              </w:rPr>
              <w:t>FY 2025–26 tax reproration (A-3)</w:t>
            </w:r>
          </w:p>
        </w:tc>
        <w:tc>
          <w:tcPr>
            <w:tcW w:type="dxa" w:w="2736"/>
            <w:tcMar>
              <w:top w:w="50" w:type="dxa"/>
              <w:bottom w:w="50" w:type="dxa"/>
              <w:start w:w="90" w:type="dxa"/>
              <w:end w:w="90" w:type="dxa"/>
            </w:tcMar>
          </w:tcPr>
          <w:p>
            <w:pPr>
              <w:spacing w:before="20" w:after="20"/>
              <w:jc w:val="left"/>
            </w:pPr>
            <w:r/>
            <w:r>
              <w:rPr>
                <w:rFonts w:ascii="Calibri" w:hAnsi="Calibri"/>
                <w:b w:val="0"/>
                <w:i w:val="0"/>
                <w:sz w:val="17"/>
              </w:rPr>
              <w:t>Up to full levy variance</w:t>
            </w:r>
          </w:p>
        </w:tc>
        <w:tc>
          <w:tcPr>
            <w:tcW w:type="dxa" w:w="2448"/>
            <w:tcMar>
              <w:top w:w="50" w:type="dxa"/>
              <w:bottom w:w="50" w:type="dxa"/>
              <w:start w:w="90" w:type="dxa"/>
              <w:end w:w="90" w:type="dxa"/>
            </w:tcMar>
          </w:tcPr>
          <w:p>
            <w:pPr>
              <w:spacing w:before="20" w:after="20"/>
              <w:jc w:val="left"/>
            </w:pPr>
            <w:r/>
            <w:r>
              <w:rPr>
                <w:rFonts w:ascii="Calibri" w:hAnsi="Calibri"/>
                <w:b w:val="0"/>
                <w:i w:val="0"/>
                <w:sz w:val="17"/>
              </w:rPr>
              <w:t>Either party</w:t>
            </w:r>
          </w:p>
        </w:tc>
        <w:tc>
          <w:tcPr>
            <w:tcW w:type="dxa" w:w="2160"/>
            <w:tcMar>
              <w:top w:w="50" w:type="dxa"/>
              <w:bottom w:w="50" w:type="dxa"/>
              <w:start w:w="90" w:type="dxa"/>
              <w:end w:w="90" w:type="dxa"/>
            </w:tcMar>
          </w:tcPr>
          <w:p>
            <w:pPr>
              <w:spacing w:before="20" w:after="20"/>
              <w:jc w:val="left"/>
            </w:pPr>
            <w:r/>
            <w:r>
              <w:rPr>
                <w:rFonts w:ascii="Calibri" w:hAnsi="Calibri"/>
                <w:b w:val="0"/>
                <w:i/>
                <w:color w:val="595959"/>
                <w:sz w:val="17"/>
              </w:rPr>
              <w:t>Post-closing (90 days)</w:t>
            </w:r>
          </w:p>
        </w:tc>
      </w:tr>
      <w:tr>
        <w:tc>
          <w:tcPr>
            <w:tcW w:type="dxa" w:w="3168"/>
            <w:tcMar>
              <w:top w:w="50" w:type="dxa"/>
              <w:bottom w:w="50" w:type="dxa"/>
              <w:start w:w="90" w:type="dxa"/>
              <w:end w:w="90" w:type="dxa"/>
            </w:tcMar>
          </w:tcPr>
          <w:p>
            <w:pPr>
              <w:spacing w:before="20" w:after="20"/>
              <w:jc w:val="left"/>
            </w:pPr>
            <w:r/>
            <w:r>
              <w:rPr>
                <w:rFonts w:ascii="Calibri" w:hAnsi="Calibri"/>
                <w:b w:val="0"/>
                <w:i w:val="0"/>
                <w:sz w:val="17"/>
              </w:rPr>
              <w:t>Conveyance tax true-up (A-4)</w:t>
            </w:r>
          </w:p>
        </w:tc>
        <w:tc>
          <w:tcPr>
            <w:tcW w:type="dxa" w:w="2736"/>
            <w:tcMar>
              <w:top w:w="50" w:type="dxa"/>
              <w:bottom w:w="50" w:type="dxa"/>
              <w:start w:w="90" w:type="dxa"/>
              <w:end w:w="90" w:type="dxa"/>
            </w:tcMar>
          </w:tcPr>
          <w:p>
            <w:pPr>
              <w:spacing w:before="20" w:after="20"/>
              <w:jc w:val="left"/>
            </w:pPr>
            <w:r/>
            <w:r>
              <w:rPr>
                <w:rFonts w:ascii="Calibri" w:hAnsi="Calibri"/>
                <w:b w:val="0"/>
                <w:i w:val="0"/>
                <w:sz w:val="17"/>
              </w:rPr>
              <w:t>Variance from $44,750 est.</w:t>
            </w:r>
          </w:p>
        </w:tc>
        <w:tc>
          <w:tcPr>
            <w:tcW w:type="dxa" w:w="2448"/>
            <w:tcMar>
              <w:top w:w="50" w:type="dxa"/>
              <w:bottom w:w="50" w:type="dxa"/>
              <w:start w:w="90" w:type="dxa"/>
              <w:end w:w="90" w:type="dxa"/>
            </w:tcMar>
          </w:tcPr>
          <w:p>
            <w:pPr>
              <w:spacing w:before="20" w:after="20"/>
              <w:jc w:val="left"/>
            </w:pPr>
            <w:r/>
            <w:r>
              <w:rPr>
                <w:rFonts w:ascii="Calibri" w:hAnsi="Calibri"/>
                <w:b w:val="0"/>
                <w:i w:val="0"/>
                <w:sz w:val="17"/>
              </w:rPr>
              <w:t>Both parties (50/50)</w:t>
            </w:r>
          </w:p>
        </w:tc>
        <w:tc>
          <w:tcPr>
            <w:tcW w:type="dxa" w:w="2160"/>
            <w:tcMar>
              <w:top w:w="50" w:type="dxa"/>
              <w:bottom w:w="50" w:type="dxa"/>
              <w:start w:w="90" w:type="dxa"/>
              <w:end w:w="90" w:type="dxa"/>
            </w:tcMar>
          </w:tcPr>
          <w:p>
            <w:pPr>
              <w:spacing w:before="20" w:after="20"/>
              <w:jc w:val="left"/>
            </w:pPr>
            <w:r/>
            <w:r>
              <w:rPr>
                <w:rFonts w:ascii="Calibri" w:hAnsi="Calibri"/>
                <w:b w:val="0"/>
                <w:i/>
                <w:color w:val="595959"/>
                <w:sz w:val="17"/>
              </w:rPr>
              <w:t>At filing of OP-236</w:t>
            </w:r>
          </w:p>
        </w:tc>
      </w:tr>
      <w:tr>
        <w:tc>
          <w:tcPr>
            <w:tcW w:type="dxa" w:w="3168"/>
            <w:tcMar>
              <w:top w:w="50" w:type="dxa"/>
              <w:bottom w:w="50" w:type="dxa"/>
              <w:start w:w="90" w:type="dxa"/>
              <w:end w:w="90" w:type="dxa"/>
            </w:tcMar>
          </w:tcPr>
          <w:p>
            <w:pPr>
              <w:spacing w:before="20" w:after="20"/>
              <w:jc w:val="left"/>
            </w:pPr>
            <w:r/>
            <w:r>
              <w:rPr>
                <w:rFonts w:ascii="Calibri" w:hAnsi="Calibri"/>
                <w:b w:val="0"/>
                <w:i w:val="0"/>
                <w:sz w:val="17"/>
              </w:rPr>
              <w:t>Assignment-of-rents recording fee (§4)</w:t>
            </w:r>
          </w:p>
        </w:tc>
        <w:tc>
          <w:tcPr>
            <w:tcW w:type="dxa" w:w="2736"/>
            <w:tcMar>
              <w:top w:w="50" w:type="dxa"/>
              <w:bottom w:w="50" w:type="dxa"/>
              <w:start w:w="90" w:type="dxa"/>
              <w:end w:w="90" w:type="dxa"/>
            </w:tcMar>
          </w:tcPr>
          <w:p>
            <w:pPr>
              <w:spacing w:before="20" w:after="20"/>
              <w:jc w:val="left"/>
            </w:pPr>
            <w:r/>
            <w:r>
              <w:rPr>
                <w:rFonts w:ascii="Calibri" w:hAnsi="Calibri"/>
                <w:b w:val="0"/>
                <w:i w:val="0"/>
                <w:sz w:val="17"/>
              </w:rPr>
              <w:t>≈ +$113.00 to Buyer</w:t>
            </w:r>
          </w:p>
        </w:tc>
        <w:tc>
          <w:tcPr>
            <w:tcW w:type="dxa" w:w="2448"/>
            <w:tcMar>
              <w:top w:w="50" w:type="dxa"/>
              <w:bottom w:w="50" w:type="dxa"/>
              <w:start w:w="90" w:type="dxa"/>
              <w:end w:w="90" w:type="dxa"/>
            </w:tcMar>
          </w:tcPr>
          <w:p>
            <w:pPr>
              <w:spacing w:before="20" w:after="20"/>
              <w:jc w:val="left"/>
            </w:pPr>
            <w:r/>
            <w:r>
              <w:rPr>
                <w:rFonts w:ascii="Calibri" w:hAnsi="Calibri"/>
                <w:b w:val="0"/>
                <w:i w:val="0"/>
                <w:sz w:val="17"/>
              </w:rPr>
              <w:t>Buyer cash ↑</w:t>
            </w:r>
          </w:p>
        </w:tc>
        <w:tc>
          <w:tcPr>
            <w:tcW w:type="dxa" w:w="2160"/>
            <w:tcMar>
              <w:top w:w="50" w:type="dxa"/>
              <w:bottom w:w="50" w:type="dxa"/>
              <w:start w:w="90" w:type="dxa"/>
              <w:end w:w="90" w:type="dxa"/>
            </w:tcMar>
          </w:tcPr>
          <w:p>
            <w:pPr>
              <w:spacing w:before="20" w:after="20"/>
              <w:jc w:val="left"/>
            </w:pPr>
            <w:r/>
            <w:r>
              <w:rPr>
                <w:rFonts w:ascii="Calibri" w:hAnsi="Calibri"/>
                <w:b w:val="0"/>
                <w:i/>
                <w:color w:val="595959"/>
                <w:sz w:val="17"/>
              </w:rPr>
              <w:t>Pending Town Clerk</w:t>
            </w:r>
          </w:p>
        </w:tc>
      </w:tr>
      <w:tr>
        <w:tc>
          <w:tcPr>
            <w:tcW w:type="dxa" w:w="3168"/>
            <w:tcMar>
              <w:top w:w="50" w:type="dxa"/>
              <w:bottom w:w="50" w:type="dxa"/>
              <w:start w:w="90" w:type="dxa"/>
              <w:end w:w="90" w:type="dxa"/>
            </w:tcMar>
          </w:tcPr>
          <w:p>
            <w:pPr>
              <w:spacing w:before="20" w:after="20"/>
              <w:jc w:val="left"/>
            </w:pPr>
            <w:r/>
            <w:r>
              <w:rPr>
                <w:rFonts w:ascii="Calibri" w:hAnsi="Calibri"/>
                <w:b w:val="0"/>
                <w:i w:val="0"/>
                <w:sz w:val="17"/>
              </w:rPr>
              <w:t>Survey / ESA / insurance premiums (§4)</w:t>
            </w:r>
          </w:p>
        </w:tc>
        <w:tc>
          <w:tcPr>
            <w:tcW w:type="dxa" w:w="2736"/>
            <w:tcMar>
              <w:top w:w="50" w:type="dxa"/>
              <w:bottom w:w="50" w:type="dxa"/>
              <w:start w:w="90" w:type="dxa"/>
              <w:end w:w="90" w:type="dxa"/>
            </w:tcMar>
          </w:tcPr>
          <w:p>
            <w:pPr>
              <w:spacing w:before="20" w:after="20"/>
              <w:jc w:val="left"/>
            </w:pPr>
            <w:r/>
            <w:r>
              <w:rPr>
                <w:rFonts w:ascii="Calibri" w:hAnsi="Calibri"/>
                <w:b w:val="0"/>
                <w:i w:val="0"/>
                <w:sz w:val="17"/>
              </w:rPr>
              <w:t>TBD if not POC</w:t>
            </w:r>
          </w:p>
        </w:tc>
        <w:tc>
          <w:tcPr>
            <w:tcW w:type="dxa" w:w="2448"/>
            <w:tcMar>
              <w:top w:w="50" w:type="dxa"/>
              <w:bottom w:w="50" w:type="dxa"/>
              <w:start w:w="90" w:type="dxa"/>
              <w:end w:w="90" w:type="dxa"/>
            </w:tcMar>
          </w:tcPr>
          <w:p>
            <w:pPr>
              <w:spacing w:before="20" w:after="20"/>
              <w:jc w:val="left"/>
            </w:pPr>
            <w:r/>
            <w:r>
              <w:rPr>
                <w:rFonts w:ascii="Calibri" w:hAnsi="Calibri"/>
                <w:b w:val="0"/>
                <w:i w:val="0"/>
                <w:sz w:val="17"/>
              </w:rPr>
              <w:t>Buyer cash ↑</w:t>
            </w:r>
          </w:p>
        </w:tc>
        <w:tc>
          <w:tcPr>
            <w:tcW w:type="dxa" w:w="2160"/>
            <w:tcMar>
              <w:top w:w="50" w:type="dxa"/>
              <w:bottom w:w="50" w:type="dxa"/>
              <w:start w:w="90" w:type="dxa"/>
              <w:end w:w="90" w:type="dxa"/>
            </w:tcMar>
          </w:tcPr>
          <w:p>
            <w:pPr>
              <w:spacing w:before="20" w:after="20"/>
              <w:jc w:val="left"/>
            </w:pPr>
            <w:r/>
            <w:r>
              <w:rPr>
                <w:rFonts w:ascii="Calibri" w:hAnsi="Calibri"/>
                <w:b w:val="0"/>
                <w:i/>
                <w:color w:val="595959"/>
                <w:sz w:val="17"/>
              </w:rPr>
              <w:t>Pending confirmation</w:t>
            </w:r>
          </w:p>
        </w:tc>
      </w:tr>
    </w:tbl>
    <w:p>
      <w:pPr>
        <w:spacing w:after="80" w:before="0"/>
      </w:pPr>
      <w:r>
        <w:rPr>
          <w:rFonts w:ascii="Calibri" w:hAnsi="Calibri"/>
          <w:b w:val="0"/>
          <w:i w:val="0"/>
          <w:sz w:val="8"/>
        </w:rPr>
      </w:r>
    </w:p>
    <w:tbl>
      <w:tblPr>
        <w:tblW w:type="auto" w:w="0"/>
        <w:tblLayout w:type="fixed"/>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9936"/>
      </w:tblGrid>
      <w:tr>
        <w:tc>
          <w:tcPr>
            <w:tcW w:type="dxa" w:w="9792"/>
            <w:shd w:fill="2E7D32"/>
            <w:tcMar>
              <w:top w:w="80" w:type="dxa"/>
              <w:bottom w:w="80" w:type="dxa"/>
              <w:start w:w="90" w:type="dxa"/>
              <w:end w:w="90" w:type="dxa"/>
            </w:tcMar>
          </w:tcPr>
          <w:p>
            <w:pPr>
              <w:spacing w:before="20" w:after="20"/>
              <w:jc w:val="left"/>
            </w:pPr>
            <w:r/>
            <w:r>
              <w:rPr>
                <w:rFonts w:ascii="Calibri" w:hAnsi="Calibri"/>
                <w:b/>
                <w:i w:val="0"/>
                <w:color w:val="FFFFFF"/>
                <w:sz w:val="19"/>
              </w:rPr>
              <w:t>NOTWITHSTANDING THE ABOVE, THE SETTLEMENT STATEMENT IS IN BALANCE AS PREPARED:  Total Funds In = Total Funds Out = $3,918,564.52  (Buyer cash to close $1,083,564.52; Seller net proceeds $2,864,663.83).</w:t>
            </w:r>
          </w:p>
        </w:tc>
      </w:tr>
    </w:tbl>
    <w:p>
      <w:pPr>
        <w:keepNext/>
        <w:spacing w:before="240" w:after="80"/>
        <w:pBdr>
          <w:bottom w:val="single" w:sz="6" w:space="2" w:color="1F3864"/>
        </w:pBdr>
      </w:pPr>
      <w:r>
        <w:rPr>
          <w:rFonts w:ascii="Calibri" w:hAnsi="Calibri"/>
          <w:b/>
          <w:color w:val="1F3864"/>
          <w:sz w:val="24"/>
        </w:rPr>
        <w:t>8.  CONCLUSION</w:t>
      </w:r>
    </w:p>
    <w:p>
      <w:pPr>
        <w:spacing w:after="160" w:before="0"/>
        <w:jc w:val="both"/>
      </w:pPr>
      <w:r>
        <w:rPr>
          <w:rFonts w:ascii="Calibri" w:hAnsi="Calibri"/>
          <w:b w:val="0"/>
          <w:i w:val="0"/>
          <w:sz w:val="19"/>
        </w:rPr>
        <w:t>The Settlement Statement has been prepared in accordance with the Purchase and Sale Agreement dated April 22, 2025, the title commitment, the lender's closing instructions, the municipal tax status certificate, the lien payoff letters, the rent roll and security deposit schedule, the pre-closing inspection report, and the probate fiduciary documentation. All monetary items are supported by source documents. The discrepancies and assumptions identified above should be resolved by the parties and their counsel before or promptly after closing. No item identified herein prevents closing on July 15, 2025, provided the conditions in Section 4 are satisfied or waived.</w:t>
      </w:r>
    </w:p>
    <w:p>
      <w:pPr>
        <w:spacing w:after="280" w:before="0"/>
      </w:pPr>
      <w:r>
        <w:rPr>
          <w:rFonts w:ascii="Calibri" w:hAnsi="Calibri"/>
          <w:b w:val="0"/>
          <w:i w:val="0"/>
          <w:sz w:val="19"/>
        </w:rPr>
        <w:t>Respectfully submitted,</w:t>
      </w:r>
    </w:p>
    <w:p>
      <w:pPr>
        <w:spacing w:after="0" w:before="0"/>
      </w:pPr>
      <w:r>
        <w:rPr>
          <w:rFonts w:ascii="Calibri" w:hAnsi="Calibri"/>
          <w:b w:val="0"/>
          <w:i w:val="0"/>
          <w:sz w:val="19"/>
        </w:rPr>
        <w:t>____________________________________</w:t>
      </w:r>
    </w:p>
    <w:p>
      <w:pPr>
        <w:spacing w:after="0" w:before="0"/>
      </w:pPr>
      <w:r>
        <w:rPr>
          <w:rFonts w:ascii="Calibri" w:hAnsi="Calibri"/>
          <w:b w:val="0"/>
          <w:i w:val="0"/>
          <w:sz w:val="19"/>
        </w:rPr>
        <w:t>Settlement Statement Preparation Team</w:t>
      </w:r>
    </w:p>
    <w:p>
      <w:pPr>
        <w:spacing w:after="0" w:before="0"/>
      </w:pPr>
      <w:r>
        <w:rPr>
          <w:rFonts w:ascii="Calibri" w:hAnsi="Calibri"/>
          <w:b w:val="0"/>
          <w:i/>
          <w:color w:val="595959"/>
          <w:sz w:val="17"/>
        </w:rPr>
        <w:t>Pinnacle Abstract &amp; Title LLC — Closing File PCT-2025-08814</w:t>
      </w:r>
    </w:p>
    <w:p>
      <w:pPr>
        <w:spacing w:after="0" w:before="0"/>
      </w:pPr>
      <w:r>
        <w:rPr>
          <w:rFonts w:ascii="Calibri" w:hAnsi="Calibri"/>
          <w:b w:val="0"/>
          <w:i/>
          <w:color w:val="595959"/>
          <w:sz w:val="17"/>
        </w:rPr>
        <w:t>Date: July 14, 2025</w:t>
      </w:r>
    </w:p>
    <w:p>
      <w:pPr>
        <w:spacing w:after="40" w:before="0"/>
      </w:pPr>
      <w:r>
        <w:rPr>
          <w:rFonts w:ascii="Calibri" w:hAnsi="Calibri"/>
          <w:b w:val="0"/>
          <w:i w:val="0"/>
          <w:sz w:val="8"/>
        </w:rPr>
      </w:r>
    </w:p>
    <w:p>
      <w:pPr>
        <w:spacing w:after="0" w:before="0"/>
      </w:pPr>
      <w:r>
        <w:rPr>
          <w:rFonts w:ascii="Calibri" w:hAnsi="Calibri"/>
          <w:b w:val="0"/>
          <w:i/>
          <w:color w:val="808080"/>
          <w:sz w:val="15"/>
        </w:rPr>
        <w:t>This memorandum is prepared for the internal use of the closing parties and their counsel in connection with the transaction described herein and does not constitute legal, tax, or accounting advice. Recipients should consult their own professional advisors regarding the matters discussed herein.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