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settlement-statement-notes-memo"/>
    <w:p>
      <w:pPr>
        <w:pStyle w:val="Heading1"/>
      </w:pPr>
      <w:r>
        <w:t xml:space="preserve">SETTLEMENT STATEMENT — NOTES MEMO</w:t>
      </w:r>
    </w:p>
    <w:bookmarkStart w:id="20" w:name="Xc52c5729b653465234eba672d58a93f34e59729"/>
    <w:p>
      <w:pPr>
        <w:pStyle w:val="Heading2"/>
      </w:pPr>
      <w:r>
        <w:t xml:space="preserve">Discrepancies, Assumptions, and Items Requiring Confirmation</w:t>
      </w:r>
    </w:p>
    <w:p>
      <w:pPr>
        <w:pStyle w:val="FirstParagraph"/>
      </w:pPr>
      <w:r>
        <w:rPr>
          <w:b/>
          <w:bCs/>
        </w:rPr>
        <w:t xml:space="preserve">Transaction:</w:t>
      </w:r>
      <w:r>
        <w:t xml:space="preserve"> </w:t>
      </w:r>
      <w:r>
        <w:t xml:space="preserve">Sale of 4280 Harborview Boulevard, Bridgeport, CT 06604</w:t>
      </w:r>
      <w:r>
        <w:t xml:space="preserve"> </w:t>
      </w:r>
      <w:r>
        <w:rPr>
          <w:b/>
          <w:bCs/>
        </w:rPr>
        <w:t xml:space="preserve">Closing Date:</w:t>
      </w:r>
      <w:r>
        <w:t xml:space="preserve"> </w:t>
      </w:r>
      <w:r>
        <w:t xml:space="preserve">July 15, 2025</w:t>
      </w:r>
      <w:r>
        <w:t xml:space="preserve"> </w:t>
      </w:r>
      <w:r>
        <w:rPr>
          <w:b/>
          <w:bCs/>
        </w:rPr>
        <w:t xml:space="preserve">Seller:</w:t>
      </w:r>
      <w:r>
        <w:t xml:space="preserve"> </w:t>
      </w:r>
      <w:r>
        <w:t xml:space="preserve">Estate of Gerald T. Whitford (Claudia Whitford-Barnes, Executrix)</w:t>
      </w:r>
      <w:r>
        <w:t xml:space="preserve"> </w:t>
      </w:r>
      <w:r>
        <w:rPr>
          <w:b/>
          <w:bCs/>
        </w:rPr>
        <w:t xml:space="preserve">Buyer:</w:t>
      </w:r>
      <w:r>
        <w:t xml:space="preserve"> </w:t>
      </w:r>
      <w:r>
        <w:t xml:space="preserve">Meridian Cove Properties LLC (Elaine R. Matsuda, Manager)</w:t>
      </w:r>
      <w:r>
        <w:t xml:space="preserve"> </w:t>
      </w:r>
      <w:r>
        <w:rPr>
          <w:b/>
          <w:bCs/>
        </w:rPr>
        <w:t xml:space="preserve">Prepared by:</w:t>
      </w:r>
      <w:r>
        <w:t xml:space="preserve"> </w:t>
      </w:r>
      <w:r>
        <w:t xml:space="preserve">Pinnacle Abstract &amp; Title LLC, Closing Agent</w:t>
      </w:r>
    </w:p>
    <w:p>
      <w:pPr>
        <w:pStyle w:val="BodyText"/>
      </w:pPr>
      <w:r>
        <w:rPr>
          <w:b/>
          <w:bCs/>
        </w:rPr>
        <w:t xml:space="preserve">Re:</w:t>
      </w:r>
      <w:r>
        <w:t xml:space="preserve"> </w:t>
      </w:r>
      <w:r>
        <w:t xml:space="preserve">Settlement Statement dated July 15, 2025</w:t>
      </w:r>
    </w:p>
    <w:p>
      <w:r>
        <w:pict>
          <v:rect style="width:0;height:1.5pt" o:hralign="center" o:hrstd="t" o:hr="t"/>
        </w:pict>
      </w:r>
    </w:p>
    <w:p>
      <w:pPr>
        <w:pStyle w:val="FirstParagraph"/>
      </w:pPr>
      <w:r>
        <w:rPr>
          <w:b/>
          <w:bCs/>
        </w:rPr>
        <w:t xml:space="preserve">Purpose.</w:t>
      </w:r>
      <w:r>
        <w:t xml:space="preserve"> </w:t>
      </w:r>
      <w:r>
        <w:t xml:space="preserve">This memorandum accompanies the settlement statement prepared for the above-referenced closing. It identifies (A) discrepancies among the closing documents, (B) assumptions made in preparing the settlement statement where the record is silent or ambiguous, and (C) items requiring confirmation or post-closing action. Each item is keyed to the source document and, where applicable, to the affected settlement-statement line. The settlement statement should be read together with this memo.</w:t>
      </w:r>
    </w:p>
    <w:p>
      <w:r>
        <w:pict>
          <v:rect style="width:0;height:1.5pt" o:hralign="center" o:hrstd="t" o:hr="t"/>
        </w:pict>
      </w:r>
    </w:p>
    <w:bookmarkEnd w:id="20"/>
    <w:bookmarkStart w:id="30" w:name="a.-discrepancies-among-closing-documents"/>
    <w:p>
      <w:pPr>
        <w:pStyle w:val="Heading2"/>
      </w:pPr>
      <w:r>
        <w:t xml:space="preserve">A. DISCREPANCIES AMONG CLOSING DOCUMENTS</w:t>
      </w:r>
    </w:p>
    <w:bookmarkStart w:id="21" w:name="a-1.-title-commitment-number-mismatch"/>
    <w:p>
      <w:pPr>
        <w:pStyle w:val="Heading3"/>
      </w:pPr>
      <w:r>
        <w:t xml:space="preserve">A-1. Title commitment number mismatch</w:t>
      </w:r>
    </w:p>
    <w:p>
      <w:pPr>
        <w:pStyle w:val="FirstParagraph"/>
      </w:pPr>
      <w:r>
        <w:t xml:space="preserve">The Purchase &amp; Sale Agreement (Section 5.1) references the title commitment as</w:t>
      </w:r>
      <w:r>
        <w:t xml:space="preserve"> </w:t>
      </w:r>
      <w:r>
        <w:t xml:space="preserve">“</w:t>
      </w:r>
      <w:r>
        <w:t xml:space="preserve">Commitment No. PCT-2025-08814,</w:t>
      </w:r>
      <w:r>
        <w:t xml:space="preserve">”</w:t>
      </w:r>
      <w:r>
        <w:t xml:space="preserve"> </w:t>
      </w:r>
      <w:r>
        <w:t xml:space="preserve">dated April 30, 2025. The actual title commitment delivered by Pinnacle Abstract &amp; Title LLC bears Commitment No. </w:t>
      </w:r>
      <w:r>
        <w:rPr>
          <w:b/>
          <w:bCs/>
        </w:rPr>
        <w:t xml:space="preserve">TC-2025-07182</w:t>
      </w:r>
      <w:r>
        <w:t xml:space="preserve">, effective June 18, 2025. The commitment number and effective date in the PSA do not match the commitment in the closing file. The settlement statement uses the actual commitment (TC-2025-07182).</w:t>
      </w:r>
      <w:r>
        <w:t xml:space="preserve"> </w:t>
      </w:r>
      <w:r>
        <w:rPr>
          <w:b/>
          <w:bCs/>
        </w:rPr>
        <w:t xml:space="preserve">Action:</w:t>
      </w:r>
      <w:r>
        <w:t xml:space="preserve"> </w:t>
      </w:r>
      <w:r>
        <w:t xml:space="preserve">Confirm with the Title Company that TC-2025-07182 is the operative commitment and that no separate commitment PCT-2025-08814 exists or was superseded.</w:t>
      </w:r>
    </w:p>
    <w:bookmarkEnd w:id="21"/>
    <w:bookmarkStart w:id="22" w:name="X58c6b0470adb2e7cea169cad9dcae56335deff8"/>
    <w:p>
      <w:pPr>
        <w:pStyle w:val="Heading3"/>
      </w:pPr>
      <w:r>
        <w:t xml:space="preserve">A-2. Title insurer name inconsistency within the title commitment</w:t>
      </w:r>
    </w:p>
    <w:p>
      <w:pPr>
        <w:pStyle w:val="FirstParagraph"/>
      </w:pPr>
      <w:r>
        <w:t xml:space="preserve">The title commitment header states it is issued</w:t>
      </w:r>
      <w:r>
        <w:t xml:space="preserve"> </w:t>
      </w:r>
      <w:r>
        <w:t xml:space="preserve">“</w:t>
      </w:r>
      <w:r>
        <w:t xml:space="preserve">on behalf of</w:t>
      </w:r>
      <w:r>
        <w:t xml:space="preserve"> </w:t>
      </w:r>
      <w:r>
        <w:rPr>
          <w:b/>
          <w:bCs/>
        </w:rPr>
        <w:t xml:space="preserve">Continental Fiducial Title Insurance Company</w:t>
      </w:r>
      <w:r>
        <w:t xml:space="preserve">,</w:t>
      </w:r>
      <w:r>
        <w:t xml:space="preserve">”</w:t>
      </w:r>
      <w:r>
        <w:t xml:space="preserve"> </w:t>
      </w:r>
      <w:r>
        <w:t xml:space="preserve">but the body and Conditions &amp; Stipulations refer to</w:t>
      </w:r>
      <w:r>
        <w:t xml:space="preserve"> </w:t>
      </w:r>
      <w:r>
        <w:t xml:space="preserve">“</w:t>
      </w:r>
      <w:r>
        <w:rPr>
          <w:b/>
          <w:bCs/>
        </w:rPr>
        <w:t xml:space="preserve">Continental Hartleigh Title Insurance Company</w:t>
      </w:r>
      <w:r>
        <w:t xml:space="preserve">”</w:t>
      </w:r>
      <w:r>
        <w:t xml:space="preserve"> </w:t>
      </w:r>
      <w:r>
        <w:t xml:space="preserve">as</w:t>
      </w:r>
      <w:r>
        <w:t xml:space="preserve"> </w:t>
      </w:r>
      <w:r>
        <w:t xml:space="preserve">“</w:t>
      </w:r>
      <w:r>
        <w:t xml:space="preserve">the Company.</w:t>
      </w:r>
      <w:r>
        <w:t xml:space="preserve">”</w:t>
      </w:r>
      <w:r>
        <w:t xml:space="preserve"> </w:t>
      </w:r>
      <w:r>
        <w:t xml:space="preserve">The countersignature block again references</w:t>
      </w:r>
      <w:r>
        <w:t xml:space="preserve"> </w:t>
      </w:r>
      <w:r>
        <w:t xml:space="preserve">“</w:t>
      </w:r>
      <w:r>
        <w:t xml:space="preserve">Continental Fiducial Title Insurance Company.</w:t>
      </w:r>
      <w:r>
        <w:t xml:space="preserve">”</w:t>
      </w:r>
      <w:r>
        <w:t xml:space="preserve"> </w:t>
      </w:r>
      <w:r>
        <w:t xml:space="preserve">It is unclear whether the underwriter is Continental Fiducity or Continental Hartleigh.</w:t>
      </w:r>
      <w:r>
        <w:t xml:space="preserve"> </w:t>
      </w:r>
      <w:r>
        <w:rPr>
          <w:b/>
          <w:bCs/>
        </w:rPr>
        <w:t xml:space="preserve">Action:</w:t>
      </w:r>
      <w:r>
        <w:t xml:space="preserve"> </w:t>
      </w:r>
      <w:r>
        <w:t xml:space="preserve">Confirm the correct legal name of the title insurer for the owner’s and lender’s policies; correct the commitment and policy forms as needed.</w:t>
      </w:r>
    </w:p>
    <w:bookmarkEnd w:id="22"/>
    <w:bookmarkStart w:id="23" w:name="X5949cd1ff8a82e2d9b69dd4888fc00caa0da725"/>
    <w:p>
      <w:pPr>
        <w:pStyle w:val="Heading3"/>
      </w:pPr>
      <w:r>
        <w:t xml:space="preserve">A-3. Recording references for liens differ between title commitment and payoff letters</w:t>
      </w:r>
    </w:p>
    <w:p>
      <w:pPr>
        <w:pStyle w:val="FirstParagraph"/>
      </w:pPr>
      <w:r>
        <w:t xml:space="preserve">The recording references (volume/page) for the existing liens are inconsistent between the title commitment (Schedule B-I) and the lien payoff letter compilation prepared by Seller’s counsel: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Lien</w:t>
            </w:r>
          </w:p>
        </w:tc>
        <w:tc>
          <w:tcPr/>
          <w:p>
            <w:pPr>
              <w:pStyle w:val="Compact"/>
              <w:jc w:val="left"/>
            </w:pPr>
            <w:r>
              <w:t xml:space="preserve">Title Commitment Reference</w:t>
            </w:r>
          </w:p>
        </w:tc>
        <w:tc>
          <w:tcPr/>
          <w:p>
            <w:pPr>
              <w:pStyle w:val="Compact"/>
              <w:jc w:val="left"/>
            </w:pPr>
            <w:r>
              <w:t xml:space="preserve">Payoff Letter / Summary Reference</w:t>
            </w:r>
          </w:p>
        </w:tc>
      </w:tr>
      <w:tr>
        <w:tc>
          <w:tcPr/>
          <w:p>
            <w:pPr>
              <w:pStyle w:val="Compact"/>
              <w:jc w:val="left"/>
            </w:pPr>
            <w:r>
              <w:t xml:space="preserve">Harborstone 1st Mortgage</w:t>
            </w:r>
          </w:p>
        </w:tc>
        <w:tc>
          <w:tcPr/>
          <w:p>
            <w:pPr>
              <w:pStyle w:val="Compact"/>
              <w:jc w:val="left"/>
            </w:pPr>
            <w:r>
              <w:t xml:space="preserve">Vol. 1087, Pg. 445</w:t>
            </w:r>
          </w:p>
        </w:tc>
        <w:tc>
          <w:tcPr/>
          <w:p>
            <w:pPr>
              <w:pStyle w:val="Compact"/>
              <w:jc w:val="left"/>
            </w:pPr>
            <w:r>
              <w:t xml:space="preserve">Vol. 312, Pg. 88</w:t>
            </w:r>
            <w:r>
              <w:t xml:space="preserve"> </w:t>
            </w:r>
            <w:r>
              <w:rPr>
                <w:i/>
                <w:iCs/>
              </w:rPr>
              <w:t xml:space="preserve">(this is the property plat/deed reference, not the mortgage)</w:t>
            </w:r>
          </w:p>
        </w:tc>
      </w:tr>
      <w:tr>
        <w:tc>
          <w:tcPr/>
          <w:p>
            <w:pPr>
              <w:pStyle w:val="Compact"/>
              <w:jc w:val="left"/>
            </w:pPr>
            <w:r>
              <w:t xml:space="preserve">Harborstone HELOC</w:t>
            </w:r>
          </w:p>
        </w:tc>
        <w:tc>
          <w:tcPr/>
          <w:p>
            <w:pPr>
              <w:pStyle w:val="Compact"/>
              <w:jc w:val="left"/>
            </w:pPr>
            <w:r>
              <w:t xml:space="preserve">Vol. 1204, Pg. 218</w:t>
            </w:r>
          </w:p>
        </w:tc>
        <w:tc>
          <w:tcPr/>
          <w:p>
            <w:pPr>
              <w:pStyle w:val="Compact"/>
              <w:jc w:val="left"/>
            </w:pPr>
            <w:r>
              <w:t xml:space="preserve">Vol. 487, Pg. 112</w:t>
            </w:r>
          </w:p>
        </w:tc>
      </w:tr>
      <w:tr>
        <w:tc>
          <w:tcPr/>
          <w:p>
            <w:pPr>
              <w:pStyle w:val="Compact"/>
              <w:jc w:val="left"/>
            </w:pPr>
            <w:r>
              <w:t xml:space="preserve">Northbridge Mechanic’s Lien</w:t>
            </w:r>
          </w:p>
        </w:tc>
        <w:tc>
          <w:tcPr/>
          <w:p>
            <w:pPr>
              <w:pStyle w:val="Compact"/>
              <w:jc w:val="left"/>
            </w:pPr>
            <w:r>
              <w:t xml:space="preserve">Vol. 1398, Pg. 77</w:t>
            </w:r>
          </w:p>
        </w:tc>
        <w:tc>
          <w:tcPr/>
          <w:p>
            <w:pPr>
              <w:pStyle w:val="Compact"/>
              <w:jc w:val="left"/>
            </w:pPr>
            <w:r>
              <w:t xml:space="preserve">Vol. 1064, Pg. 517</w:t>
            </w:r>
          </w:p>
        </w:tc>
      </w:tr>
      <w:tr>
        <w:tc>
          <w:tcPr/>
          <w:p>
            <w:pPr>
              <w:pStyle w:val="Compact"/>
              <w:jc w:val="left"/>
            </w:pPr>
            <w:r>
              <w:t xml:space="preserve">CT DRS Estate Tax Lien</w:t>
            </w:r>
          </w:p>
        </w:tc>
        <w:tc>
          <w:tcPr/>
          <w:p>
            <w:pPr>
              <w:pStyle w:val="Compact"/>
              <w:jc w:val="left"/>
            </w:pPr>
            <w:r>
              <w:rPr>
                <w:i/>
                <w:iCs/>
              </w:rPr>
              <w:t xml:space="preserve">(not specified)</w:t>
            </w:r>
          </w:p>
        </w:tc>
        <w:tc>
          <w:tcPr/>
          <w:p>
            <w:pPr>
              <w:pStyle w:val="Compact"/>
              <w:jc w:val="left"/>
            </w:pPr>
            <w:r>
              <w:t xml:space="preserve">Vol. 1087, Pg. 234</w:t>
            </w:r>
          </w:p>
        </w:tc>
      </w:tr>
    </w:tbl>
    <w:p>
      <w:pPr>
        <w:pStyle w:val="BodyText"/>
      </w:pPr>
      <w:r>
        <w:t xml:space="preserve">The payoff letter for the first mortgage incorrectly cites</w:t>
      </w:r>
      <w:r>
        <w:t xml:space="preserve"> </w:t>
      </w:r>
      <w:r>
        <w:t xml:space="preserve">“</w:t>
      </w:r>
      <w:r>
        <w:t xml:space="preserve">Volume 312, Page 88</w:t>
      </w:r>
      <w:r>
        <w:t xml:space="preserve">”</w:t>
      </w:r>
      <w:r>
        <w:t xml:space="preserve"> </w:t>
      </w:r>
      <w:r>
        <w:t xml:space="preserve">as the mortgage recording reference — that volume/page is the Bridgeport Harbor Redevelopment Plat (the property’s legal description), not the mortgage recording.</w:t>
      </w:r>
      <w:r>
        <w:t xml:space="preserve"> </w:t>
      </w:r>
      <w:r>
        <w:rPr>
          <w:b/>
          <w:bCs/>
        </w:rPr>
        <w:t xml:space="preserve">Action:</w:t>
      </w:r>
      <w:r>
        <w:t xml:space="preserve"> </w:t>
      </w:r>
      <w:r>
        <w:t xml:space="preserve">Reconcile the correct recording references with the Bridgeport Land Records before recording releases; ensure each release instrument cites the correct volume/page of the lien it discharges. The settlement statement’s payoff amounts are unaffected, but the release instruments must reference the correct recordings.</w:t>
      </w:r>
    </w:p>
    <w:bookmarkEnd w:id="23"/>
    <w:bookmarkStart w:id="24" w:name="X11dbbc25136e1b049a93148f8fe185e72996884"/>
    <w:p>
      <w:pPr>
        <w:pStyle w:val="Heading3"/>
      </w:pPr>
      <w:r>
        <w:t xml:space="preserve">A-4. Utility bill treatment — PSA vs. municipal lien certificate</w:t>
      </w:r>
    </w:p>
    <w:p>
      <w:pPr>
        <w:pStyle w:val="FirstParagraph"/>
      </w:pPr>
      <w:r>
        <w:t xml:space="preserve">The PSA (Section 7.5(a)) directs that where a utility billing period ends on or before the Closing Date,</w:t>
      </w:r>
      <w:r>
        <w:t xml:space="preserve"> </w:t>
      </w:r>
      <w:r>
        <w:t xml:space="preserve">“</w:t>
      </w:r>
      <w:r>
        <w:t xml:space="preserve">the full unpaid balance shall be credited to Buyer on the settlement statement.</w:t>
      </w:r>
      <w:r>
        <w:t xml:space="preserve">”</w:t>
      </w:r>
      <w:r>
        <w:t xml:space="preserve"> </w:t>
      </w:r>
      <w:r>
        <w:t xml:space="preserve">The water/sewer billing period (May 15 – July 14, 2025) ends July 14, one day before closing, so the entire $1,847.60 is Seller’s responsibility. However, both the utility account statement and the municipal tax status certificate (No. TLC-2025-04892) state that this balance</w:t>
      </w:r>
      <w:r>
        <w:t xml:space="preserve"> </w:t>
      </w:r>
      <w:r>
        <w:t xml:space="preserve">“</w:t>
      </w:r>
      <w:r>
        <w:t xml:space="preserve">must be satisfied at or before closing,</w:t>
      </w:r>
      <w:r>
        <w:t xml:space="preserve">”</w:t>
      </w:r>
      <w:r>
        <w:t xml:space="preserve"> </w:t>
      </w:r>
      <w:r>
        <w:t xml:space="preserve">even though the bill is not due until August 1, 2025. The settlement statement follows the PSA (debit Seller / credit Buyer, Lines 508/204).</w:t>
      </w:r>
      <w:r>
        <w:t xml:space="preserve"> </w:t>
      </w:r>
      <w:r>
        <w:rPr>
          <w:b/>
          <w:bCs/>
        </w:rPr>
        <w:t xml:space="preserve">Action:</w:t>
      </w:r>
      <w:r>
        <w:t xml:space="preserve"> </w:t>
      </w:r>
      <w:r>
        <w:t xml:space="preserve">The Closing Agent should confirm whether the WPCA bill is paid directly from Seller’s proceeds at closing (satisfying the municipal lien certificate) or credited to Buyer for post-closing payment. If paid directly from Seller’s proceeds, the credit to Buyer (Line 204) should be removed and Buyer’s cash adjusted upward by $1,847.60; the reconciliation remains balanced either way.</w:t>
      </w:r>
    </w:p>
    <w:bookmarkEnd w:id="24"/>
    <w:bookmarkStart w:id="25" w:name="X46c145535cb04bb132a937d078734968cf9a435"/>
    <w:p>
      <w:pPr>
        <w:pStyle w:val="Heading3"/>
      </w:pPr>
      <w:r>
        <w:t xml:space="preserve">A-5. First mortgage per diem interest rate appears inconsistent with stated rate</w:t>
      </w:r>
    </w:p>
    <w:p>
      <w:pPr>
        <w:pStyle w:val="FirstParagraph"/>
      </w:pPr>
      <w:r>
        <w:t xml:space="preserve">The first mortgage payoff statement shows accrued interest of $73.07/day for the 12-day period (consistent with 3.875% on the ~$685,921 balance: $685,921 × 3.875% ÷ 365 ≈ $72.83/day). However, the stated per diem after the good-through date is</w:t>
      </w:r>
      <w:r>
        <w:t xml:space="preserve"> </w:t>
      </w:r>
      <w:r>
        <w:rPr>
          <w:b/>
          <w:bCs/>
        </w:rPr>
        <w:t xml:space="preserve">$112.67/day</w:t>
      </w:r>
      <w:r>
        <w:t xml:space="preserve">, which implies an effective rate of approximately 5.99% — inconsistent with the stated 3.875% fixed rate. The payoff letter attributes this to</w:t>
      </w:r>
      <w:r>
        <w:t xml:space="preserve"> </w:t>
      </w:r>
      <w:r>
        <w:t xml:space="preserve">“</w:t>
      </w:r>
      <w:r>
        <w:t xml:space="preserve">the higher daily interest accrual rate that applies to the declining principal balance,</w:t>
      </w:r>
      <w:r>
        <w:t xml:space="preserve">”</w:t>
      </w:r>
      <w:r>
        <w:t xml:space="preserve"> </w:t>
      </w:r>
      <w:r>
        <w:t xml:space="preserve">which does not explain a higher (not lower) per diem.</w:t>
      </w:r>
      <w:r>
        <w:t xml:space="preserve"> </w:t>
      </w:r>
      <w:r>
        <w:rPr>
          <w:b/>
          <w:bCs/>
        </w:rPr>
        <w:t xml:space="preserve">Impact on settlement:</w:t>
      </w:r>
      <w:r>
        <w:t xml:space="preserve"> </w:t>
      </w:r>
      <w:r>
        <w:t xml:space="preserve">None, because closing (July 15) falls within the good-through period (through July 20) and no per diem adjustment is required.</w:t>
      </w:r>
      <w:r>
        <w:t xml:space="preserve"> </w:t>
      </w:r>
      <w:r>
        <w:rPr>
          <w:b/>
          <w:bCs/>
        </w:rPr>
        <w:t xml:space="preserve">Action:</w:t>
      </w:r>
      <w:r>
        <w:t xml:space="preserve"> </w:t>
      </w:r>
      <w:r>
        <w:t xml:space="preserve">If closing is delayed beyond July 20, 2025, obtain a corrected/updated payoff statement and verify the per diem before disbursing additional interest.</w:t>
      </w:r>
    </w:p>
    <w:bookmarkEnd w:id="25"/>
    <w:bookmarkStart w:id="26" w:name="X3c9c58f09114947072ad9d7f7a8dcd503f3898c"/>
    <w:p>
      <w:pPr>
        <w:pStyle w:val="Heading3"/>
      </w:pPr>
      <w:r>
        <w:t xml:space="preserve">A-6. Address inconsistencies for Closing Agent and Buyer’s counsel</w:t>
      </w:r>
    </w:p>
    <w:p>
      <w:pPr>
        <w:pStyle w:val="FirstParagraph"/>
      </w:pPr>
      <w:r>
        <w:t xml:space="preserve">The closing documents contain multiple, inconsistent addresses for the same parties: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Party</w:t>
            </w:r>
          </w:p>
        </w:tc>
        <w:tc>
          <w:tcPr/>
          <w:p>
            <w:pPr>
              <w:pStyle w:val="Compact"/>
              <w:jc w:val="left"/>
            </w:pPr>
            <w:r>
              <w:t xml:space="preserve">PSA / Title Commitment</w:t>
            </w:r>
          </w:p>
        </w:tc>
        <w:tc>
          <w:tcPr/>
          <w:p>
            <w:pPr>
              <w:pStyle w:val="Compact"/>
              <w:jc w:val="left"/>
            </w:pPr>
            <w:r>
              <w:t xml:space="preserve">Lien Payoff Letter</w:t>
            </w:r>
          </w:p>
        </w:tc>
        <w:tc>
          <w:tcPr/>
          <w:p>
            <w:pPr>
              <w:pStyle w:val="Compact"/>
              <w:jc w:val="left"/>
            </w:pPr>
            <w:r>
              <w:t xml:space="preserve">Tax Lien Certificate</w:t>
            </w:r>
          </w:p>
        </w:tc>
      </w:tr>
      <w:tr>
        <w:tc>
          <w:tcPr/>
          <w:p>
            <w:pPr>
              <w:pStyle w:val="Compact"/>
              <w:jc w:val="left"/>
            </w:pPr>
            <w:r>
              <w:t xml:space="preserve">Pinnacle Abstract &amp; Title LLC</w:t>
            </w:r>
          </w:p>
        </w:tc>
        <w:tc>
          <w:tcPr/>
          <w:p>
            <w:pPr>
              <w:pStyle w:val="Compact"/>
              <w:jc w:val="left"/>
            </w:pPr>
            <w:r>
              <w:t xml:space="preserve">88 Field Point Road, Greenwich, CT 06830</w:t>
            </w:r>
          </w:p>
        </w:tc>
        <w:tc>
          <w:tcPr/>
          <w:p>
            <w:pPr>
              <w:pStyle w:val="Compact"/>
              <w:jc w:val="left"/>
            </w:pPr>
            <w:r>
              <w:t xml:space="preserve">3100 Main Street, Suite 204, Bridgeport, CT 06604</w:t>
            </w:r>
          </w:p>
        </w:tc>
        <w:tc>
          <w:tcPr/>
          <w:p>
            <w:pPr>
              <w:pStyle w:val="Compact"/>
              <w:jc w:val="left"/>
            </w:pPr>
            <w:r>
              <w:t xml:space="preserve">1200 Post Road East, Suite 214, Westport, CT 06880</w:t>
            </w:r>
          </w:p>
        </w:tc>
      </w:tr>
      <w:tr>
        <w:tc>
          <w:tcPr/>
          <w:p>
            <w:pPr>
              <w:pStyle w:val="Compact"/>
              <w:jc w:val="left"/>
            </w:pPr>
            <w:r>
              <w:t xml:space="preserve">Ridgeline Law Group PLLC (Buyer’s Counsel)</w:t>
            </w:r>
          </w:p>
        </w:tc>
        <w:tc>
          <w:tcPr/>
          <w:p>
            <w:pPr>
              <w:pStyle w:val="Compact"/>
              <w:jc w:val="left"/>
            </w:pPr>
            <w:r>
              <w:t xml:space="preserve">915 Chapel Street, Suite 400, New Haven, CT 06510</w:t>
            </w:r>
          </w:p>
        </w:tc>
        <w:tc>
          <w:tcPr/>
          <w:p>
            <w:pPr>
              <w:pStyle w:val="Compact"/>
              <w:jc w:val="left"/>
            </w:pPr>
            <w:r>
              <w:t xml:space="preserve">55 Railroad Avenue, Suite 300, Greenwich, CT 06830</w:t>
            </w:r>
          </w:p>
        </w:tc>
        <w:tc>
          <w:tcPr/>
          <w:p>
            <w:pPr>
              <w:pStyle w:val="Compact"/>
              <w:jc w:val="left"/>
            </w:pPr>
            <w:r>
              <w:t xml:space="preserve">915 Chapel Street, Suite 400, New Haven, CT 06510</w:t>
            </w:r>
          </w:p>
        </w:tc>
      </w:tr>
    </w:tbl>
    <w:p>
      <w:pPr>
        <w:pStyle w:val="BodyText"/>
      </w:pPr>
      <w:r>
        <w:rPr>
          <w:b/>
          <w:bCs/>
        </w:rPr>
        <w:t xml:space="preserve">Action:</w:t>
      </w:r>
      <w:r>
        <w:t xml:space="preserve"> </w:t>
      </w:r>
      <w:r>
        <w:t xml:space="preserve">Confirm the correct mailing/service addresses for the Closing Agent and Buyer’s counsel for purposes of wire instructions, document delivery, and post-closing correspondence. Wire instructions must be verified telephonically with a known contact regardless of the address listed.</w:t>
      </w:r>
    </w:p>
    <w:bookmarkEnd w:id="26"/>
    <w:bookmarkStart w:id="27" w:name="X563e26347c8f2b9ec58de3b63eb70511c27c10a"/>
    <w:p>
      <w:pPr>
        <w:pStyle w:val="Heading3"/>
      </w:pPr>
      <w:r>
        <w:t xml:space="preserve">A-7. Escrow shortage included in first mortgage payoff</w:t>
      </w:r>
    </w:p>
    <w:p>
      <w:pPr>
        <w:pStyle w:val="FirstParagraph"/>
      </w:pPr>
      <w:r>
        <w:t xml:space="preserve">The Harborstone first mortgage payoff of $687,412.33 includes a $539.00</w:t>
      </w:r>
      <w:r>
        <w:t xml:space="preserve"> </w:t>
      </w:r>
      <w:r>
        <w:t xml:space="preserve">“</w:t>
      </w:r>
      <w:r>
        <w:t xml:space="preserve">Escrow Shortage / Deficiency</w:t>
      </w:r>
      <w:r>
        <w:t xml:space="preserve">”</w:t>
      </w:r>
      <w:r>
        <w:t xml:space="preserve"> </w:t>
      </w:r>
      <w:r>
        <w:t xml:space="preserve">and a $75.00</w:t>
      </w:r>
      <w:r>
        <w:t xml:space="preserve"> </w:t>
      </w:r>
      <w:r>
        <w:t xml:space="preserve">“</w:t>
      </w:r>
      <w:r>
        <w:t xml:space="preserve">Release / Reconveyance Preparation Fee</w:t>
      </w:r>
      <w:r>
        <w:t xml:space="preserve">”</w:t>
      </w:r>
      <w:r>
        <w:t xml:space="preserve"> </w:t>
      </w:r>
      <w:r>
        <w:t xml:space="preserve">in addition to the unpaid principal balance ($685,921.44) and accrued interest ($876.89). These are included in the total payoff disbursed from Seller’s proceeds (Line 501). The $75.00 release preparation fee is distinct from the $73.00 recording fee for the release (Line 511).</w:t>
      </w:r>
      <w:r>
        <w:t xml:space="preserve"> </w:t>
      </w:r>
      <w:r>
        <w:rPr>
          <w:b/>
          <w:bCs/>
        </w:rPr>
        <w:t xml:space="preserve">Note:</w:t>
      </w:r>
      <w:r>
        <w:t xml:space="preserve"> </w:t>
      </w:r>
      <w:r>
        <w:t xml:space="preserve">Confirm with Seller’s counsel that the escrow shortage is properly the Estate’s obligation and that no escrow refund will be due to the Estate post-payoff (the payoff letter states overpayments are refunded to the Estate).</w:t>
      </w:r>
    </w:p>
    <w:bookmarkEnd w:id="27"/>
    <w:bookmarkStart w:id="28" w:name="X5d8eec038d39ff1f75c84356354cbf8a0318939"/>
    <w:p>
      <w:pPr>
        <w:pStyle w:val="Heading3"/>
      </w:pPr>
      <w:r>
        <w:t xml:space="preserve">A-8. Letters Testamentary issuance date — title commitment vs. probate certificate</w:t>
      </w:r>
    </w:p>
    <w:p>
      <w:pPr>
        <w:pStyle w:val="FirstParagraph"/>
      </w:pPr>
      <w:r>
        <w:t xml:space="preserve">The title commitment (Schedule A, Section A-1) states that</w:t>
      </w:r>
      <w:r>
        <w:t xml:space="preserve"> </w:t>
      </w:r>
      <w:r>
        <w:t xml:space="preserve">“</w:t>
      </w:r>
      <w:r>
        <w:t xml:space="preserve">Letters Testamentary were issued to Claudia Whitford-Barnes</w:t>
      </w:r>
      <w:r>
        <w:t xml:space="preserve"> </w:t>
      </w:r>
      <w:r>
        <w:rPr>
          <w:b/>
          <w:bCs/>
        </w:rPr>
        <w:t xml:space="preserve">on or about October 14, 2024</w:t>
      </w:r>
      <w:r>
        <w:t xml:space="preserve">.</w:t>
      </w:r>
      <w:r>
        <w:t xml:space="preserve">”</w:t>
      </w:r>
      <w:r>
        <w:t xml:space="preserve"> </w:t>
      </w:r>
      <w:r>
        <w:t xml:space="preserve">The Fiduciary’s Certificate issued by the Fairfield County Probate Court states that the Will was admitted to probate</w:t>
      </w:r>
      <w:r>
        <w:t xml:space="preserve"> </w:t>
      </w:r>
      <w:r>
        <w:t xml:space="preserve">“</w:t>
      </w:r>
      <w:r>
        <w:t xml:space="preserve">on or about October 11, 2024, and Letters Testamentary were issued to Claudia Whitford-Barnes on that same date</w:t>
      </w:r>
      <w:r>
        <w:t xml:space="preserve">”</w:t>
      </w:r>
      <w:r>
        <w:t xml:space="preserve"> </w:t>
      </w:r>
      <w:r>
        <w:t xml:space="preserve">(i.e.,</w:t>
      </w:r>
      <w:r>
        <w:t xml:space="preserve"> </w:t>
      </w:r>
      <w:r>
        <w:rPr>
          <w:b/>
          <w:bCs/>
        </w:rPr>
        <w:t xml:space="preserve">October 11, 2024</w:t>
      </w:r>
      <w:r>
        <w:t xml:space="preserve">), and the Estate Summary enclosure list likewise states</w:t>
      </w:r>
      <w:r>
        <w:t xml:space="preserve"> </w:t>
      </w:r>
      <w:r>
        <w:t xml:space="preserve">“</w:t>
      </w:r>
      <w:r>
        <w:t xml:space="preserve">Letters Testamentary (issued October 11, 2024).</w:t>
      </w:r>
      <w:r>
        <w:t xml:space="preserve">”</w:t>
      </w:r>
      <w:r>
        <w:t xml:space="preserve"> </w:t>
      </w:r>
      <w:r>
        <w:t xml:space="preserve">The date of issuance is thus inconsistent between the title commitment (Oct. 14) and the probate court records (Oct. 11).</w:t>
      </w:r>
      <w:r>
        <w:t xml:space="preserve"> </w:t>
      </w:r>
      <w:r>
        <w:rPr>
          <w:b/>
          <w:bCs/>
        </w:rPr>
        <w:t xml:space="preserve">Impact on settlement:</w:t>
      </w:r>
      <w:r>
        <w:t xml:space="preserve"> </w:t>
      </w:r>
      <w:r>
        <w:t xml:space="preserve">None directly — the Executrix’s authority is confirmed regardless of which date is correct, and the fiduciary certificate (dated June 25, 2025) is well within the 60-day recency window (see C-3).</w:t>
      </w:r>
      <w:r>
        <w:t xml:space="preserve"> </w:t>
      </w:r>
      <w:r>
        <w:rPr>
          <w:b/>
          <w:bCs/>
        </w:rPr>
        <w:t xml:space="preserve">Action:</w:t>
      </w:r>
      <w:r>
        <w:t xml:space="preserve"> </w:t>
      </w:r>
      <w:r>
        <w:t xml:space="preserve">Confirm the correct issuance date with the Fairfield County Probate Court and correct the title commitment’s Schedule A if necessary; ensure the recorded fiduciary certificate and any title-policy schedules reflect the accurate date.</w:t>
      </w:r>
    </w:p>
    <w:bookmarkEnd w:id="28"/>
    <w:bookmarkStart w:id="29" w:name="X7b3a6a30fbd304ee6b2430ccd7a317a8e7ee42d"/>
    <w:p>
      <w:pPr>
        <w:pStyle w:val="Heading3"/>
      </w:pPr>
      <w:r>
        <w:t xml:space="preserve">A-9. Management agreement effective date — rent roll vs. management agreement</w:t>
      </w:r>
    </w:p>
    <w:p>
      <w:pPr>
        <w:pStyle w:val="FirstParagraph"/>
      </w:pPr>
      <w:r>
        <w:t xml:space="preserve">The rent roll / lease summary prepared by Bayshore Management Co. (report dated July 1, 2025) states in its footer that the</w:t>
      </w:r>
      <w:r>
        <w:t xml:space="preserve"> </w:t>
      </w:r>
      <w:r>
        <w:t xml:space="preserve">“</w:t>
      </w:r>
      <w:r>
        <w:t xml:space="preserve">Management Agreement effective October 1, 2024.</w:t>
      </w:r>
      <w:r>
        <w:t xml:space="preserve">”</w:t>
      </w:r>
      <w:r>
        <w:t xml:space="preserve"> </w:t>
      </w:r>
      <w:r>
        <w:t xml:space="preserve">The Property Management Agreement itself, however, is</w:t>
      </w:r>
      <w:r>
        <w:t xml:space="preserve"> </w:t>
      </w:r>
      <w:r>
        <w:t xml:space="preserve">“</w:t>
      </w:r>
      <w:r>
        <w:t xml:space="preserve">Dated as of October 15, 2024,</w:t>
      </w:r>
      <w:r>
        <w:t xml:space="preserve">”</w:t>
      </w:r>
      <w:r>
        <w:t xml:space="preserve"> </w:t>
      </w:r>
      <w:r>
        <w:t xml:space="preserve">and Section 3.1 expressly provides that the agreement is</w:t>
      </w:r>
      <w:r>
        <w:t xml:space="preserve"> </w:t>
      </w:r>
      <w:r>
        <w:t xml:space="preserve">“</w:t>
      </w:r>
      <w:r>
        <w:t xml:space="preserve">effective as of October 15, 2024 (the</w:t>
      </w:r>
      <w:r>
        <w:t xml:space="preserve"> </w:t>
      </w:r>
      <w:r>
        <w:t xml:space="preserve">‘</w:t>
      </w:r>
      <w:r>
        <w:t xml:space="preserve">Effective Date</w:t>
      </w:r>
      <w:r>
        <w:t xml:space="preserve">’</w:t>
      </w:r>
      <w:r>
        <w:t xml:space="preserve">).</w:t>
      </w:r>
      <w:r>
        <w:t xml:space="preserve">”</w:t>
      </w:r>
      <w:r>
        <w:t xml:space="preserve"> </w:t>
      </w:r>
      <w:r>
        <w:t xml:space="preserve">The management agreement’s stated effective date (October 15, 2024) is therefore two weeks later than the date shown on the rent roll (October 1, 2024).</w:t>
      </w:r>
      <w:r>
        <w:t xml:space="preserve"> </w:t>
      </w:r>
      <w:r>
        <w:rPr>
          <w:b/>
          <w:bCs/>
        </w:rPr>
        <w:t xml:space="preserve">Impact on settlement:</w:t>
      </w:r>
      <w:r>
        <w:t xml:space="preserve"> </w:t>
      </w:r>
      <w:r>
        <w:t xml:space="preserve">None directly — the termination fee ($4,500.00, Line 515) and termination effective date (July 15, 2025) are unaffected.</w:t>
      </w:r>
      <w:r>
        <w:t xml:space="preserve"> </w:t>
      </w:r>
      <w:r>
        <w:rPr>
          <w:b/>
          <w:bCs/>
        </w:rPr>
        <w:t xml:space="preserve">Action:</w:t>
      </w:r>
      <w:r>
        <w:t xml:space="preserve"> </w:t>
      </w:r>
      <w:r>
        <w:t xml:space="preserve">Confirm the correct effective date of the management agreement; if the agreement was in fact effective October 1, 2024, the rent roll is correct and the agreement’s recitals/Section 3.1 should be reviewed for a scrivener’s error. This bears on the calculation of any management fees accrued during the estate administration period but does not affect the closing figures.</w:t>
      </w:r>
    </w:p>
    <w:p>
      <w:r>
        <w:pict>
          <v:rect style="width:0;height:1.5pt" o:hralign="center" o:hrstd="t" o:hr="t"/>
        </w:pict>
      </w:r>
    </w:p>
    <w:bookmarkEnd w:id="29"/>
    <w:bookmarkEnd w:id="30"/>
    <w:bookmarkStart w:id="42" w:name="X9c627e1ba960b0221ba20148fe89b7a72a54a09"/>
    <w:p>
      <w:pPr>
        <w:pStyle w:val="Heading2"/>
      </w:pPr>
      <w:r>
        <w:t xml:space="preserve">B. ASSUMPTIONS MADE IN PREPARING THE SETTLEMENT STATEMENT</w:t>
      </w:r>
    </w:p>
    <w:bookmarkStart w:id="31" w:name="Xa15e4f537b7544c9452998957b504fd2180083f"/>
    <w:p>
      <w:pPr>
        <w:pStyle w:val="Heading3"/>
      </w:pPr>
      <w:r>
        <w:t xml:space="preserve">B-1. Accrued interest on earnest money — not quantified (Line 200a)</w:t>
      </w:r>
    </w:p>
    <w:p>
      <w:pPr>
        <w:pStyle w:val="FirstParagraph"/>
      </w:pPr>
      <w:r>
        <w:t xml:space="preserve">The PSA (Sections 3.2(d), 3.2(e)) requires the Earnest Money ($195,000.00) to be held in an interest-bearing account, with all accrued interest credited to Buyer at closing and applied against the Purchase Price. No document in the closing file states the interest amount earned on the First Deposit (held since April 24, 2025) or the Second Deposit (held since May 22, 2025).</w:t>
      </w:r>
      <w:r>
        <w:t xml:space="preserve"> </w:t>
      </w:r>
      <w:r>
        <w:rPr>
          <w:b/>
          <w:bCs/>
        </w:rPr>
        <w:t xml:space="preserve">Assumption:</w:t>
      </w:r>
      <w:r>
        <w:t xml:space="preserve"> </w:t>
      </w:r>
      <w:r>
        <w:t xml:space="preserve">The settlement statement credits $195,000.00 as earnest money with $0.00 accrued interest (Line 200a). When the Escrow Agent confirms the accrued interest, it shall be added as a credit to Buyer (Line 200a) and a corresponding debit to Seller, reducing Buyer’s cash at closing and Seller’s net proceeds by equal amounts.</w:t>
      </w:r>
    </w:p>
    <w:bookmarkEnd w:id="31"/>
    <w:bookmarkStart w:id="32" w:name="X5733c134b24509c3ccc1f4991a0b79d7d36e028"/>
    <w:p>
      <w:pPr>
        <w:pStyle w:val="Heading3"/>
      </w:pPr>
      <w:r>
        <w:t xml:space="preserve">B-2. Accrued interest on residential security deposits — not quantified (Lines 203a / 507a)</w:t>
      </w:r>
    </w:p>
    <w:p>
      <w:pPr>
        <w:pStyle w:val="FirstParagraph"/>
      </w:pPr>
      <w:r>
        <w:t xml:space="preserve">The PSA (Section 7.4(a)) requires transfer of security deposits</w:t>
      </w:r>
      <w:r>
        <w:t xml:space="preserve"> </w:t>
      </w:r>
      <w:r>
        <w:t xml:space="preserve">“</w:t>
      </w:r>
      <w:r>
        <w:t xml:space="preserve">together with any interest accrued thereon as required by applicable law.</w:t>
      </w:r>
      <w:r>
        <w:t xml:space="preserve">”</w:t>
      </w:r>
      <w:r>
        <w:t xml:space="preserve"> </w:t>
      </w:r>
      <w:r>
        <w:t xml:space="preserve">Connecticut General Statutes § 47a-21 requires interest on residential security deposits. The rent roll/security deposit schedule confirms residential deposits are held in an interest-bearing escrow account at Harborstone Federal Credit Union, but states no interest amount. The commercial deposit ($14,400.00) is held in a non-interest-bearing account per the management agreement (Section 6.2) and the commercial lease, so no interest accrues on it.</w:t>
      </w:r>
      <w:r>
        <w:t xml:space="preserve"> </w:t>
      </w:r>
      <w:r>
        <w:rPr>
          <w:b/>
          <w:bCs/>
        </w:rPr>
        <w:t xml:space="preserve">Assumption:</w:t>
      </w:r>
      <w:r>
        <w:t xml:space="preserve"> </w:t>
      </w:r>
      <w:r>
        <w:t xml:space="preserve">The settlement statement credits $32,400.00 in deposit principal only (Line 203), with $0.00 interest (Line 203a). When the Property Manager (Bayshore Management Co.) confirms the accrued interest on the 11 residential deposits, it shall be added as a credit to Buyer (Line 203a) and debit to Seller (Line 507a).</w:t>
      </w:r>
    </w:p>
    <w:bookmarkEnd w:id="32"/>
    <w:bookmarkStart w:id="33" w:name="X9b270b04d1473b62677b9d7944cf1d5b744a1d0"/>
    <w:p>
      <w:pPr>
        <w:pStyle w:val="Heading3"/>
      </w:pPr>
      <w:r>
        <w:t xml:space="preserve">B-3. Connecticut conveyance tax — estimated (Lines 512 / 900)</w:t>
      </w:r>
    </w:p>
    <w:p>
      <w:pPr>
        <w:pStyle w:val="FirstParagraph"/>
      </w:pPr>
      <w:r>
        <w:t xml:space="preserve">The total conveyance tax of $44,750.00 ($22,375.00 per party) is an estimate taken from the title commitment (Schedule C), stated to be</w:t>
      </w:r>
      <w:r>
        <w:t xml:space="preserve"> </w:t>
      </w:r>
      <w:r>
        <w:t xml:space="preserve">“</w:t>
      </w:r>
      <w:r>
        <w:t xml:space="preserve">calculated using the tiered rate structure applicable to the City of Bridgeport.</w:t>
      </w:r>
      <w:r>
        <w:t xml:space="preserve">”</w:t>
      </w:r>
      <w:r>
        <w:t xml:space="preserve"> </w:t>
      </w:r>
      <w:r>
        <w:t xml:space="preserve">The PSA (Article 12) provides that the tax be</w:t>
      </w:r>
      <w:r>
        <w:t xml:space="preserve"> </w:t>
      </w:r>
      <w:r>
        <w:t xml:space="preserve">“</w:t>
      </w:r>
      <w:r>
        <w:t xml:space="preserve">computed at the rate or rates applicable to the municipality</w:t>
      </w:r>
      <w:r>
        <w:t xml:space="preserve">”</w:t>
      </w:r>
      <w:r>
        <w:t xml:space="preserve"> </w:t>
      </w:r>
      <w:r>
        <w:t xml:space="preserve">and split 50/50. The actual amount will be determined upon preparation and filing of Form OP-236 by the Closing Agent.</w:t>
      </w:r>
      <w:r>
        <w:t xml:space="preserve"> </w:t>
      </w:r>
      <w:r>
        <w:rPr>
          <w:b/>
          <w:bCs/>
        </w:rPr>
        <w:t xml:space="preserve">Assumption:</w:t>
      </w:r>
      <w:r>
        <w:t xml:space="preserve"> </w:t>
      </w:r>
      <w:r>
        <w:t xml:space="preserve">The settlement statement uses the title commitment’s estimate. If the actual tax differs, each party’s 50% share is adjusted equally; the net effect on the reconciliation is zero (both sides move by the same amount).</w:t>
      </w:r>
    </w:p>
    <w:bookmarkEnd w:id="33"/>
    <w:bookmarkStart w:id="34" w:name="X07a208509c7db72dbad8d93e3126598a9303c3f"/>
    <w:p>
      <w:pPr>
        <w:pStyle w:val="Heading3"/>
      </w:pPr>
      <w:r>
        <w:t xml:space="preserve">B-4. FY 2025–2026 property tax — estimated using current year (Lines 205 / 509)</w:t>
      </w:r>
    </w:p>
    <w:p>
      <w:pPr>
        <w:pStyle w:val="FirstParagraph"/>
      </w:pPr>
      <w:r>
        <w:t xml:space="preserve">The municipal tax status certificate (Section 3) confirms that tax bills for the fiscal year commencing July 1, 2025 have not been issued and the new mill rate has not been set. Per PSA Section 7.1(b), the parties agreed to prorate using the current year’s tax of $52,480.00 as the estimate. The current-year levy is supported by the tax certificate’s stated assessed value of $1,205,330 and mill rate of 43.54 mills ($1,205,330 × 0.04354 = $52,480.13, rounded to $52,480.00).</w:t>
      </w:r>
      <w:r>
        <w:t xml:space="preserve"> </w:t>
      </w:r>
      <w:r>
        <w:rPr>
          <w:b/>
          <w:bCs/>
        </w:rPr>
        <w:t xml:space="preserve">Assumption:</w:t>
      </w:r>
      <w:r>
        <w:t xml:space="preserve"> </w:t>
      </w:r>
      <w:r>
        <w:t xml:space="preserve">The settlement statement uses $52,480.00 ÷ 365 = $143.7808/day, with Seller charged for 14 days ($2,012.93) and Buyer responsible for 351 days ($50,467.07). The parties shall reprorate within 90 days after closing when the actual bill is issued (PSA Section 7.7).</w:t>
      </w:r>
    </w:p>
    <w:bookmarkEnd w:id="34"/>
    <w:bookmarkStart w:id="35" w:name="X6f8282ee8de43a96d7ea853230728147470124f"/>
    <w:p>
      <w:pPr>
        <w:pStyle w:val="Heading3"/>
      </w:pPr>
      <w:r>
        <w:t xml:space="preserve">B-5. Rent proration methodology — per-lease aggregation (Lines 202 / 506)</w:t>
      </w:r>
    </w:p>
    <w:p>
      <w:pPr>
        <w:pStyle w:val="FirstParagraph"/>
      </w:pPr>
      <w:r>
        <w:t xml:space="preserve">The PSA (Section 7.2(d)) requires rents to be</w:t>
      </w:r>
      <w:r>
        <w:t xml:space="preserve"> </w:t>
      </w:r>
      <w:r>
        <w:t xml:space="preserve">“</w:t>
      </w:r>
      <w:r>
        <w:t xml:space="preserve">calculated separately for each lease and then aggregated into a single net proration amount.</w:t>
      </w:r>
      <w:r>
        <w:t xml:space="preserve">”</w:t>
      </w:r>
      <w:r>
        <w:t xml:space="preserve"> </w:t>
      </w:r>
      <w:r>
        <w:t xml:space="preserve">When calculated per-lease and aggregated, Seller’s share is $10,658.05 and Buyer’s share is $12,941.95. When calculated on the aggregate collected rent ($23,600.00 × 14/31 and × 17/31), Seller’s share would be $10,658.06 and Buyer’s share $12,941.94 — a $0.01 difference due to rounding.</w:t>
      </w:r>
      <w:r>
        <w:t xml:space="preserve"> </w:t>
      </w:r>
      <w:r>
        <w:rPr>
          <w:b/>
          <w:bCs/>
        </w:rPr>
        <w:t xml:space="preserve">Assumption:</w:t>
      </w:r>
      <w:r>
        <w:t xml:space="preserve"> </w:t>
      </w:r>
      <w:r>
        <w:t xml:space="preserve">The settlement statement uses the per-lease method as required by the PSA, yielding Buyer’s share of $12,941.95. The $0.01 difference is allocated to Buyer, consistent with the PSA’s rounding rule (Section 7.2(c):</w:t>
      </w:r>
      <w:r>
        <w:t xml:space="preserve"> </w:t>
      </w:r>
      <w:r>
        <w:t xml:space="preserve">“</w:t>
      </w:r>
      <w:r>
        <w:t xml:space="preserve">any remaining balance allocated to Buyer</w:t>
      </w:r>
      <w:r>
        <w:t xml:space="preserve">”</w:t>
      </w:r>
      <w:r>
        <w:t xml:space="preserve">).</w:t>
      </w:r>
    </w:p>
    <w:bookmarkEnd w:id="35"/>
    <w:bookmarkStart w:id="36" w:name="b-6.-no-brokerage-commission"/>
    <w:p>
      <w:pPr>
        <w:pStyle w:val="Heading3"/>
      </w:pPr>
      <w:r>
        <w:t xml:space="preserve">B-6. No brokerage commission</w:t>
      </w:r>
    </w:p>
    <w:p>
      <w:pPr>
        <w:pStyle w:val="FirstParagraph"/>
      </w:pPr>
      <w:r>
        <w:t xml:space="preserve">Per PSA Section 15.7, no broker, finder, or real estate agent was involved and no commission is due.</w:t>
      </w:r>
      <w:r>
        <w:t xml:space="preserve"> </w:t>
      </w:r>
      <w:r>
        <w:rPr>
          <w:b/>
          <w:bCs/>
        </w:rPr>
        <w:t xml:space="preserve">Assumption:</w:t>
      </w:r>
      <w:r>
        <w:t xml:space="preserve"> </w:t>
      </w:r>
      <w:r>
        <w:t xml:space="preserve">No brokerage commission line item appears on the settlement statement. Each party indemnifies the other against any brokerage claim.</w:t>
      </w:r>
    </w:p>
    <w:bookmarkEnd w:id="36"/>
    <w:bookmarkStart w:id="37" w:name="b-7.-no-insurance-proration"/>
    <w:p>
      <w:pPr>
        <w:pStyle w:val="Heading3"/>
      </w:pPr>
      <w:r>
        <w:t xml:space="preserve">B-7. No insurance proration</w:t>
      </w:r>
    </w:p>
    <w:p>
      <w:pPr>
        <w:pStyle w:val="FirstParagraph"/>
      </w:pPr>
      <w:r>
        <w:t xml:space="preserve">The PSA does not provide for proration of property/casualty insurance. The Seller’s property insurance terminates at closing; the Buyer is required to obtain a new policy (Lender Commitment, Section 5.5: minimum $3,900,000 replacement cost, Tidewater Savings Bank named as mortgagee/loss payee, carrier rated A- or better).</w:t>
      </w:r>
      <w:r>
        <w:t xml:space="preserve"> </w:t>
      </w:r>
      <w:r>
        <w:rPr>
          <w:b/>
          <w:bCs/>
        </w:rPr>
        <w:t xml:space="preserve">Assumption:</w:t>
      </w:r>
      <w:r>
        <w:t xml:space="preserve"> </w:t>
      </w:r>
      <w:r>
        <w:t xml:space="preserve">No insurance premium or proration appears on the settlement statement. Confirm Buyer’s evidence of insurance is delivered at closing as a loan condition.</w:t>
      </w:r>
    </w:p>
    <w:bookmarkEnd w:id="37"/>
    <w:bookmarkStart w:id="38" w:name="Xa7025b54f0befeb981b54fbbf879e228e22aba7"/>
    <w:p>
      <w:pPr>
        <w:pStyle w:val="Heading3"/>
      </w:pPr>
      <w:r>
        <w:t xml:space="preserve">B-8. Survey, environmental, and SNDA costs not specified</w:t>
      </w:r>
    </w:p>
    <w:p>
      <w:pPr>
        <w:pStyle w:val="FirstParagraph"/>
      </w:pPr>
      <w:r>
        <w:t xml:space="preserve">The title commitment (Requirement 12) requires an ALTA/NSPS survey; the lender (Section 5.4) requires a survey and flood determination; the lender (Section 5.6) requires a Phase I Environmental Site Assessment; and the lender (Section 5.7) requires a Subordination, Non-Disturbance, and Attornment Agreement (SNDA) with Coastal Provisions Market LLC. None of these costs is stated in the PSA, title commitment, or lender commitment as a closing-table charge.</w:t>
      </w:r>
      <w:r>
        <w:t xml:space="preserve"> </w:t>
      </w:r>
      <w:r>
        <w:rPr>
          <w:b/>
          <w:bCs/>
        </w:rPr>
        <w:t xml:space="preserve">Assumption:</w:t>
      </w:r>
      <w:r>
        <w:t xml:space="preserve"> </w:t>
      </w:r>
      <w:r>
        <w:t xml:space="preserve">These items are either already completed or paid outside of closing (POC) by Buyer. No line item appears for them. Confirm with Buyer’s counsel whether any survey, environmental, or SNDA fees are due at closing.</w:t>
      </w:r>
    </w:p>
    <w:bookmarkEnd w:id="38"/>
    <w:bookmarkStart w:id="39" w:name="X09efc3c5d0b059664f775ea7685a0c1659e1b3b"/>
    <w:p>
      <w:pPr>
        <w:pStyle w:val="Heading3"/>
      </w:pPr>
      <w:r>
        <w:t xml:space="preserve">B-9. Assignment of Leases and Rents to Lender — possible additional recording fee</w:t>
      </w:r>
    </w:p>
    <w:p>
      <w:pPr>
        <w:pStyle w:val="FirstParagraph"/>
      </w:pPr>
      <w:r>
        <w:t xml:space="preserve">The PSA (Section 6.4) lists three Buyer recording fees totaling $339.00: deed ($113), mortgage ($113), and assignment of leases ($113). The lender’s recording instructions (Commitment Section 6.4) require recording of four instruments, including an</w:t>
      </w:r>
      <w:r>
        <w:t xml:space="preserve"> </w:t>
      </w:r>
      <w:r>
        <w:t xml:space="preserve">“</w:t>
      </w:r>
      <w:r>
        <w:t xml:space="preserve">Assignment of Leases and Rents from Meridian Cove Properties LLC to Tidewater Savings Bank</w:t>
      </w:r>
      <w:r>
        <w:t xml:space="preserve">”</w:t>
      </w:r>
      <w:r>
        <w:t xml:space="preserve"> </w:t>
      </w:r>
      <w:r>
        <w:t xml:space="preserve">(item 4). It is unclear whether the $113</w:t>
      </w:r>
      <w:r>
        <w:t xml:space="preserve"> </w:t>
      </w:r>
      <w:r>
        <w:t xml:space="preserve">“</w:t>
      </w:r>
      <w:r>
        <w:t xml:space="preserve">Assignment of Leases</w:t>
      </w:r>
      <w:r>
        <w:t xml:space="preserve">”</w:t>
      </w:r>
      <w:r>
        <w:t xml:space="preserve"> </w:t>
      </w:r>
      <w:r>
        <w:t xml:space="preserve">recording fee in the PSA covers the Seller-to-Buyer assignment, the Buyer-to-Lender assignment, or both.</w:t>
      </w:r>
      <w:r>
        <w:t xml:space="preserve"> </w:t>
      </w:r>
      <w:r>
        <w:rPr>
          <w:b/>
          <w:bCs/>
        </w:rPr>
        <w:t xml:space="preserve">Assumption:</w:t>
      </w:r>
      <w:r>
        <w:t xml:space="preserve"> </w:t>
      </w:r>
      <w:r>
        <w:t xml:space="preserve">The settlement statement includes one $113.00 assignment-of-leases recording fee (Line 800). If a separate recording fee is required for the Assignment of Leases and Rents to the Lender, an additional $113.00 Buyer charge must be added. Confirm with the Closing Agent and Lender.</w:t>
      </w:r>
    </w:p>
    <w:bookmarkEnd w:id="39"/>
    <w:bookmarkStart w:id="40" w:name="Xccce7a275cd0f38b00b31300384f73e3b56b9ad"/>
    <w:p>
      <w:pPr>
        <w:pStyle w:val="Heading3"/>
      </w:pPr>
      <w:r>
        <w:t xml:space="preserve">B-10. Utility deposits retained by Seller</w:t>
      </w:r>
    </w:p>
    <w:p>
      <w:pPr>
        <w:pStyle w:val="FirstParagraph"/>
      </w:pPr>
      <w:r>
        <w:t xml:space="preserve">Per PSA Section 7.5(d), utility deposits held by utility providers in Seller’s name are retained by Seller unless the parties otherwise agree.</w:t>
      </w:r>
      <w:r>
        <w:t xml:space="preserve"> </w:t>
      </w:r>
      <w:r>
        <w:rPr>
          <w:b/>
          <w:bCs/>
        </w:rPr>
        <w:t xml:space="preserve">Assumption:</w:t>
      </w:r>
      <w:r>
        <w:t xml:space="preserve"> </w:t>
      </w:r>
      <w:r>
        <w:t xml:space="preserve">No utility deposit transfer or credit appears on the settlement statement. Buyer is responsible for establishing new utility accounts as of the Closing Date.</w:t>
      </w:r>
    </w:p>
    <w:bookmarkEnd w:id="40"/>
    <w:bookmarkStart w:id="41" w:name="Xdac5db7e34bbc1370ce866fd885b8c5a62f6665"/>
    <w:p>
      <w:pPr>
        <w:pStyle w:val="Heading3"/>
      </w:pPr>
      <w:r>
        <w:t xml:space="preserve">B-11. Appraised value supports loan; no appraisal-based adjustment</w:t>
      </w:r>
    </w:p>
    <w:p>
      <w:pPr>
        <w:pStyle w:val="FirstParagraph"/>
      </w:pPr>
      <w:r>
        <w:t xml:space="preserve">The Lender’s independent appraisal (Ashford Valuation Associates LLC, completed May 28, 2025) determined an as-is market value of</w:t>
      </w:r>
      <w:r>
        <w:t xml:space="preserve"> </w:t>
      </w:r>
      <w:r>
        <w:rPr>
          <w:b/>
          <w:bCs/>
        </w:rPr>
        <w:t xml:space="preserve">$3,920,000.00</w:t>
      </w:r>
      <w:r>
        <w:t xml:space="preserve">, which exceeds the contract purchase price of $3,900,000.00. The loan-to-value ratio is approximately 67.35% (rounded to 67.7% in the commitment), based on the appraised value.</w:t>
      </w:r>
      <w:r>
        <w:t xml:space="preserve"> </w:t>
      </w:r>
      <w:r>
        <w:rPr>
          <w:b/>
          <w:bCs/>
        </w:rPr>
        <w:t xml:space="preserve">Assumption:</w:t>
      </w:r>
      <w:r>
        <w:t xml:space="preserve"> </w:t>
      </w:r>
      <w:r>
        <w:t xml:space="preserve">Because the appraised value exceeds the purchase price, no appraisal-based price adjustment or additional equity is required, and the loan proceeds of $2,640,000.00 are unaffected. The appraisal fee ($4,500.00) was paid outside of closing (POC) by Buyer and is disclosed on the settlement statement with $0.00 impact on cash-to-close. No action required; noted for completeness.</w:t>
      </w:r>
    </w:p>
    <w:p>
      <w:r>
        <w:pict>
          <v:rect style="width:0;height:1.5pt" o:hralign="center" o:hrstd="t" o:hr="t"/>
        </w:pict>
      </w:r>
    </w:p>
    <w:bookmarkEnd w:id="41"/>
    <w:bookmarkEnd w:id="42"/>
    <w:bookmarkStart w:id="61" w:name="X0ed041f9d8a4ed610614ddfc9cf42684254cbf9"/>
    <w:p>
      <w:pPr>
        <w:pStyle w:val="Heading2"/>
      </w:pPr>
      <w:r>
        <w:t xml:space="preserve">C. ITEMS REQUIRING CONFIRMATION OR POST-CLOSING ACTION</w:t>
      </w:r>
    </w:p>
    <w:bookmarkStart w:id="43" w:name="X3d2149af537794491eed9abc69bebfd6ee1c3b5"/>
    <w:p>
      <w:pPr>
        <w:pStyle w:val="Heading3"/>
      </w:pPr>
      <w:r>
        <w:t xml:space="preserve">C-1. Lien payoff good-through dates — closing must occur by July 20, 2025</w:t>
      </w:r>
    </w:p>
    <w:p>
      <w:pPr>
        <w:pStyle w:val="FirstParagraph"/>
      </w:pPr>
      <w:r>
        <w:t xml:space="preserve">The Harborstone first mortgage ($687,412.33) and HELOC ($148,219.56) payoffs are good through July 20, 2025. The municipal tax payoff is also valid through July 20, 2025. The scheduled closing date (July 15, 2025) falls within all good-through periods, so no per diem adjustments are required.</w:t>
      </w:r>
      <w:r>
        <w:t xml:space="preserve"> </w:t>
      </w:r>
      <w:r>
        <w:rPr>
          <w:b/>
          <w:bCs/>
        </w:rPr>
        <w:t xml:space="preserve">If closing is delayed beyond July 20, 2025:</w:t>
      </w:r>
      <w:r>
        <w:t xml:space="preserve"> </w:t>
      </w:r>
      <w:r>
        <w:t xml:space="preserve">updated payoff statements must be obtained and per diem interest added — 1st Mortgage: $112.67/day; HELOC: ~$27.93/day (variable, subject to Prime Rate change); delinquent tax: $13.12/day. The Northbridge mechanic’s lien settlement ($31,000.00) is contingent on closing by August 31, 2025, after which Northbridge may withdraw the settlement and pursue the full $37,500.00 lien.</w:t>
      </w:r>
    </w:p>
    <w:bookmarkEnd w:id="43"/>
    <w:bookmarkStart w:id="44" w:name="X1177a592cb255483cdc97546702759c41e184d8"/>
    <w:p>
      <w:pPr>
        <w:pStyle w:val="Heading3"/>
      </w:pPr>
      <w:r>
        <w:t xml:space="preserve">C-2. CT DRS estate tax lien release — recording required</w:t>
      </w:r>
    </w:p>
    <w:p>
      <w:pPr>
        <w:pStyle w:val="FirstParagraph"/>
      </w:pPr>
      <w:r>
        <w:t xml:space="preserve">No monetary payoff is due ($0.00). The estate is below the Connecticut estate tax threshold. A release (CT DRS Release Certificate No. ETL-2025-08834) has been obtained and must be recorded in the Bridgeport Land Records at Seller’s expense ($73.00 recording fee included in Line 511). The title company (Requirement 7) and lender (Section 5.2(d)) both require this recording as a condition of insuring/funding. Confirm the release is delivered in recordable form and recorded.</w:t>
      </w:r>
    </w:p>
    <w:bookmarkEnd w:id="44"/>
    <w:bookmarkStart w:id="45" w:name="c-3.-fiduciary-certificate-recency"/>
    <w:p>
      <w:pPr>
        <w:pStyle w:val="Heading3"/>
      </w:pPr>
      <w:r>
        <w:t xml:space="preserve">C-3. Fiduciary certificate recency</w:t>
      </w:r>
    </w:p>
    <w:p>
      <w:pPr>
        <w:pStyle w:val="FirstParagraph"/>
      </w:pPr>
      <w:r>
        <w:t xml:space="preserve">The Fiduciary’s Certificate is dated June 25, 2025. The title commitment (Requirement 2) requires it dated no more than 60 days prior to closing; the lender (Section 5.12) requires it dated no earlier than 60 days prior to closing. July 15, 2025 is 20 days after June 25, 2025 — both requirements are satisfied. No action required, but confirm a certified copy is delivered and recorded. (See also A-8 regarding the inconsistent Letters Testamentary issuance date.)</w:t>
      </w:r>
    </w:p>
    <w:bookmarkEnd w:id="45"/>
    <w:bookmarkStart w:id="46" w:name="X1b40eef1e9f3c1b68d6418af0553fc6613de842"/>
    <w:p>
      <w:pPr>
        <w:pStyle w:val="Heading3"/>
      </w:pPr>
      <w:r>
        <w:t xml:space="preserve">C-4. Probate Court Certificate — $150.00 Seller expense</w:t>
      </w:r>
    </w:p>
    <w:p>
      <w:pPr>
        <w:pStyle w:val="FirstParagraph"/>
      </w:pPr>
      <w:r>
        <w:t xml:space="preserve">The $150.00 Probate Court Certificate fee is a Seller expense (PSA Sections 6.2(e), 6.4). The fiduciary certificate document confirms the $150.00 certification fee has been paid. Reflected as Line 514 (debit to Seller).</w:t>
      </w:r>
    </w:p>
    <w:bookmarkEnd w:id="46"/>
    <w:bookmarkStart w:id="47" w:name="Xcef8e82da2bcd1e5aa368711ea8d3dfb6b63a84"/>
    <w:p>
      <w:pPr>
        <w:pStyle w:val="Heading3"/>
      </w:pPr>
      <w:r>
        <w:t xml:space="preserve">C-5. Management agreement termination — $4,500.00 Seller expense</w:t>
      </w:r>
    </w:p>
    <w:p>
      <w:pPr>
        <w:pStyle w:val="FirstParagraph"/>
      </w:pPr>
      <w:r>
        <w:t xml:space="preserve">The $4,500.00 termination fee is owed to Bayshore Management Co. per Section 11.2 of the management agreement (terminated effective July 15, 2025 per notice dated June 13, 2025), payable from sale proceeds at closing. Reflected as Line 515 (debit to Seller). Bayshore is directed to transfer all security deposits (with accrued residential interest) and deliver all records/keys to Buyer or the Closing Agent on or before the Closing Date. (See also A-9 regarding the inconsistent management agreement effective date.)</w:t>
      </w:r>
    </w:p>
    <w:bookmarkEnd w:id="47"/>
    <w:bookmarkStart w:id="48" w:name="Xf1168ed6c96f4f1c33642ddfee230579ada9631"/>
    <w:p>
      <w:pPr>
        <w:pStyle w:val="Heading3"/>
      </w:pPr>
      <w:r>
        <w:t xml:space="preserve">C-6. Repair escrow — separate agreement; lender is interested party</w:t>
      </w:r>
    </w:p>
    <w:p>
      <w:pPr>
        <w:pStyle w:val="FirstParagraph"/>
      </w:pPr>
      <w:r>
        <w:t xml:space="preserve">The $45,000.00 Repair Escrow (Line 516) is governed by a separate Repair Escrow Agreement to be executed at closing. The lender (Commitment Section 5.13) requires that (a) the Repair Escrow Agreement be provided for lender review prior to closing, (b) Tidewater Savings Bank be named as an interested party, and (c) disbursements occur only with the lender’s prior written consent after satisfactory evidence of completed work. The pre-closing inspection report (July 14, 2025) confirms the roof deficiencies remain unrepaired and recommends Buyer obtain competitive bids promptly after closing. Confirm the Repair Escrow Agreement is executed and the lender’s requirements are satisfied.</w:t>
      </w:r>
    </w:p>
    <w:bookmarkEnd w:id="48"/>
    <w:bookmarkStart w:id="49" w:name="Xf66ddaf6c71dac0efbc3726a165d9a0d08cce5a"/>
    <w:p>
      <w:pPr>
        <w:pStyle w:val="Heading3"/>
      </w:pPr>
      <w:r>
        <w:t xml:space="preserve">C-7. Unit 2E delinquent rent — excluded; Buyer assumes collection right</w:t>
      </w:r>
    </w:p>
    <w:p>
      <w:pPr>
        <w:pStyle w:val="FirstParagraph"/>
      </w:pPr>
      <w:r>
        <w:t xml:space="preserve">Unit 2E’s July 2025 rent ($1,600.00) is delinquent and excluded from the rent proration per PSA Section 7.3. Buyer assumes the right (but not the obligation) to collect delinquent rents post-closing. Any amounts collected by Buyer are first applied to current rents owed to Buyer; excess is remitted to Seller within 30 days (Section 7.3(b)). Seller may not commence or continue eviction/collection proceedings after closing without Buyer’s consent (Section 7.3(c)).</w:t>
      </w:r>
    </w:p>
    <w:bookmarkEnd w:id="49"/>
    <w:bookmarkStart w:id="50" w:name="X3c7e30ef7da70133659d5955a83e7273ea3e362"/>
    <w:p>
      <w:pPr>
        <w:pStyle w:val="Heading3"/>
      </w:pPr>
      <w:r>
        <w:t xml:space="preserve">C-8. Month-to-month holdover tenancies assigned to Buyer</w:t>
      </w:r>
    </w:p>
    <w:p>
      <w:pPr>
        <w:pStyle w:val="FirstParagraph"/>
      </w:pPr>
      <w:r>
        <w:t xml:space="preserve">Six residential leases have expired and are now month-to-month holdover tenancies: Units 2B (expired 2/28/2025), 2C (expired 5/31/2025), 2E (expired 3/31/2025), 3B (expired 1/31/2025), 3D (expired 6/30/2025), and 3F (expired 4/30/2025). These are assigned to Buyer subject to the Permitted Exceptions (PSA Section 5.2(b)). Buyer assumes all landlord obligations for these holdover tenancies, including any risk of termination on proper notice. Buyer should review holdover provisions and consider lease renewals post-closing.</w:t>
      </w:r>
    </w:p>
    <w:bookmarkEnd w:id="50"/>
    <w:bookmarkStart w:id="51" w:name="Xa058f0ec7d50c62b84f0c2f92fd2361a120a2d7"/>
    <w:p>
      <w:pPr>
        <w:pStyle w:val="Heading3"/>
      </w:pPr>
      <w:r>
        <w:t xml:space="preserve">C-9. Commercial lease — SNDA and assignment required</w:t>
      </w:r>
    </w:p>
    <w:p>
      <w:pPr>
        <w:pStyle w:val="FirstParagraph"/>
      </w:pPr>
      <w:r>
        <w:t xml:space="preserve">The Commercial Lease with Coastal Provisions Market LLC (10-year term, 1/1/2021–12/31/2030; monthly base rent $7,200; security deposit $14,400; NNN) is assigned to Buyer at closing. The lender requires an SNDA among the lender, Buyer, and Coastal Provisions Market LLC prior to or at closing (Commitment Section 5.7). The lease contains a 3% annual rent escalation (next increase 1/1/2026), two 5-year renewal options, and a right of first refusal on adjacent space. Confirm the SNDA is executed and the assignment is delivered in recordable form.</w:t>
      </w:r>
    </w:p>
    <w:bookmarkEnd w:id="51"/>
    <w:bookmarkStart w:id="52" w:name="c-10.-tenant-notification-within-15-days"/>
    <w:p>
      <w:pPr>
        <w:pStyle w:val="Heading3"/>
      </w:pPr>
      <w:r>
        <w:t xml:space="preserve">C-10. Tenant notification within 15 days</w:t>
      </w:r>
    </w:p>
    <w:p>
      <w:pPr>
        <w:pStyle w:val="FirstParagraph"/>
      </w:pPr>
      <w:r>
        <w:t xml:space="preserve">Per PSA Section 11.3, Buyer must send written notice to all tenants within 15 days after closing advising of the change in ownership, new rent payment instructions, and the new holder of security deposits, in compliance with applicable Connecticut law.</w:t>
      </w:r>
    </w:p>
    <w:bookmarkEnd w:id="52"/>
    <w:bookmarkStart w:id="53" w:name="X08d3676b7af42558a1779ed2ab573dc9afe54dd"/>
    <w:p>
      <w:pPr>
        <w:pStyle w:val="Heading3"/>
      </w:pPr>
      <w:r>
        <w:t xml:space="preserve">C-11. Personal guaranty required by lender</w:t>
      </w:r>
    </w:p>
    <w:p>
      <w:pPr>
        <w:pStyle w:val="FirstParagraph"/>
      </w:pPr>
      <w:r>
        <w:t xml:space="preserve">The lender (Commitment Section 5.10) requires Elaine R. Matsuda to execute an unconditional personal guaranty of payment and performance. This is a loan condition, not a settlement-statement item, but is noted for completeness. Confirm the guaranty is executed at closing.</w:t>
      </w:r>
    </w:p>
    <w:bookmarkEnd w:id="53"/>
    <w:bookmarkStart w:id="54" w:name="Xe0614cb3ef188717fda6ac387988d868496f1c8"/>
    <w:p>
      <w:pPr>
        <w:pStyle w:val="Heading3"/>
      </w:pPr>
      <w:r>
        <w:t xml:space="preserve">C-12. Closing protection letter and gap indemnity</w:t>
      </w:r>
    </w:p>
    <w:p>
      <w:pPr>
        <w:pStyle w:val="FirstParagraph"/>
      </w:pPr>
      <w:r>
        <w:t xml:space="preserve">The title commitment (Requirement 14) requires issuance of a closing protection letter in favor of Buyer and the Lender, and execution of a gap indemnity agreement covering the period from the title search effective date (June 16, 2025) through recording. Confirm these are delivered. No cost is stated in the closing file.</w:t>
      </w:r>
    </w:p>
    <w:bookmarkEnd w:id="54"/>
    <w:bookmarkStart w:id="55" w:name="c-13.-post-closing-recording-sequence"/>
    <w:p>
      <w:pPr>
        <w:pStyle w:val="Heading3"/>
      </w:pPr>
      <w:r>
        <w:t xml:space="preserve">C-13. Post-closing recording sequence</w:t>
      </w:r>
    </w:p>
    <w:p>
      <w:pPr>
        <w:pStyle w:val="FirstParagraph"/>
      </w:pPr>
      <w:r>
        <w:t xml:space="preserve">Per the lender’s instructions (Commitment Section 6.4), documents must be recorded in the Bridgeport Land Records in this order: (1) releases/satisfactions of all existing liens; (2) Warranty Deed (Estate to Buyer); (3) Mortgage (Buyer to Lender); (4) Assignment of Leases and Rents (Buyer to Lender). This sequence preserves the lender’s first-priority lien position. The Closing Agent must confirm releases are recorded or submitted for recording immediately following closing, with written confirmation to the lender within 60 days.</w:t>
      </w:r>
    </w:p>
    <w:bookmarkEnd w:id="55"/>
    <w:bookmarkStart w:id="56" w:name="c-14.-reproration-right-survives-90-days"/>
    <w:p>
      <w:pPr>
        <w:pStyle w:val="Heading3"/>
      </w:pPr>
      <w:r>
        <w:t xml:space="preserve">C-14. Reproration right survives 90 days</w:t>
      </w:r>
    </w:p>
    <w:p>
      <w:pPr>
        <w:pStyle w:val="FirstParagraph"/>
      </w:pPr>
      <w:r>
        <w:t xml:space="preserve">All proration and adjustment obligations survive closing for 90 days (PSA Section 15.1) for purposes of reproration and final settlement (PSA Section 7.7). Any amounts owed upon reproration must be paid within 10 business days of demand with supporting documentation. Estimated items subject to reproration: FY 2025–2026 property taxes (B-4), and any utility charges if final readings were unavailable.</w:t>
      </w:r>
    </w:p>
    <w:bookmarkEnd w:id="56"/>
    <w:bookmarkStart w:id="57" w:name="Xe6fa09c12db3f420026f6b9ad059b19d1700c4b"/>
    <w:p>
      <w:pPr>
        <w:pStyle w:val="Heading3"/>
      </w:pPr>
      <w:r>
        <w:t xml:space="preserve">C-15. FIRPTA affidavit / estate equivalent certification — required Seller delivery</w:t>
      </w:r>
    </w:p>
    <w:p>
      <w:pPr>
        <w:pStyle w:val="FirstParagraph"/>
      </w:pPr>
      <w:r>
        <w:t xml:space="preserve">The PSA (Section 6.2(i)) requires Seller to deliver</w:t>
      </w:r>
      <w:r>
        <w:t xml:space="preserve"> </w:t>
      </w:r>
      <w:r>
        <w:t xml:space="preserve">“</w:t>
      </w:r>
      <w:r>
        <w:t xml:space="preserve">a FIRPTA affidavit, or such estate equivalent certification as may be required under the Internal Revenue Code and applicable Treasury Regulations, certifying that the sale is exempt from withholding under Section 1445 of the Internal Revenue Code.</w:t>
      </w:r>
      <w:r>
        <w:t xml:space="preserve">”</w:t>
      </w:r>
      <w:r>
        <w:t xml:space="preserve"> </w:t>
      </w:r>
      <w:r>
        <w:t xml:space="preserve">Because the Seller is the Estate of a U.S. resident decedent (Gerald T. Whitford, a resident of Bridgeport, CT), the sale should qualify for exemption from FIRPTA withholding; however, the certification must still be delivered at closing.</w:t>
      </w:r>
      <w:r>
        <w:t xml:space="preserve"> </w:t>
      </w:r>
      <w:r>
        <w:rPr>
          <w:b/>
          <w:bCs/>
        </w:rPr>
        <w:t xml:space="preserve">Settlement impact:</w:t>
      </w:r>
      <w:r>
        <w:t xml:space="preserve"> </w:t>
      </w:r>
      <w:r>
        <w:t xml:space="preserve">If a valid FIRPTA exemption certification is not delivered, the transferee (Buyer) may be required to withhold 15% of the</w:t>
      </w:r>
      <w:r>
        <w:t xml:space="preserve"> </w:t>
      </w:r>
      <w:r>
        <w:t xml:space="preserve">“</w:t>
      </w:r>
      <w:r>
        <w:t xml:space="preserve">amount realized</w:t>
      </w:r>
      <w:r>
        <w:t xml:space="preserve">”</w:t>
      </w:r>
      <w:r>
        <w:t xml:space="preserve"> </w:t>
      </w:r>
      <w:r>
        <w:t xml:space="preserve">(approximately 15% × $3,900,000 = $585,000.00) and remit it to the IRS, which would materially alter the cash to Seller.</w:t>
      </w:r>
      <w:r>
        <w:t xml:space="preserve"> </w:t>
      </w:r>
      <w:r>
        <w:rPr>
          <w:b/>
          <w:bCs/>
        </w:rPr>
        <w:t xml:space="preserve">Action:</w:t>
      </w:r>
      <w:r>
        <w:t xml:space="preserve"> </w:t>
      </w:r>
      <w:r>
        <w:t xml:space="preserve">Confirm the FIRPTA affidavit / estate equivalent certification is executed by the Executrix and delivered at closing; no withholding line item appears on the settlement statement on the assumption that the exemption certification is delivered.</w:t>
      </w:r>
    </w:p>
    <w:bookmarkEnd w:id="57"/>
    <w:bookmarkStart w:id="58" w:name="X5b674fa48a83d63cec3392a9edd304b7170b2a4"/>
    <w:p>
      <w:pPr>
        <w:pStyle w:val="Heading3"/>
      </w:pPr>
      <w:r>
        <w:t xml:space="preserve">C-16. Seller’s affidavit — required title delivery</w:t>
      </w:r>
    </w:p>
    <w:p>
      <w:pPr>
        <w:pStyle w:val="FirstParagraph"/>
      </w:pPr>
      <w:r>
        <w:t xml:space="preserve">The title commitment (Requirement 13) requires execution and delivery of a standard owner’s/seller’s affidavit by Claudia Whitford-Barnes, as Executrix, attesting to the absence of any additional liens, encumbrances, judgments, unrecorded interests, boundary disputes, parties in possession (other than tenants under known leases), mechanic’s lien claims (other than the Northbridge lien), or other matters affecting title not shown in the public records. This is a condition of the title company’s issuance of the owner’s and lender’s policies.</w:t>
      </w:r>
      <w:r>
        <w:t xml:space="preserve"> </w:t>
      </w:r>
      <w:r>
        <w:rPr>
          <w:b/>
          <w:bCs/>
        </w:rPr>
        <w:t xml:space="preserve">Action:</w:t>
      </w:r>
      <w:r>
        <w:t xml:space="preserve"> </w:t>
      </w:r>
      <w:r>
        <w:t xml:space="preserve">Confirm the Seller’s affidavit is executed and delivered in form satisfactory to the title company. No monetary impact; noted as a required closing delivery.</w:t>
      </w:r>
    </w:p>
    <w:bookmarkEnd w:id="58"/>
    <w:bookmarkStart w:id="59" w:name="Xbd652b9cca98f73a606fa312c01ffdc74cb7a8f"/>
    <w:p>
      <w:pPr>
        <w:pStyle w:val="Heading3"/>
      </w:pPr>
      <w:r>
        <w:t xml:space="preserve">C-17. Buyer entity documentation — required delivery</w:t>
      </w:r>
    </w:p>
    <w:p>
      <w:pPr>
        <w:pStyle w:val="FirstParagraph"/>
      </w:pPr>
      <w:r>
        <w:t xml:space="preserve">The PSA (Sections 6.3(c), 6.3(d)), the title commitment (Requirement 11), and the lender (Commitment Section 5.11) each require delivery of Buyer’s entity documentation: (a) a Certificate of Legal Existence / Certificate of Good Standing for Meridian Cove Properties LLC issued by the Connecticut Secretary of the State, dated within 30 days of closing; (b) the Operating Agreement or other organizational documents authorizing the purchase and identifying Elaine R. Matsuda as Manager with authority to bind the entity; and (c) a resolution or written consent of the members authorizing the transaction. The lender additionally requires a Certificate of Legal Existence dated no earlier than 30 days prior to closing.</w:t>
      </w:r>
      <w:r>
        <w:t xml:space="preserve"> </w:t>
      </w:r>
      <w:r>
        <w:rPr>
          <w:b/>
          <w:bCs/>
        </w:rPr>
        <w:t xml:space="preserve">Action:</w:t>
      </w:r>
      <w:r>
        <w:t xml:space="preserve"> </w:t>
      </w:r>
      <w:r>
        <w:t xml:space="preserve">Confirm all required entity documentation is delivered at closing and dated within the required windows. No monetary impact; noted as a required closing delivery and loan condition.</w:t>
      </w:r>
    </w:p>
    <w:bookmarkEnd w:id="59"/>
    <w:bookmarkStart w:id="60" w:name="X6f3d4d0a9c52c3913ce2eafe8b790f47591be60"/>
    <w:p>
      <w:pPr>
        <w:pStyle w:val="Heading3"/>
      </w:pPr>
      <w:r>
        <w:t xml:space="preserve">C-18. Bill of Sale for personal property — required Seller delivery</w:t>
      </w:r>
    </w:p>
    <w:p>
      <w:pPr>
        <w:pStyle w:val="FirstParagraph"/>
      </w:pPr>
      <w:r>
        <w:t xml:space="preserve">The PSA (Section 6.2(b)) requires Seller to deliver a Bill of Sale for any personal property included in the sale. Per Section 2.3, the sale includes fixtures, building systems, assignable permits/licenses/certificates of occupancy, warranties/guaranties, and the trade name</w:t>
      </w:r>
      <w:r>
        <w:t xml:space="preserve"> </w:t>
      </w:r>
      <w:r>
        <w:t xml:space="preserve">“</w:t>
      </w:r>
      <w:r>
        <w:t xml:space="preserve">4280 Harborview</w:t>
      </w:r>
      <w:r>
        <w:t xml:space="preserve">”</w:t>
      </w:r>
      <w:r>
        <w:t xml:space="preserve"> </w:t>
      </w:r>
      <w:r>
        <w:t xml:space="preserve">and associated goodwill.</w:t>
      </w:r>
      <w:r>
        <w:t xml:space="preserve"> </w:t>
      </w:r>
      <w:r>
        <w:rPr>
          <w:b/>
          <w:bCs/>
        </w:rPr>
        <w:t xml:space="preserve">Action:</w:t>
      </w:r>
      <w:r>
        <w:t xml:space="preserve"> </w:t>
      </w:r>
      <w:r>
        <w:t xml:space="preserve">Confirm the Bill of Sale is executed and delivered at closing, conveying all included personal property. No monetary impact (personal property is included in the Purchase Price); noted as a required closing delivery.</w:t>
      </w:r>
    </w:p>
    <w:p>
      <w:r>
        <w:pict>
          <v:rect style="width:0;height:1.5pt" o:hralign="center" o:hrstd="t" o:hr="t"/>
        </w:pict>
      </w:r>
    </w:p>
    <w:bookmarkEnd w:id="60"/>
    <w:bookmarkEnd w:id="61"/>
    <w:bookmarkStart w:id="62" w:name="X3424cbf02c73a2efef2ab986ec7d94633fd72cf"/>
    <w:p>
      <w:pPr>
        <w:pStyle w:val="Heading2"/>
      </w:pPr>
      <w:r>
        <w:t xml:space="preserve">SUMMARY OF FINANCIAL IMPACT OF UNCONFIRMED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Line(s)</w:t>
            </w:r>
          </w:p>
        </w:tc>
        <w:tc>
          <w:tcPr/>
          <w:p>
            <w:pPr>
              <w:pStyle w:val="Compact"/>
              <w:jc w:val="left"/>
            </w:pPr>
            <w:r>
              <w:t xml:space="preserve">Current Treatment</w:t>
            </w:r>
          </w:p>
        </w:tc>
        <w:tc>
          <w:tcPr/>
          <w:p>
            <w:pPr>
              <w:pStyle w:val="Compact"/>
              <w:jc w:val="left"/>
            </w:pPr>
            <w:r>
              <w:t xml:space="preserve">Potential Adjustment</w:t>
            </w:r>
          </w:p>
        </w:tc>
      </w:tr>
      <w:tr>
        <w:tc>
          <w:tcPr/>
          <w:p>
            <w:pPr>
              <w:pStyle w:val="Compact"/>
              <w:jc w:val="left"/>
            </w:pPr>
            <w:r>
              <w:t xml:space="preserve">Earnest money interest</w:t>
            </w:r>
          </w:p>
        </w:tc>
        <w:tc>
          <w:tcPr/>
          <w:p>
            <w:pPr>
              <w:pStyle w:val="Compact"/>
              <w:jc w:val="left"/>
            </w:pPr>
            <w:r>
              <w:t xml:space="preserve">200a / (Seller)</w:t>
            </w:r>
          </w:p>
        </w:tc>
        <w:tc>
          <w:tcPr/>
          <w:p>
            <w:pPr>
              <w:pStyle w:val="Compact"/>
              <w:jc w:val="left"/>
            </w:pPr>
            <w:r>
              <w:t xml:space="preserve">$0.00</w:t>
            </w:r>
          </w:p>
        </w:tc>
        <w:tc>
          <w:tcPr/>
          <w:p>
            <w:pPr>
              <w:pStyle w:val="Compact"/>
              <w:jc w:val="left"/>
            </w:pPr>
            <w:r>
              <w:t xml:space="preserve">Credit to Buyer / Debit to Seller (reduces Buyer cash &amp; Seller proceeds equally)</w:t>
            </w:r>
          </w:p>
        </w:tc>
      </w:tr>
      <w:tr>
        <w:tc>
          <w:tcPr/>
          <w:p>
            <w:pPr>
              <w:pStyle w:val="Compact"/>
              <w:jc w:val="left"/>
            </w:pPr>
            <w:r>
              <w:t xml:space="preserve">Security deposit interest</w:t>
            </w:r>
          </w:p>
        </w:tc>
        <w:tc>
          <w:tcPr/>
          <w:p>
            <w:pPr>
              <w:pStyle w:val="Compact"/>
              <w:jc w:val="left"/>
            </w:pPr>
            <w:r>
              <w:t xml:space="preserve">203a / 507a</w:t>
            </w:r>
          </w:p>
        </w:tc>
        <w:tc>
          <w:tcPr/>
          <w:p>
            <w:pPr>
              <w:pStyle w:val="Compact"/>
              <w:jc w:val="left"/>
            </w:pPr>
            <w:r>
              <w:t xml:space="preserve">$0.00</w:t>
            </w:r>
          </w:p>
        </w:tc>
        <w:tc>
          <w:tcPr/>
          <w:p>
            <w:pPr>
              <w:pStyle w:val="Compact"/>
              <w:jc w:val="left"/>
            </w:pPr>
            <w:r>
              <w:t xml:space="preserve">Credit to Buyer / Debit to Seller (reduces Buyer cash &amp; Seller proceeds equally)</w:t>
            </w:r>
          </w:p>
        </w:tc>
      </w:tr>
      <w:tr>
        <w:tc>
          <w:tcPr/>
          <w:p>
            <w:pPr>
              <w:pStyle w:val="Compact"/>
              <w:jc w:val="left"/>
            </w:pPr>
            <w:r>
              <w:t xml:space="preserve">Conveyance tax (actual vs. est.)</w:t>
            </w:r>
          </w:p>
        </w:tc>
        <w:tc>
          <w:tcPr/>
          <w:p>
            <w:pPr>
              <w:pStyle w:val="Compact"/>
              <w:jc w:val="left"/>
            </w:pPr>
            <w:r>
              <w:t xml:space="preserve">512 / 900</w:t>
            </w:r>
          </w:p>
        </w:tc>
        <w:tc>
          <w:tcPr/>
          <w:p>
            <w:pPr>
              <w:pStyle w:val="Compact"/>
              <w:jc w:val="left"/>
            </w:pPr>
            <w:r>
              <w:t xml:space="preserve">$22,375.00 each</w:t>
            </w:r>
          </w:p>
        </w:tc>
        <w:tc>
          <w:tcPr/>
          <w:p>
            <w:pPr>
              <w:pStyle w:val="Compact"/>
              <w:jc w:val="left"/>
            </w:pPr>
            <w:r>
              <w:t xml:space="preserve">Adjusted equally on both sides; net reconciliation impact $0.00</w:t>
            </w:r>
          </w:p>
        </w:tc>
      </w:tr>
      <w:tr>
        <w:tc>
          <w:tcPr/>
          <w:p>
            <w:pPr>
              <w:pStyle w:val="Compact"/>
              <w:jc w:val="left"/>
            </w:pPr>
            <w:r>
              <w:t xml:space="preserve">FY 2025–26 tax (actual vs. est.)</w:t>
            </w:r>
          </w:p>
        </w:tc>
        <w:tc>
          <w:tcPr/>
          <w:p>
            <w:pPr>
              <w:pStyle w:val="Compact"/>
              <w:jc w:val="left"/>
            </w:pPr>
            <w:r>
              <w:t xml:space="preserve">205 / 509</w:t>
            </w:r>
          </w:p>
        </w:tc>
        <w:tc>
          <w:tcPr/>
          <w:p>
            <w:pPr>
              <w:pStyle w:val="Compact"/>
              <w:jc w:val="left"/>
            </w:pPr>
            <w:r>
              <w:t xml:space="preserve">$2,012.93 Seller</w:t>
            </w:r>
          </w:p>
        </w:tc>
        <w:tc>
          <w:tcPr/>
          <w:p>
            <w:pPr>
              <w:pStyle w:val="Compact"/>
              <w:jc w:val="left"/>
            </w:pPr>
            <w:r>
              <w:t xml:space="preserve">Reprorated within 90 days post-closing</w:t>
            </w:r>
          </w:p>
        </w:tc>
      </w:tr>
      <w:tr>
        <w:tc>
          <w:tcPr/>
          <w:p>
            <w:pPr>
              <w:pStyle w:val="Compact"/>
              <w:jc w:val="left"/>
            </w:pPr>
            <w:r>
              <w:t xml:space="preserve">Assignment-to-Lender recording fee</w:t>
            </w:r>
          </w:p>
        </w:tc>
        <w:tc>
          <w:tcPr/>
          <w:p>
            <w:pPr>
              <w:pStyle w:val="Compact"/>
              <w:jc w:val="left"/>
            </w:pPr>
            <w:r>
              <w:t xml:space="preserve">800</w:t>
            </w:r>
          </w:p>
        </w:tc>
        <w:tc>
          <w:tcPr/>
          <w:p>
            <w:pPr>
              <w:pStyle w:val="Compact"/>
              <w:jc w:val="left"/>
            </w:pPr>
            <w:r>
              <w:t xml:space="preserve">$0.00 (not included)</w:t>
            </w:r>
          </w:p>
        </w:tc>
        <w:tc>
          <w:tcPr/>
          <w:p>
            <w:pPr>
              <w:pStyle w:val="Compact"/>
              <w:jc w:val="left"/>
            </w:pPr>
            <w:r>
              <w:t xml:space="preserve">Possible additional $113.00 Buyer charge</w:t>
            </w:r>
          </w:p>
        </w:tc>
      </w:tr>
      <w:tr>
        <w:tc>
          <w:tcPr/>
          <w:p>
            <w:pPr>
              <w:pStyle w:val="Compact"/>
              <w:jc w:val="left"/>
            </w:pPr>
            <w:r>
              <w:t xml:space="preserve">Utility bill paid at closing vs. credited</w:t>
            </w:r>
          </w:p>
        </w:tc>
        <w:tc>
          <w:tcPr/>
          <w:p>
            <w:pPr>
              <w:pStyle w:val="Compact"/>
              <w:jc w:val="left"/>
            </w:pPr>
            <w:r>
              <w:t xml:space="preserve">204 / 508</w:t>
            </w:r>
          </w:p>
        </w:tc>
        <w:tc>
          <w:tcPr/>
          <w:p>
            <w:pPr>
              <w:pStyle w:val="Compact"/>
              <w:jc w:val="left"/>
            </w:pPr>
            <w:r>
              <w:t xml:space="preserve">Credit to Buyer $1,847.60</w:t>
            </w:r>
          </w:p>
        </w:tc>
        <w:tc>
          <w:tcPr/>
          <w:p>
            <w:pPr>
              <w:pStyle w:val="Compact"/>
              <w:jc w:val="left"/>
            </w:pPr>
            <w:r>
              <w:t xml:space="preserve">If paid directly, remove Buyer credit; add to Seller disbursement</w:t>
            </w:r>
          </w:p>
        </w:tc>
      </w:tr>
      <w:tr>
        <w:tc>
          <w:tcPr/>
          <w:p>
            <w:pPr>
              <w:pStyle w:val="Compact"/>
              <w:jc w:val="left"/>
            </w:pPr>
            <w:r>
              <w:t xml:space="preserve">FIRPTA withholding (if no certification)</w:t>
            </w:r>
          </w:p>
        </w:tc>
        <w:tc>
          <w:tcPr/>
          <w:p>
            <w:pPr>
              <w:pStyle w:val="Compact"/>
              <w:jc w:val="left"/>
            </w:pPr>
            <w:r>
              <w:t xml:space="preserve">—</w:t>
            </w:r>
          </w:p>
        </w:tc>
        <w:tc>
          <w:tcPr/>
          <w:p>
            <w:pPr>
              <w:pStyle w:val="Compact"/>
              <w:jc w:val="left"/>
            </w:pPr>
            <w:r>
              <w:t xml:space="preserve">$0.00 (assumes exemption delivered)</w:t>
            </w:r>
          </w:p>
        </w:tc>
        <w:tc>
          <w:tcPr/>
          <w:p>
            <w:pPr>
              <w:pStyle w:val="Compact"/>
              <w:jc w:val="left"/>
            </w:pPr>
            <w:r>
              <w:t xml:space="preserve">If no FIRPTA certification, up to 15% of amount realized (~$585,000) withheld from Seller proceeds</w:t>
            </w:r>
          </w:p>
        </w:tc>
      </w:tr>
    </w:tbl>
    <w:p>
      <w:pPr>
        <w:pStyle w:val="BlockText"/>
      </w:pPr>
      <w:r>
        <w:rPr>
          <w:b/>
          <w:bCs/>
        </w:rPr>
        <w:t xml:space="preserve">Net effect on reconciliation:</w:t>
      </w:r>
      <w:r>
        <w:t xml:space="preserve"> </w:t>
      </w:r>
      <w:r>
        <w:t xml:space="preserve">Items that adjust both Buyer and Seller equally (earnest money interest, security deposit interest, conveyance tax) have zero net impact on the reconciliation. Items that affect only one side (assignment-to-lender recording fee, utility treatment, FIRPTA withholding) require a corresponding adjustment to maintain the reconciliation. The settlement statement as prepared reconciles to $0.00 with the assumptions stated above. Non-monetary closing deliveries (Seller’s affidavit, Buyer entity documentation, Bill of Sale, FIRPTA certification, SNDA, personal guaranty, CPL/gap indemnity) do not affect the reconciliation but are conditions to closing, title insurance, and loan funding.</w:t>
      </w:r>
    </w:p>
    <w:p>
      <w:r>
        <w:pict>
          <v:rect style="width:0;height:1.5pt" o:hralign="center" o:hrstd="t" o:hr="t"/>
        </w:pict>
      </w:r>
    </w:p>
    <w:p>
      <w:pPr>
        <w:pStyle w:val="FirstParagraph"/>
      </w:pPr>
      <w:r>
        <w:rPr>
          <w:i/>
          <w:iCs/>
        </w:rPr>
        <w:t xml:space="preserve">This Notes Memo is prepared by the Closing Agent for the benefit of the parties and their counsel and is intended to be read together with the settlement statement dated July 15, 2025. It does not constitute legal advice. Parties should review each item with their respective counsel prior to closing.</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2026-06-27T01:14:23Z</dcterms:created>
  <dcterms:modified xsi:type="dcterms:W3CDTF">2026-06-27T01:14:23Z</dcterms:modified>
</cp:coreProperties>
</file>

<file path=docProps/custom.xml><?xml version="1.0" encoding="utf-8"?>
<Properties xmlns="http://schemas.openxmlformats.org/officeDocument/2006/custom-properties" xmlns:vt="http://schemas.openxmlformats.org/officeDocument/2006/docPropsVTypes"/>
</file>