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settlement-statement"/>
    <w:p>
      <w:pPr>
        <w:pStyle w:val="Heading1"/>
      </w:pPr>
      <w:r>
        <w:t xml:space="preserve">SETTLEMENT STATEMENT</w:t>
      </w:r>
    </w:p>
    <w:bookmarkStart w:id="21" w:name="X1bab39ea11b67412ab7961b3c0cad884880487c"/>
    <w:p>
      <w:pPr>
        <w:pStyle w:val="Heading2"/>
      </w:pPr>
      <w:r>
        <w:t xml:space="preserve">Commercial Real Estate Closing — 4280 Harborview Boulevard, Bridgeport, CT 06604</w:t>
      </w:r>
    </w:p>
    <w:p>
      <w:pPr>
        <w:pStyle w:val="FirstParagraph"/>
      </w:pPr>
      <w:r>
        <w:rPr>
          <w:b/>
          <w:bCs/>
        </w:rPr>
        <w:t xml:space="preserve">Closing Date:</w:t>
      </w:r>
      <w:r>
        <w:t xml:space="preserve"> </w:t>
      </w:r>
      <w:r>
        <w:t xml:space="preserve">July 15, 2025</w:t>
      </w:r>
    </w:p>
    <w:p>
      <w:r>
        <w:pict>
          <v:rect style="width:0;height:1.5pt" o:hralign="center" o:hrstd="t" o:hr="t"/>
        </w:pict>
      </w:r>
    </w:p>
    <w:bookmarkStart w:id="20" w:name="transaction-summary"/>
    <w:p>
      <w:pPr>
        <w:pStyle w:val="Heading3"/>
      </w:pPr>
      <w:r>
        <w:t xml:space="preserve">TRANSACTION SUMMARY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Property</w:t>
            </w:r>
          </w:p>
        </w:tc>
        <w:tc>
          <w:tcPr/>
          <w:p>
            <w:pPr>
              <w:pStyle w:val="Compact"/>
              <w:jc w:val="left"/>
            </w:pPr>
            <w:r>
              <w:t xml:space="preserve">4280 Harborview Boulevard, Bridgeport, CT 06604 (Lot 17, Block 42, Bridgeport Harbor Redevelopment Plat, Vol. 312, Pg. 88, Bridgeport Land Records)</w:t>
            </w:r>
          </w:p>
        </w:tc>
      </w:tr>
      <w:tr>
        <w:tc>
          <w:tcPr/>
          <w:p>
            <w:pPr>
              <w:pStyle w:val="Compact"/>
              <w:jc w:val="left"/>
            </w:pPr>
            <w:r>
              <w:rPr>
                <w:b/>
                <w:bCs/>
              </w:rPr>
              <w:t xml:space="preserve">Property Type</w:t>
            </w:r>
          </w:p>
        </w:tc>
        <w:tc>
          <w:tcPr/>
          <w:p>
            <w:pPr>
              <w:pStyle w:val="Compact"/>
              <w:jc w:val="left"/>
            </w:pPr>
            <w:r>
              <w:t xml:space="preserve">Mixed-use building; ground-floor commercial (approx. 3,200 SF) + 12 residential units (2A–2F, 3A–3F); approx. 18,400 SF total; 0.38 acres; MU-2 zoning</w:t>
            </w:r>
          </w:p>
        </w:tc>
      </w:tr>
      <w:tr>
        <w:tc>
          <w:tcPr/>
          <w:p>
            <w:pPr>
              <w:pStyle w:val="Compact"/>
              <w:jc w:val="left"/>
            </w:pPr>
            <w:r>
              <w:rPr>
                <w:b/>
                <w:bCs/>
              </w:rPr>
              <w:t xml:space="preserve">Seller</w:t>
            </w:r>
          </w:p>
        </w:tc>
        <w:tc>
          <w:tcPr/>
          <w:p>
            <w:pPr>
              <w:pStyle w:val="Compact"/>
              <w:jc w:val="left"/>
            </w:pPr>
            <w:r>
              <w:t xml:space="preserve">Estate of Gerald T. Whitford, by and through Claudia Whitford-Barnes, Executrix (Fairfield County Probate Court, Docket No. 2024-PR-04417)</w:t>
            </w:r>
          </w:p>
        </w:tc>
      </w:tr>
      <w:tr>
        <w:tc>
          <w:tcPr/>
          <w:p>
            <w:pPr>
              <w:pStyle w:val="Compact"/>
              <w:jc w:val="left"/>
            </w:pPr>
            <w:r>
              <w:rPr>
                <w:b/>
                <w:bCs/>
              </w:rPr>
              <w:t xml:space="preserve">Buyer</w:t>
            </w:r>
          </w:p>
        </w:tc>
        <w:tc>
          <w:tcPr/>
          <w:p>
            <w:pPr>
              <w:pStyle w:val="Compact"/>
              <w:jc w:val="left"/>
            </w:pPr>
            <w:r>
              <w:t xml:space="preserve">Meridian Cove Properties LLC, a Connecticut LLC (Manager: Elaine R. Matsuda)</w:t>
            </w:r>
          </w:p>
        </w:tc>
      </w:tr>
      <w:tr>
        <w:tc>
          <w:tcPr/>
          <w:p>
            <w:pPr>
              <w:pStyle w:val="Compact"/>
              <w:jc w:val="left"/>
            </w:pPr>
            <w:r>
              <w:rPr>
                <w:b/>
                <w:bCs/>
              </w:rPr>
              <w:t xml:space="preserve">Lender</w:t>
            </w:r>
          </w:p>
        </w:tc>
        <w:tc>
          <w:tcPr/>
          <w:p>
            <w:pPr>
              <w:pStyle w:val="Compact"/>
              <w:jc w:val="left"/>
            </w:pPr>
            <w:r>
              <w:t xml:space="preserve">Tidewater Savings Bank (Loan No. TSB-2025-CRE-04183)</w:t>
            </w:r>
          </w:p>
        </w:tc>
      </w:tr>
      <w:tr>
        <w:tc>
          <w:tcPr/>
          <w:p>
            <w:pPr>
              <w:pStyle w:val="Compact"/>
              <w:jc w:val="left"/>
            </w:pPr>
            <w:r>
              <w:rPr>
                <w:b/>
                <w:bCs/>
              </w:rPr>
              <w:t xml:space="preserve">Closing Agent / Escrow Agent</w:t>
            </w:r>
          </w:p>
        </w:tc>
        <w:tc>
          <w:tcPr/>
          <w:p>
            <w:pPr>
              <w:pStyle w:val="Compact"/>
              <w:jc w:val="left"/>
            </w:pPr>
            <w:r>
              <w:t xml:space="preserve">Pinnacle Abstract &amp; Title LLC (Lorraine M. Grasso, Closing Officer)</w:t>
            </w:r>
          </w:p>
        </w:tc>
      </w:tr>
      <w:tr>
        <w:tc>
          <w:tcPr/>
          <w:p>
            <w:pPr>
              <w:pStyle w:val="Compact"/>
              <w:jc w:val="left"/>
            </w:pPr>
            <w:r>
              <w:rPr>
                <w:b/>
                <w:bCs/>
              </w:rPr>
              <w:t xml:space="preserve">Purchase Price</w:t>
            </w:r>
          </w:p>
        </w:tc>
        <w:tc>
          <w:tcPr/>
          <w:p>
            <w:pPr>
              <w:pStyle w:val="Compact"/>
              <w:jc w:val="left"/>
            </w:pPr>
            <w:r>
              <w:t xml:space="preserve">$3,900,000.00</w:t>
            </w:r>
          </w:p>
        </w:tc>
      </w:tr>
      <w:tr>
        <w:tc>
          <w:tcPr/>
          <w:p>
            <w:pPr>
              <w:pStyle w:val="Compact"/>
              <w:jc w:val="left"/>
            </w:pPr>
            <w:r>
              <w:rPr>
                <w:b/>
                <w:bCs/>
              </w:rPr>
              <w:t xml:space="preserve">Appraised Value (as-is)</w:t>
            </w:r>
          </w:p>
        </w:tc>
        <w:tc>
          <w:tcPr/>
          <w:p>
            <w:pPr>
              <w:pStyle w:val="Compact"/>
              <w:jc w:val="left"/>
            </w:pPr>
            <w:r>
              <w:t xml:space="preserve">$3,920,000.00 (Ashford Valuation Associates LLC, 5/28/2025; exceeds purchase price)</w:t>
            </w:r>
          </w:p>
        </w:tc>
      </w:tr>
      <w:tr>
        <w:tc>
          <w:tcPr/>
          <w:p>
            <w:pPr>
              <w:pStyle w:val="Compact"/>
              <w:jc w:val="left"/>
            </w:pPr>
            <w:r>
              <w:rPr>
                <w:b/>
                <w:bCs/>
              </w:rPr>
              <w:t xml:space="preserve">Loan Amount</w:t>
            </w:r>
          </w:p>
        </w:tc>
        <w:tc>
          <w:tcPr/>
          <w:p>
            <w:pPr>
              <w:pStyle w:val="Compact"/>
              <w:jc w:val="left"/>
            </w:pPr>
            <w:r>
              <w:t xml:space="preserve">$2,640,000.00 (6.875% fixed, 30-yr amortization, 7-yr balloon; LTV ~67.4%)</w:t>
            </w:r>
          </w:p>
        </w:tc>
      </w:tr>
      <w:tr>
        <w:tc>
          <w:tcPr/>
          <w:p>
            <w:pPr>
              <w:pStyle w:val="Compact"/>
              <w:jc w:val="left"/>
            </w:pPr>
            <w:r>
              <w:rPr>
                <w:b/>
                <w:bCs/>
              </w:rPr>
              <w:t xml:space="preserve">Earnest Money</w:t>
            </w:r>
          </w:p>
        </w:tc>
        <w:tc>
          <w:tcPr/>
          <w:p>
            <w:pPr>
              <w:pStyle w:val="Compact"/>
              <w:jc w:val="left"/>
            </w:pPr>
            <w:r>
              <w:t xml:space="preserve">$195,000.00 ($100,000 deposited 4/24/2025 + $95,000 deposited 5/22/2025)</w:t>
            </w:r>
          </w:p>
        </w:tc>
      </w:tr>
      <w:tr>
        <w:tc>
          <w:tcPr/>
          <w:p>
            <w:pPr>
              <w:pStyle w:val="Compact"/>
              <w:jc w:val="left"/>
            </w:pPr>
            <w:r>
              <w:rPr>
                <w:b/>
                <w:bCs/>
              </w:rPr>
              <w:t xml:space="preserve">Proration Date/Time</w:t>
            </w:r>
          </w:p>
        </w:tc>
        <w:tc>
          <w:tcPr/>
          <w:p>
            <w:pPr>
              <w:pStyle w:val="Compact"/>
              <w:jc w:val="left"/>
            </w:pPr>
            <w:r>
              <w:t xml:space="preserve">12:01 a.m. Eastern Time, July 15, 2025 (Closing Date allocated to Buyer)</w:t>
            </w:r>
          </w:p>
        </w:tc>
      </w:tr>
      <w:tr>
        <w:tc>
          <w:tcPr/>
          <w:p>
            <w:pPr>
              <w:pStyle w:val="Compact"/>
              <w:jc w:val="left"/>
            </w:pPr>
            <w:r>
              <w:rPr>
                <w:b/>
                <w:bCs/>
              </w:rPr>
              <w:t xml:space="preserve">Purchase &amp; Sale Agreement</w:t>
            </w:r>
          </w:p>
        </w:tc>
        <w:tc>
          <w:tcPr/>
          <w:p>
            <w:pPr>
              <w:pStyle w:val="Compact"/>
              <w:jc w:val="left"/>
            </w:pPr>
            <w:r>
              <w:t xml:space="preserve">Dated April 22, 2025</w:t>
            </w:r>
          </w:p>
        </w:tc>
      </w:tr>
      <w:tr>
        <w:tc>
          <w:tcPr/>
          <w:p>
            <w:pPr>
              <w:pStyle w:val="Compact"/>
              <w:jc w:val="left"/>
            </w:pPr>
            <w:r>
              <w:rPr>
                <w:b/>
                <w:bCs/>
              </w:rPr>
              <w:t xml:space="preserve">Title Commitment</w:t>
            </w:r>
          </w:p>
        </w:tc>
        <w:tc>
          <w:tcPr/>
          <w:p>
            <w:pPr>
              <w:pStyle w:val="Compact"/>
              <w:jc w:val="left"/>
            </w:pPr>
            <w:r>
              <w:t xml:space="preserve">Pinnacle Abstract &amp; Title LLC, Commitment No. TC-2025-07182 (eff. June 18, 2025)</w:t>
            </w:r>
          </w:p>
        </w:tc>
      </w:tr>
    </w:tbl>
    <w:p>
      <w:r>
        <w:pict>
          <v:rect style="width:0;height:1.5pt" o:hralign="center" o:hrstd="t" o:hr="t"/>
        </w:pict>
      </w:r>
    </w:p>
    <w:bookmarkEnd w:id="20"/>
    <w:bookmarkEnd w:id="21"/>
    <w:bookmarkStart w:id="22" w:name="section-100-gross-amount-due-from-buyer"/>
    <w:p>
      <w:pPr>
        <w:pStyle w:val="Heading2"/>
      </w:pPr>
      <w:r>
        <w:t xml:space="preserve">SECTION 100 — GROSS AMOUNT DUE FROM BUYER</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right"/>
            </w:pPr>
            <w:r>
              <w:t xml:space="preserve">Amount</w:t>
            </w:r>
          </w:p>
        </w:tc>
      </w:tr>
      <w:tr>
        <w:tc>
          <w:tcPr/>
          <w:p>
            <w:pPr>
              <w:pStyle w:val="Compact"/>
              <w:jc w:val="left"/>
            </w:pPr>
            <w:r>
              <w:t xml:space="preserve">100</w:t>
            </w:r>
          </w:p>
        </w:tc>
        <w:tc>
          <w:tcPr/>
          <w:p>
            <w:pPr>
              <w:pStyle w:val="Compact"/>
              <w:jc w:val="left"/>
            </w:pPr>
            <w:r>
              <w:t xml:space="preserve">Contract Sales Price</w:t>
            </w:r>
          </w:p>
        </w:tc>
        <w:tc>
          <w:tcPr/>
          <w:p>
            <w:pPr>
              <w:pStyle w:val="Compact"/>
              <w:jc w:val="right"/>
            </w:pPr>
            <w:r>
              <w:t xml:space="preserve">$3,900,000.00</w:t>
            </w:r>
          </w:p>
        </w:tc>
      </w:tr>
      <w:tr>
        <w:tc>
          <w:tcPr/>
          <w:p>
            <w:pPr>
              <w:pStyle w:val="Compact"/>
              <w:jc w:val="left"/>
            </w:pPr>
            <w:r>
              <w:t xml:space="preserve">101</w:t>
            </w:r>
          </w:p>
        </w:tc>
        <w:tc>
          <w:tcPr/>
          <w:p>
            <w:pPr>
              <w:pStyle w:val="Compact"/>
              <w:jc w:val="left"/>
            </w:pPr>
            <w:r>
              <w:t xml:space="preserve">Heating Oil Reimbursement (Sec. 7.6 — 180 gal. × $3.85/gal.)</w:t>
            </w:r>
          </w:p>
        </w:tc>
        <w:tc>
          <w:tcPr/>
          <w:p>
            <w:pPr>
              <w:pStyle w:val="Compact"/>
              <w:jc w:val="right"/>
            </w:pPr>
            <w:r>
              <w:t xml:space="preserve">$693.00</w:t>
            </w:r>
          </w:p>
        </w:tc>
      </w:tr>
      <w:tr>
        <w:tc>
          <w:tcPr/>
          <w:p>
            <w:pPr>
              <w:pStyle w:val="Compact"/>
              <w:jc w:val="left"/>
            </w:pPr>
            <w:r>
              <w:t xml:space="preserve">103</w:t>
            </w:r>
          </w:p>
        </w:tc>
        <w:tc>
          <w:tcPr/>
          <w:p>
            <w:pPr>
              <w:pStyle w:val="Compact"/>
              <w:jc w:val="left"/>
            </w:pPr>
            <w:r>
              <w:t xml:space="preserve">Total Settlement Charges Paid by Buyer (per Section 1100)</w:t>
            </w:r>
          </w:p>
        </w:tc>
        <w:tc>
          <w:tcPr/>
          <w:p>
            <w:pPr>
              <w:pStyle w:val="Compact"/>
              <w:jc w:val="right"/>
            </w:pPr>
            <w:r>
              <w:t xml:space="preserve">$67,074.00</w:t>
            </w:r>
          </w:p>
        </w:tc>
      </w:tr>
      <w:tr>
        <w:tc>
          <w:tcPr/>
          <w:p>
            <w:pPr>
              <w:pStyle w:val="Compact"/>
              <w:jc w:val="left"/>
            </w:pPr>
            <w:r>
              <w:rPr>
                <w:b/>
                <w:bCs/>
              </w:rPr>
              <w:t xml:space="preserve">120</w:t>
            </w:r>
          </w:p>
        </w:tc>
        <w:tc>
          <w:tcPr/>
          <w:p>
            <w:pPr>
              <w:pStyle w:val="Compact"/>
              <w:jc w:val="left"/>
            </w:pPr>
            <w:r>
              <w:rPr>
                <w:b/>
                <w:bCs/>
              </w:rPr>
              <w:t xml:space="preserve">GROSS AMOUNT DUE FROM BUYER</w:t>
            </w:r>
          </w:p>
        </w:tc>
        <w:tc>
          <w:tcPr/>
          <w:p>
            <w:pPr>
              <w:pStyle w:val="Compact"/>
              <w:jc w:val="right"/>
            </w:pPr>
            <w:r>
              <w:rPr>
                <w:b/>
                <w:bCs/>
              </w:rPr>
              <w:t xml:space="preserve">$3,967,767.00</w:t>
            </w:r>
          </w:p>
        </w:tc>
      </w:tr>
    </w:tbl>
    <w:bookmarkEnd w:id="22"/>
    <w:bookmarkStart w:id="23" w:name="Xb33aaa028f6247f105e133a35061ce2112c9ddb"/>
    <w:p>
      <w:pPr>
        <w:pStyle w:val="Heading2"/>
      </w:pPr>
      <w:r>
        <w:t xml:space="preserve">SECTION 200 — AMOUNTS PAID BY OR ON BEHALF OF BUYER (CREDITS)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right"/>
            </w:pPr>
            <w:r>
              <w:t xml:space="preserve">Amount</w:t>
            </w:r>
          </w:p>
        </w:tc>
      </w:tr>
      <w:tr>
        <w:tc>
          <w:tcPr/>
          <w:p>
            <w:pPr>
              <w:pStyle w:val="Compact"/>
              <w:jc w:val="left"/>
            </w:pPr>
            <w:r>
              <w:t xml:space="preserve">200</w:t>
            </w:r>
          </w:p>
        </w:tc>
        <w:tc>
          <w:tcPr/>
          <w:p>
            <w:pPr>
              <w:pStyle w:val="Compact"/>
              <w:jc w:val="left"/>
            </w:pPr>
            <w:r>
              <w:t xml:space="preserve">Earnest Money Deposit (First $100,000 + Second $95,000)</w:t>
            </w:r>
          </w:p>
        </w:tc>
        <w:tc>
          <w:tcPr/>
          <w:p>
            <w:pPr>
              <w:pStyle w:val="Compact"/>
              <w:jc w:val="right"/>
            </w:pPr>
            <w:r>
              <w:t xml:space="preserve">$195,000.00</w:t>
            </w:r>
          </w:p>
        </w:tc>
      </w:tr>
      <w:tr>
        <w:tc>
          <w:tcPr/>
          <w:p>
            <w:pPr>
              <w:pStyle w:val="Compact"/>
              <w:jc w:val="left"/>
            </w:pPr>
            <w:r>
              <w:t xml:space="preserve">200a</w:t>
            </w:r>
          </w:p>
        </w:tc>
        <w:tc>
          <w:tcPr/>
          <w:p>
            <w:pPr>
              <w:pStyle w:val="Compact"/>
              <w:jc w:val="left"/>
            </w:pPr>
            <w:r>
              <w:t xml:space="preserve">Accrued Interest on Earnest Money</w:t>
            </w:r>
            <w:r>
              <w:t xml:space="preserve"> </w:t>
            </w:r>
            <w:r>
              <w:rPr>
                <w:i/>
                <w:iCs/>
              </w:rPr>
              <w:t xml:space="preserve">(to be confirmed by Escrow Agent)</w:t>
            </w:r>
          </w:p>
        </w:tc>
        <w:tc>
          <w:tcPr/>
          <w:p>
            <w:pPr>
              <w:pStyle w:val="Compact"/>
              <w:jc w:val="right"/>
            </w:pPr>
            <w:r>
              <w:t xml:space="preserve">$0.00</w:t>
            </w:r>
          </w:p>
        </w:tc>
      </w:tr>
      <w:tr>
        <w:tc>
          <w:tcPr/>
          <w:p>
            <w:pPr>
              <w:pStyle w:val="Compact"/>
              <w:jc w:val="left"/>
            </w:pPr>
            <w:r>
              <w:t xml:space="preserve">201</w:t>
            </w:r>
          </w:p>
        </w:tc>
        <w:tc>
          <w:tcPr/>
          <w:p>
            <w:pPr>
              <w:pStyle w:val="Compact"/>
              <w:jc w:val="left"/>
            </w:pPr>
            <w:r>
              <w:t xml:space="preserve">Loan Principal — Tidewater Savings Bank</w:t>
            </w:r>
          </w:p>
        </w:tc>
        <w:tc>
          <w:tcPr/>
          <w:p>
            <w:pPr>
              <w:pStyle w:val="Compact"/>
              <w:jc w:val="right"/>
            </w:pPr>
            <w:r>
              <w:t xml:space="preserve">$2,640,000.00</w:t>
            </w:r>
          </w:p>
        </w:tc>
      </w:tr>
      <w:tr>
        <w:tc>
          <w:tcPr/>
          <w:p>
            <w:pPr>
              <w:pStyle w:val="Compact"/>
              <w:jc w:val="left"/>
            </w:pPr>
            <w:r>
              <w:t xml:space="preserve">202</w:t>
            </w:r>
          </w:p>
        </w:tc>
        <w:tc>
          <w:tcPr/>
          <w:p>
            <w:pPr>
              <w:pStyle w:val="Compact"/>
              <w:jc w:val="left"/>
            </w:pPr>
            <w:r>
              <w:t xml:space="preserve">Rent Proration Credit — Buyer’s share of collected July 2025 rents</w:t>
            </w:r>
          </w:p>
        </w:tc>
        <w:tc>
          <w:tcPr/>
          <w:p>
            <w:pPr>
              <w:pStyle w:val="Compact"/>
              <w:jc w:val="right"/>
            </w:pPr>
            <w:r>
              <w:t xml:space="preserve">$12,941.95</w:t>
            </w:r>
          </w:p>
        </w:tc>
      </w:tr>
      <w:tr>
        <w:tc>
          <w:tcPr/>
          <w:p>
            <w:pPr>
              <w:pStyle w:val="Compact"/>
              <w:jc w:val="left"/>
            </w:pPr>
            <w:r>
              <w:t xml:space="preserve">203</w:t>
            </w:r>
          </w:p>
        </w:tc>
        <w:tc>
          <w:tcPr/>
          <w:p>
            <w:pPr>
              <w:pStyle w:val="Compact"/>
              <w:jc w:val="left"/>
            </w:pPr>
            <w:r>
              <w:t xml:space="preserve">Security Deposit Credit — transferred from Seller (principal)</w:t>
            </w:r>
          </w:p>
        </w:tc>
        <w:tc>
          <w:tcPr/>
          <w:p>
            <w:pPr>
              <w:pStyle w:val="Compact"/>
              <w:jc w:val="right"/>
            </w:pPr>
            <w:r>
              <w:t xml:space="preserve">$32,400.00</w:t>
            </w:r>
          </w:p>
        </w:tc>
      </w:tr>
      <w:tr>
        <w:tc>
          <w:tcPr/>
          <w:p>
            <w:pPr>
              <w:pStyle w:val="Compact"/>
              <w:jc w:val="left"/>
            </w:pPr>
            <w:r>
              <w:t xml:space="preserve">203a</w:t>
            </w:r>
          </w:p>
        </w:tc>
        <w:tc>
          <w:tcPr/>
          <w:p>
            <w:pPr>
              <w:pStyle w:val="Compact"/>
              <w:jc w:val="left"/>
            </w:pPr>
            <w:r>
              <w:t xml:space="preserve">Accrued Interest on Residential Security Deposits</w:t>
            </w:r>
            <w:r>
              <w:t xml:space="preserve"> </w:t>
            </w:r>
            <w:r>
              <w:rPr>
                <w:i/>
                <w:iCs/>
              </w:rPr>
              <w:t xml:space="preserve">(to be confirmed)</w:t>
            </w:r>
          </w:p>
        </w:tc>
        <w:tc>
          <w:tcPr/>
          <w:p>
            <w:pPr>
              <w:pStyle w:val="Compact"/>
              <w:jc w:val="right"/>
            </w:pPr>
            <w:r>
              <w:t xml:space="preserve">$0.00</w:t>
            </w:r>
          </w:p>
        </w:tc>
      </w:tr>
      <w:tr>
        <w:tc>
          <w:tcPr/>
          <w:p>
            <w:pPr>
              <w:pStyle w:val="Compact"/>
              <w:jc w:val="left"/>
            </w:pPr>
            <w:r>
              <w:t xml:space="preserve">204</w:t>
            </w:r>
          </w:p>
        </w:tc>
        <w:tc>
          <w:tcPr/>
          <w:p>
            <w:pPr>
              <w:pStyle w:val="Compact"/>
              <w:jc w:val="left"/>
            </w:pPr>
            <w:r>
              <w:t xml:space="preserve">Utility (Water/Sewer) Credit — Seller’s unpaid balance</w:t>
            </w:r>
          </w:p>
        </w:tc>
        <w:tc>
          <w:tcPr/>
          <w:p>
            <w:pPr>
              <w:pStyle w:val="Compact"/>
              <w:jc w:val="right"/>
            </w:pPr>
            <w:r>
              <w:t xml:space="preserve">$1,847.60</w:t>
            </w:r>
          </w:p>
        </w:tc>
      </w:tr>
      <w:tr>
        <w:tc>
          <w:tcPr/>
          <w:p>
            <w:pPr>
              <w:pStyle w:val="Compact"/>
              <w:jc w:val="left"/>
            </w:pPr>
            <w:r>
              <w:t xml:space="preserve">205</w:t>
            </w:r>
          </w:p>
        </w:tc>
        <w:tc>
          <w:tcPr/>
          <w:p>
            <w:pPr>
              <w:pStyle w:val="Compact"/>
              <w:jc w:val="left"/>
            </w:pPr>
            <w:r>
              <w:t xml:space="preserve">Property Tax Proration Credit — Seller’s share, FY 2025–2026 (est.)</w:t>
            </w:r>
          </w:p>
        </w:tc>
        <w:tc>
          <w:tcPr/>
          <w:p>
            <w:pPr>
              <w:pStyle w:val="Compact"/>
              <w:jc w:val="right"/>
            </w:pPr>
            <w:r>
              <w:t xml:space="preserve">$2,012.93</w:t>
            </w:r>
          </w:p>
        </w:tc>
      </w:tr>
      <w:tr>
        <w:tc>
          <w:tcPr/>
          <w:p>
            <w:pPr>
              <w:pStyle w:val="Compact"/>
              <w:jc w:val="left"/>
            </w:pPr>
            <w:r>
              <w:rPr>
                <w:b/>
                <w:bCs/>
              </w:rPr>
              <w:t xml:space="preserve">220</w:t>
            </w:r>
          </w:p>
        </w:tc>
        <w:tc>
          <w:tcPr/>
          <w:p>
            <w:pPr>
              <w:pStyle w:val="Compact"/>
              <w:jc w:val="left"/>
            </w:pPr>
            <w:r>
              <w:rPr>
                <w:b/>
                <w:bCs/>
              </w:rPr>
              <w:t xml:space="preserve">TOTAL PAID BY / FOR BUYER</w:t>
            </w:r>
          </w:p>
        </w:tc>
        <w:tc>
          <w:tcPr/>
          <w:p>
            <w:pPr>
              <w:pStyle w:val="Compact"/>
              <w:jc w:val="right"/>
            </w:pPr>
            <w:r>
              <w:rPr>
                <w:b/>
                <w:bCs/>
              </w:rPr>
              <w:t xml:space="preserve">$2,884,202.48</w:t>
            </w:r>
          </w:p>
        </w:tc>
      </w:tr>
    </w:tbl>
    <w:bookmarkEnd w:id="23"/>
    <w:bookmarkStart w:id="24" w:name="X98f27ac93df784406a87e76b57c96760d8e1386"/>
    <w:p>
      <w:pPr>
        <w:pStyle w:val="Heading2"/>
      </w:pPr>
      <w:r>
        <w:t xml:space="preserve">SECTION 300 — CASH AT SETTLEMENT FROM BUYER</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right"/>
            </w:pPr>
            <w:r>
              <w:t xml:space="preserve">Amount</w:t>
            </w:r>
          </w:p>
        </w:tc>
      </w:tr>
      <w:tr>
        <w:tc>
          <w:tcPr/>
          <w:p>
            <w:pPr>
              <w:pStyle w:val="Compact"/>
              <w:jc w:val="left"/>
            </w:pPr>
            <w:r>
              <w:t xml:space="preserve">300</w:t>
            </w:r>
          </w:p>
        </w:tc>
        <w:tc>
          <w:tcPr/>
          <w:p>
            <w:pPr>
              <w:pStyle w:val="Compact"/>
              <w:jc w:val="left"/>
            </w:pPr>
            <w:r>
              <w:t xml:space="preserve">Gross Amount Due from Buyer (Line 120)</w:t>
            </w:r>
          </w:p>
        </w:tc>
        <w:tc>
          <w:tcPr/>
          <w:p>
            <w:pPr>
              <w:pStyle w:val="Compact"/>
              <w:jc w:val="right"/>
            </w:pPr>
            <w:r>
              <w:t xml:space="preserve">$3,967,767.00</w:t>
            </w:r>
          </w:p>
        </w:tc>
      </w:tr>
      <w:tr>
        <w:tc>
          <w:tcPr/>
          <w:p>
            <w:pPr>
              <w:pStyle w:val="Compact"/>
              <w:jc w:val="left"/>
            </w:pPr>
            <w:r>
              <w:t xml:space="preserve">301</w:t>
            </w:r>
          </w:p>
        </w:tc>
        <w:tc>
          <w:tcPr/>
          <w:p>
            <w:pPr>
              <w:pStyle w:val="Compact"/>
              <w:jc w:val="left"/>
            </w:pPr>
            <w:r>
              <w:t xml:space="preserve">Less: Total Paid by / for Buyer (Line 220)</w:t>
            </w:r>
          </w:p>
        </w:tc>
        <w:tc>
          <w:tcPr/>
          <w:p>
            <w:pPr>
              <w:pStyle w:val="Compact"/>
              <w:jc w:val="right"/>
            </w:pPr>
            <w:r>
              <w:t xml:space="preserve">$2,884,202.48</w:t>
            </w:r>
          </w:p>
        </w:tc>
      </w:tr>
      <w:tr>
        <w:tc>
          <w:tcPr/>
          <w:p>
            <w:pPr>
              <w:pStyle w:val="Compact"/>
              <w:jc w:val="left"/>
            </w:pPr>
            <w:r>
              <w:rPr>
                <w:b/>
                <w:bCs/>
              </w:rPr>
              <w:t xml:space="preserve">302</w:t>
            </w:r>
          </w:p>
        </w:tc>
        <w:tc>
          <w:tcPr/>
          <w:p>
            <w:pPr>
              <w:pStyle w:val="Compact"/>
              <w:jc w:val="left"/>
            </w:pPr>
            <w:r>
              <w:rPr>
                <w:b/>
                <w:bCs/>
              </w:rPr>
              <w:t xml:space="preserve">CASH REQUIRED FROM BUYER AT SETTLEMENT</w:t>
            </w:r>
          </w:p>
        </w:tc>
        <w:tc>
          <w:tcPr/>
          <w:p>
            <w:pPr>
              <w:pStyle w:val="Compact"/>
              <w:jc w:val="right"/>
            </w:pPr>
            <w:r>
              <w:rPr>
                <w:b/>
                <w:bCs/>
              </w:rPr>
              <w:t xml:space="preserve">$1,083,564.52</w:t>
            </w:r>
          </w:p>
        </w:tc>
      </w:tr>
    </w:tbl>
    <w:p>
      <w:r>
        <w:pict>
          <v:rect style="width:0;height:1.5pt" o:hralign="center" o:hrstd="t" o:hr="t"/>
        </w:pict>
      </w:r>
    </w:p>
    <w:bookmarkEnd w:id="24"/>
    <w:bookmarkStart w:id="25" w:name="section-400-gross-amount-due-to-seller"/>
    <w:p>
      <w:pPr>
        <w:pStyle w:val="Heading2"/>
      </w:pPr>
      <w:r>
        <w:t xml:space="preserve">SECTION 400 — GROSS AMOUNT DUE TO SELLER</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right"/>
            </w:pPr>
            <w:r>
              <w:t xml:space="preserve">Amount</w:t>
            </w:r>
          </w:p>
        </w:tc>
      </w:tr>
      <w:tr>
        <w:tc>
          <w:tcPr/>
          <w:p>
            <w:pPr>
              <w:pStyle w:val="Compact"/>
              <w:jc w:val="left"/>
            </w:pPr>
            <w:r>
              <w:t xml:space="preserve">400</w:t>
            </w:r>
          </w:p>
        </w:tc>
        <w:tc>
          <w:tcPr/>
          <w:p>
            <w:pPr>
              <w:pStyle w:val="Compact"/>
              <w:jc w:val="left"/>
            </w:pPr>
            <w:r>
              <w:t xml:space="preserve">Contract Sales Price</w:t>
            </w:r>
          </w:p>
        </w:tc>
        <w:tc>
          <w:tcPr/>
          <w:p>
            <w:pPr>
              <w:pStyle w:val="Compact"/>
              <w:jc w:val="right"/>
            </w:pPr>
            <w:r>
              <w:t xml:space="preserve">$3,900,000.00</w:t>
            </w:r>
          </w:p>
        </w:tc>
      </w:tr>
      <w:tr>
        <w:tc>
          <w:tcPr/>
          <w:p>
            <w:pPr>
              <w:pStyle w:val="Compact"/>
              <w:jc w:val="left"/>
            </w:pPr>
            <w:r>
              <w:t xml:space="preserve">401</w:t>
            </w:r>
          </w:p>
        </w:tc>
        <w:tc>
          <w:tcPr/>
          <w:p>
            <w:pPr>
              <w:pStyle w:val="Compact"/>
              <w:jc w:val="left"/>
            </w:pPr>
            <w:r>
              <w:t xml:space="preserve">Heating Oil Credit (Sec. 7.6 — 180 gal. × $3.85/gal.)</w:t>
            </w:r>
          </w:p>
        </w:tc>
        <w:tc>
          <w:tcPr/>
          <w:p>
            <w:pPr>
              <w:pStyle w:val="Compact"/>
              <w:jc w:val="right"/>
            </w:pPr>
            <w:r>
              <w:t xml:space="preserve">$693.00</w:t>
            </w:r>
          </w:p>
        </w:tc>
      </w:tr>
      <w:tr>
        <w:tc>
          <w:tcPr/>
          <w:p>
            <w:pPr>
              <w:pStyle w:val="Compact"/>
              <w:jc w:val="left"/>
            </w:pPr>
            <w:r>
              <w:rPr>
                <w:b/>
                <w:bCs/>
              </w:rPr>
              <w:t xml:space="preserve">420</w:t>
            </w:r>
          </w:p>
        </w:tc>
        <w:tc>
          <w:tcPr/>
          <w:p>
            <w:pPr>
              <w:pStyle w:val="Compact"/>
              <w:jc w:val="left"/>
            </w:pPr>
            <w:r>
              <w:rPr>
                <w:b/>
                <w:bCs/>
              </w:rPr>
              <w:t xml:space="preserve">GROSS AMOUNT DUE TO SELLER</w:t>
            </w:r>
          </w:p>
        </w:tc>
        <w:tc>
          <w:tcPr/>
          <w:p>
            <w:pPr>
              <w:pStyle w:val="Compact"/>
              <w:jc w:val="right"/>
            </w:pPr>
            <w:r>
              <w:rPr>
                <w:b/>
                <w:bCs/>
              </w:rPr>
              <w:t xml:space="preserve">$3,900,693.00</w:t>
            </w:r>
          </w:p>
        </w:tc>
      </w:tr>
    </w:tbl>
    <w:bookmarkEnd w:id="25"/>
    <w:bookmarkStart w:id="26" w:name="Xe73085e2070c436f0e7e9865ac630b433facc0b"/>
    <w:p>
      <w:pPr>
        <w:pStyle w:val="Heading2"/>
      </w:pPr>
      <w:r>
        <w:t xml:space="preserve">SECTION 500 — REDUCTIONS IN AMOUNT PAID TO SELLER (DEBITS)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right"/>
            </w:pPr>
            <w:r>
              <w:t xml:space="preserve">Amount</w:t>
            </w:r>
          </w:p>
        </w:tc>
      </w:tr>
      <w:tr>
        <w:tc>
          <w:tcPr/>
          <w:p>
            <w:pPr>
              <w:pStyle w:val="Compact"/>
              <w:jc w:val="left"/>
            </w:pPr>
            <w:r>
              <w:t xml:space="preserve">501</w:t>
            </w:r>
          </w:p>
        </w:tc>
        <w:tc>
          <w:tcPr/>
          <w:p>
            <w:pPr>
              <w:pStyle w:val="Compact"/>
              <w:jc w:val="left"/>
            </w:pPr>
            <w:r>
              <w:t xml:space="preserve">Payoff — Harborstone Federal Credit Union First Mortgage (Loan No. 2015-MTG-008174)</w:t>
            </w:r>
          </w:p>
        </w:tc>
        <w:tc>
          <w:tcPr/>
          <w:p>
            <w:pPr>
              <w:pStyle w:val="Compact"/>
              <w:jc w:val="right"/>
            </w:pPr>
            <w:r>
              <w:t xml:space="preserve">$687,412.33</w:t>
            </w:r>
          </w:p>
        </w:tc>
      </w:tr>
      <w:tr>
        <w:tc>
          <w:tcPr/>
          <w:p>
            <w:pPr>
              <w:pStyle w:val="Compact"/>
              <w:jc w:val="left"/>
            </w:pPr>
            <w:r>
              <w:t xml:space="preserve">502</w:t>
            </w:r>
          </w:p>
        </w:tc>
        <w:tc>
          <w:tcPr/>
          <w:p>
            <w:pPr>
              <w:pStyle w:val="Compact"/>
              <w:jc w:val="left"/>
            </w:pPr>
            <w:r>
              <w:t xml:space="preserve">Payoff — Harborstone Federal Credit Union HELOC (Loan No. 2018-HEL-003291)</w:t>
            </w:r>
          </w:p>
        </w:tc>
        <w:tc>
          <w:tcPr/>
          <w:p>
            <w:pPr>
              <w:pStyle w:val="Compact"/>
              <w:jc w:val="right"/>
            </w:pPr>
            <w:r>
              <w:t xml:space="preserve">$148,219.56</w:t>
            </w:r>
          </w:p>
        </w:tc>
      </w:tr>
      <w:tr>
        <w:tc>
          <w:tcPr/>
          <w:p>
            <w:pPr>
              <w:pStyle w:val="Compact"/>
              <w:jc w:val="left"/>
            </w:pPr>
            <w:r>
              <w:t xml:space="preserve">503</w:t>
            </w:r>
          </w:p>
        </w:tc>
        <w:tc>
          <w:tcPr/>
          <w:p>
            <w:pPr>
              <w:pStyle w:val="Compact"/>
              <w:jc w:val="left"/>
            </w:pPr>
            <w:r>
              <w:t xml:space="preserve">Settlement — Northbridge Construction Co. Mechanic’s Lien</w:t>
            </w:r>
          </w:p>
        </w:tc>
        <w:tc>
          <w:tcPr/>
          <w:p>
            <w:pPr>
              <w:pStyle w:val="Compact"/>
              <w:jc w:val="right"/>
            </w:pPr>
            <w:r>
              <w:t xml:space="preserve">$31,000.00</w:t>
            </w:r>
          </w:p>
        </w:tc>
      </w:tr>
      <w:tr>
        <w:tc>
          <w:tcPr/>
          <w:p>
            <w:pPr>
              <w:pStyle w:val="Compact"/>
              <w:jc w:val="left"/>
            </w:pPr>
            <w:r>
              <w:t xml:space="preserve">504</w:t>
            </w:r>
          </w:p>
        </w:tc>
        <w:tc>
          <w:tcPr/>
          <w:p>
            <w:pPr>
              <w:pStyle w:val="Compact"/>
              <w:jc w:val="left"/>
            </w:pPr>
            <w:r>
              <w:t xml:space="preserve">Delinquent Property Tax — 2nd Installment, FY 2024–2025 (due 1/1/2025)</w:t>
            </w:r>
          </w:p>
        </w:tc>
        <w:tc>
          <w:tcPr/>
          <w:p>
            <w:pPr>
              <w:pStyle w:val="Compact"/>
              <w:jc w:val="right"/>
            </w:pPr>
            <w:r>
              <w:t xml:space="preserve">$26,240.00</w:t>
            </w:r>
          </w:p>
        </w:tc>
      </w:tr>
      <w:tr>
        <w:tc>
          <w:tcPr/>
          <w:p>
            <w:pPr>
              <w:pStyle w:val="Compact"/>
              <w:jc w:val="left"/>
            </w:pPr>
            <w:r>
              <w:t xml:space="preserve">505</w:t>
            </w:r>
          </w:p>
        </w:tc>
        <w:tc>
          <w:tcPr/>
          <w:p>
            <w:pPr>
              <w:pStyle w:val="Compact"/>
              <w:jc w:val="left"/>
            </w:pPr>
            <w:r>
              <w:t xml:space="preserve">Interest on Delinquent Property Taxes (through 7/15/2025, per CT § 12-146)</w:t>
            </w:r>
          </w:p>
        </w:tc>
        <w:tc>
          <w:tcPr/>
          <w:p>
            <w:pPr>
              <w:pStyle w:val="Compact"/>
              <w:jc w:val="right"/>
            </w:pPr>
            <w:r>
              <w:t xml:space="preserve">$2,362.80</w:t>
            </w:r>
          </w:p>
        </w:tc>
      </w:tr>
      <w:tr>
        <w:tc>
          <w:tcPr/>
          <w:p>
            <w:pPr>
              <w:pStyle w:val="Compact"/>
              <w:jc w:val="left"/>
            </w:pPr>
            <w:r>
              <w:t xml:space="preserve">506</w:t>
            </w:r>
          </w:p>
        </w:tc>
        <w:tc>
          <w:tcPr/>
          <w:p>
            <w:pPr>
              <w:pStyle w:val="Compact"/>
              <w:jc w:val="left"/>
            </w:pPr>
            <w:r>
              <w:t xml:space="preserve">Rent Proration — Buyer’s share of collected July 2025 rents</w:t>
            </w:r>
          </w:p>
        </w:tc>
        <w:tc>
          <w:tcPr/>
          <w:p>
            <w:pPr>
              <w:pStyle w:val="Compact"/>
              <w:jc w:val="right"/>
            </w:pPr>
            <w:r>
              <w:t xml:space="preserve">$12,941.95</w:t>
            </w:r>
          </w:p>
        </w:tc>
      </w:tr>
      <w:tr>
        <w:tc>
          <w:tcPr/>
          <w:p>
            <w:pPr>
              <w:pStyle w:val="Compact"/>
              <w:jc w:val="left"/>
            </w:pPr>
            <w:r>
              <w:t xml:space="preserve">507</w:t>
            </w:r>
          </w:p>
        </w:tc>
        <w:tc>
          <w:tcPr/>
          <w:p>
            <w:pPr>
              <w:pStyle w:val="Compact"/>
              <w:jc w:val="left"/>
            </w:pPr>
            <w:r>
              <w:t xml:space="preserve">Security Deposits Transferred to Buyer (principal)</w:t>
            </w:r>
          </w:p>
        </w:tc>
        <w:tc>
          <w:tcPr/>
          <w:p>
            <w:pPr>
              <w:pStyle w:val="Compact"/>
              <w:jc w:val="right"/>
            </w:pPr>
            <w:r>
              <w:t xml:space="preserve">$32,400.00</w:t>
            </w:r>
          </w:p>
        </w:tc>
      </w:tr>
      <w:tr>
        <w:tc>
          <w:tcPr/>
          <w:p>
            <w:pPr>
              <w:pStyle w:val="Compact"/>
              <w:jc w:val="left"/>
            </w:pPr>
            <w:r>
              <w:t xml:space="preserve">507a</w:t>
            </w:r>
          </w:p>
        </w:tc>
        <w:tc>
          <w:tcPr/>
          <w:p>
            <w:pPr>
              <w:pStyle w:val="Compact"/>
              <w:jc w:val="left"/>
            </w:pPr>
            <w:r>
              <w:t xml:space="preserve">Accrued Interest on Residential Security Deposits</w:t>
            </w:r>
            <w:r>
              <w:t xml:space="preserve"> </w:t>
            </w:r>
            <w:r>
              <w:rPr>
                <w:i/>
                <w:iCs/>
              </w:rPr>
              <w:t xml:space="preserve">(to be confirmed)</w:t>
            </w:r>
          </w:p>
        </w:tc>
        <w:tc>
          <w:tcPr/>
          <w:p>
            <w:pPr>
              <w:pStyle w:val="Compact"/>
              <w:jc w:val="right"/>
            </w:pPr>
            <w:r>
              <w:t xml:space="preserve">$0.00</w:t>
            </w:r>
          </w:p>
        </w:tc>
      </w:tr>
      <w:tr>
        <w:tc>
          <w:tcPr/>
          <w:p>
            <w:pPr>
              <w:pStyle w:val="Compact"/>
              <w:jc w:val="left"/>
            </w:pPr>
            <w:r>
              <w:t xml:space="preserve">508</w:t>
            </w:r>
          </w:p>
        </w:tc>
        <w:tc>
          <w:tcPr/>
          <w:p>
            <w:pPr>
              <w:pStyle w:val="Compact"/>
              <w:jc w:val="left"/>
            </w:pPr>
            <w:r>
              <w:t xml:space="preserve">Utility (Water/Sewer) — Seller’s unpaid balance (billing period ending 7/14/2025)</w:t>
            </w:r>
          </w:p>
        </w:tc>
        <w:tc>
          <w:tcPr/>
          <w:p>
            <w:pPr>
              <w:pStyle w:val="Compact"/>
              <w:jc w:val="right"/>
            </w:pPr>
            <w:r>
              <w:t xml:space="preserve">$1,847.60</w:t>
            </w:r>
          </w:p>
        </w:tc>
      </w:tr>
      <w:tr>
        <w:tc>
          <w:tcPr/>
          <w:p>
            <w:pPr>
              <w:pStyle w:val="Compact"/>
              <w:jc w:val="left"/>
            </w:pPr>
            <w:r>
              <w:t xml:space="preserve">509</w:t>
            </w:r>
          </w:p>
        </w:tc>
        <w:tc>
          <w:tcPr/>
          <w:p>
            <w:pPr>
              <w:pStyle w:val="Compact"/>
              <w:jc w:val="left"/>
            </w:pPr>
            <w:r>
              <w:t xml:space="preserve">Property Tax Proration — Seller’s share, FY 2025–2026 (est., 14 days)</w:t>
            </w:r>
          </w:p>
        </w:tc>
        <w:tc>
          <w:tcPr/>
          <w:p>
            <w:pPr>
              <w:pStyle w:val="Compact"/>
              <w:jc w:val="right"/>
            </w:pPr>
            <w:r>
              <w:t xml:space="preserve">$2,012.93</w:t>
            </w:r>
          </w:p>
        </w:tc>
      </w:tr>
      <w:tr>
        <w:tc>
          <w:tcPr/>
          <w:p>
            <w:pPr>
              <w:pStyle w:val="Compact"/>
              <w:jc w:val="left"/>
            </w:pPr>
            <w:r>
              <w:t xml:space="preserve">510</w:t>
            </w:r>
          </w:p>
        </w:tc>
        <w:tc>
          <w:tcPr/>
          <w:p>
            <w:pPr>
              <w:pStyle w:val="Compact"/>
              <w:jc w:val="left"/>
            </w:pPr>
            <w:r>
              <w:t xml:space="preserve">Owner’s Title Insurance Premium ($3,900,000 coverage)</w:t>
            </w:r>
          </w:p>
        </w:tc>
        <w:tc>
          <w:tcPr/>
          <w:p>
            <w:pPr>
              <w:pStyle w:val="Compact"/>
              <w:jc w:val="right"/>
            </w:pPr>
            <w:r>
              <w:t xml:space="preserve">$8,275.00</w:t>
            </w:r>
          </w:p>
        </w:tc>
      </w:tr>
      <w:tr>
        <w:tc>
          <w:tcPr/>
          <w:p>
            <w:pPr>
              <w:pStyle w:val="Compact"/>
              <w:jc w:val="left"/>
            </w:pPr>
            <w:r>
              <w:t xml:space="preserve">511</w:t>
            </w:r>
          </w:p>
        </w:tc>
        <w:tc>
          <w:tcPr/>
          <w:p>
            <w:pPr>
              <w:pStyle w:val="Compact"/>
              <w:jc w:val="left"/>
            </w:pPr>
            <w:r>
              <w:t xml:space="preserve">Seller’s Recording Fees (4 lien releases × $73.00)</w:t>
            </w:r>
          </w:p>
        </w:tc>
        <w:tc>
          <w:tcPr/>
          <w:p>
            <w:pPr>
              <w:pStyle w:val="Compact"/>
              <w:jc w:val="right"/>
            </w:pPr>
            <w:r>
              <w:t xml:space="preserve">$292.00</w:t>
            </w:r>
          </w:p>
        </w:tc>
      </w:tr>
      <w:tr>
        <w:tc>
          <w:tcPr/>
          <w:p>
            <w:pPr>
              <w:pStyle w:val="Compact"/>
              <w:jc w:val="left"/>
            </w:pPr>
            <w:r>
              <w:t xml:space="preserve">512</w:t>
            </w:r>
          </w:p>
        </w:tc>
        <w:tc>
          <w:tcPr/>
          <w:p>
            <w:pPr>
              <w:pStyle w:val="Compact"/>
              <w:jc w:val="left"/>
            </w:pPr>
            <w:r>
              <w:t xml:space="preserve">Connecticut Real Estate Conveyance Tax — Seller’s 50% (est.)</w:t>
            </w:r>
          </w:p>
        </w:tc>
        <w:tc>
          <w:tcPr/>
          <w:p>
            <w:pPr>
              <w:pStyle w:val="Compact"/>
              <w:jc w:val="right"/>
            </w:pPr>
            <w:r>
              <w:t xml:space="preserve">$22,375.00</w:t>
            </w:r>
          </w:p>
        </w:tc>
      </w:tr>
      <w:tr>
        <w:tc>
          <w:tcPr/>
          <w:p>
            <w:pPr>
              <w:pStyle w:val="Compact"/>
              <w:jc w:val="left"/>
            </w:pPr>
            <w:r>
              <w:t xml:space="preserve">513</w:t>
            </w:r>
          </w:p>
        </w:tc>
        <w:tc>
          <w:tcPr/>
          <w:p>
            <w:pPr>
              <w:pStyle w:val="Compact"/>
              <w:jc w:val="left"/>
            </w:pPr>
            <w:r>
              <w:t xml:space="preserve">Seller’s Attorney Fees (Ashford, Clement &amp; Paige LLP)</w:t>
            </w:r>
          </w:p>
        </w:tc>
        <w:tc>
          <w:tcPr/>
          <w:p>
            <w:pPr>
              <w:pStyle w:val="Compact"/>
              <w:jc w:val="right"/>
            </w:pPr>
            <w:r>
              <w:t xml:space="preserve">$11,000.00</w:t>
            </w:r>
          </w:p>
        </w:tc>
      </w:tr>
      <w:tr>
        <w:tc>
          <w:tcPr/>
          <w:p>
            <w:pPr>
              <w:pStyle w:val="Compact"/>
              <w:jc w:val="left"/>
            </w:pPr>
            <w:r>
              <w:t xml:space="preserve">514</w:t>
            </w:r>
          </w:p>
        </w:tc>
        <w:tc>
          <w:tcPr/>
          <w:p>
            <w:pPr>
              <w:pStyle w:val="Compact"/>
              <w:jc w:val="left"/>
            </w:pPr>
            <w:r>
              <w:t xml:space="preserve">Probate Court Certificate</w:t>
            </w:r>
          </w:p>
        </w:tc>
        <w:tc>
          <w:tcPr/>
          <w:p>
            <w:pPr>
              <w:pStyle w:val="Compact"/>
              <w:jc w:val="right"/>
            </w:pPr>
            <w:r>
              <w:t xml:space="preserve">$150.00</w:t>
            </w:r>
          </w:p>
        </w:tc>
      </w:tr>
      <w:tr>
        <w:tc>
          <w:tcPr/>
          <w:p>
            <w:pPr>
              <w:pStyle w:val="Compact"/>
              <w:jc w:val="left"/>
            </w:pPr>
            <w:r>
              <w:t xml:space="preserve">515</w:t>
            </w:r>
          </w:p>
        </w:tc>
        <w:tc>
          <w:tcPr/>
          <w:p>
            <w:pPr>
              <w:pStyle w:val="Compact"/>
              <w:jc w:val="left"/>
            </w:pPr>
            <w:r>
              <w:t xml:space="preserve">Management Agreement Termination Fee (Bayshore Management Co.)</w:t>
            </w:r>
          </w:p>
        </w:tc>
        <w:tc>
          <w:tcPr/>
          <w:p>
            <w:pPr>
              <w:pStyle w:val="Compact"/>
              <w:jc w:val="right"/>
            </w:pPr>
            <w:r>
              <w:t xml:space="preserve">$4,500.00</w:t>
            </w:r>
          </w:p>
        </w:tc>
      </w:tr>
      <w:tr>
        <w:tc>
          <w:tcPr/>
          <w:p>
            <w:pPr>
              <w:pStyle w:val="Compact"/>
              <w:jc w:val="left"/>
            </w:pPr>
            <w:r>
              <w:t xml:space="preserve">516</w:t>
            </w:r>
          </w:p>
        </w:tc>
        <w:tc>
          <w:tcPr/>
          <w:p>
            <w:pPr>
              <w:pStyle w:val="Compact"/>
              <w:jc w:val="left"/>
            </w:pPr>
            <w:r>
              <w:t xml:space="preserve">Repair Escrow — Roof Repair Holdback (Sec. 8.4; held by Escrow Agent)</w:t>
            </w:r>
          </w:p>
        </w:tc>
        <w:tc>
          <w:tcPr/>
          <w:p>
            <w:pPr>
              <w:pStyle w:val="Compact"/>
              <w:jc w:val="right"/>
            </w:pPr>
            <w:r>
              <w:t xml:space="preserve">$45,000.00</w:t>
            </w:r>
          </w:p>
        </w:tc>
      </w:tr>
      <w:tr>
        <w:tc>
          <w:tcPr/>
          <w:p>
            <w:pPr>
              <w:pStyle w:val="Compact"/>
              <w:jc w:val="left"/>
            </w:pPr>
            <w:r>
              <w:rPr>
                <w:b/>
                <w:bCs/>
              </w:rPr>
              <w:t xml:space="preserve">530</w:t>
            </w:r>
          </w:p>
        </w:tc>
        <w:tc>
          <w:tcPr/>
          <w:p>
            <w:pPr>
              <w:pStyle w:val="Compact"/>
              <w:jc w:val="left"/>
            </w:pPr>
            <w:r>
              <w:rPr>
                <w:b/>
                <w:bCs/>
              </w:rPr>
              <w:t xml:space="preserve">TOTAL REDUCTIONS IN AMOUNT PAID TO SELLER</w:t>
            </w:r>
          </w:p>
        </w:tc>
        <w:tc>
          <w:tcPr/>
          <w:p>
            <w:pPr>
              <w:pStyle w:val="Compact"/>
              <w:jc w:val="right"/>
            </w:pPr>
            <w:r>
              <w:rPr>
                <w:b/>
                <w:bCs/>
              </w:rPr>
              <w:t xml:space="preserve">$1,036,029.17</w:t>
            </w:r>
          </w:p>
        </w:tc>
      </w:tr>
    </w:tbl>
    <w:bookmarkEnd w:id="26"/>
    <w:bookmarkStart w:id="27" w:name="section-600-cash-at-settlement-to-seller"/>
    <w:p>
      <w:pPr>
        <w:pStyle w:val="Heading2"/>
      </w:pPr>
      <w:r>
        <w:t xml:space="preserve">SECTION 600 — CASH AT SETTLEMENT TO SELLER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right"/>
            </w:pPr>
            <w:r>
              <w:t xml:space="preserve">Amount</w:t>
            </w:r>
          </w:p>
        </w:tc>
      </w:tr>
      <w:tr>
        <w:tc>
          <w:tcPr/>
          <w:p>
            <w:pPr>
              <w:pStyle w:val="Compact"/>
              <w:jc w:val="left"/>
            </w:pPr>
            <w:r>
              <w:t xml:space="preserve">600</w:t>
            </w:r>
          </w:p>
        </w:tc>
        <w:tc>
          <w:tcPr/>
          <w:p>
            <w:pPr>
              <w:pStyle w:val="Compact"/>
              <w:jc w:val="left"/>
            </w:pPr>
            <w:r>
              <w:t xml:space="preserve">Gross Amount Due to Seller (Line 420)</w:t>
            </w:r>
          </w:p>
        </w:tc>
        <w:tc>
          <w:tcPr/>
          <w:p>
            <w:pPr>
              <w:pStyle w:val="Compact"/>
              <w:jc w:val="right"/>
            </w:pPr>
            <w:r>
              <w:t xml:space="preserve">$3,900,693.00</w:t>
            </w:r>
          </w:p>
        </w:tc>
      </w:tr>
      <w:tr>
        <w:tc>
          <w:tcPr/>
          <w:p>
            <w:pPr>
              <w:pStyle w:val="Compact"/>
              <w:jc w:val="left"/>
            </w:pPr>
            <w:r>
              <w:t xml:space="preserve">601</w:t>
            </w:r>
          </w:p>
        </w:tc>
        <w:tc>
          <w:tcPr/>
          <w:p>
            <w:pPr>
              <w:pStyle w:val="Compact"/>
              <w:jc w:val="left"/>
            </w:pPr>
            <w:r>
              <w:t xml:space="preserve">Less: Total Reductions (Line 530)</w:t>
            </w:r>
          </w:p>
        </w:tc>
        <w:tc>
          <w:tcPr/>
          <w:p>
            <w:pPr>
              <w:pStyle w:val="Compact"/>
              <w:jc w:val="right"/>
            </w:pPr>
            <w:r>
              <w:t xml:space="preserve">$1,036,029.17</w:t>
            </w:r>
          </w:p>
        </w:tc>
      </w:tr>
      <w:tr>
        <w:tc>
          <w:tcPr/>
          <w:p>
            <w:pPr>
              <w:pStyle w:val="Compact"/>
              <w:jc w:val="left"/>
            </w:pPr>
            <w:r>
              <w:rPr>
                <w:b/>
                <w:bCs/>
              </w:rPr>
              <w:t xml:space="preserve">602</w:t>
            </w:r>
          </w:p>
        </w:tc>
        <w:tc>
          <w:tcPr/>
          <w:p>
            <w:pPr>
              <w:pStyle w:val="Compact"/>
              <w:jc w:val="left"/>
            </w:pPr>
            <w:r>
              <w:rPr>
                <w:b/>
                <w:bCs/>
              </w:rPr>
              <w:t xml:space="preserve">NET PROCEEDS TO SELLER</w:t>
            </w:r>
          </w:p>
        </w:tc>
        <w:tc>
          <w:tcPr/>
          <w:p>
            <w:pPr>
              <w:pStyle w:val="Compact"/>
              <w:jc w:val="right"/>
            </w:pPr>
            <w:r>
              <w:rPr>
                <w:b/>
                <w:bCs/>
              </w:rPr>
              <w:t xml:space="preserve">$2,864,663.83</w:t>
            </w:r>
          </w:p>
        </w:tc>
      </w:tr>
    </w:tbl>
    <w:p>
      <w:r>
        <w:pict>
          <v:rect style="width:0;height:1.5pt" o:hralign="center" o:hrstd="t" o:hr="t"/>
        </w:pict>
      </w:r>
    </w:p>
    <w:bookmarkEnd w:id="27"/>
    <w:bookmarkStart w:id="35" w:name="settlement-charges-detail"/>
    <w:p>
      <w:pPr>
        <w:pStyle w:val="Heading2"/>
      </w:pPr>
      <w:r>
        <w:t xml:space="preserve">SETTLEMENT CHARGES DETAIL</w:t>
      </w:r>
    </w:p>
    <w:bookmarkStart w:id="28" w:name="section-700800-title-charges"/>
    <w:p>
      <w:pPr>
        <w:pStyle w:val="Heading3"/>
      </w:pPr>
      <w:r>
        <w:t xml:space="preserve">Section 700–800 — Title Charges</w:t>
      </w:r>
    </w:p>
    <w:tbl>
      <w:tblPr>
        <w:tblStyle w:val="Table"/>
        <w:tblW w:type="pct" w:w="5000"/>
        <w:jc w:val="left"/>
        <w:tblLayout w:type="fixed"/>
        <w:tblLook w:firstRow="1" w:lastRow="0" w:firstColumn="0" w:lastColumn="0" w:noHBand="0" w:noVBand="0" w:val="0020"/>
      </w:tblPr>
      <w:tblGrid>
        <w:gridCol w:w="1697"/>
        <w:gridCol w:w="1697"/>
        <w:gridCol w:w="2262"/>
        <w:gridCol w:w="2262"/>
      </w:tblGrid>
      <w:tr>
        <w:trPr>
          <w:tblHeader w:val="on"/>
        </w:trPr>
        <w:tc>
          <w:tcPr/>
          <w:p>
            <w:pPr>
              <w:pStyle w:val="Compact"/>
              <w:jc w:val="left"/>
            </w:pPr>
            <w:r>
              <w:t xml:space="preserve">Item</w:t>
            </w:r>
          </w:p>
        </w:tc>
        <w:tc>
          <w:tcPr/>
          <w:p>
            <w:pPr>
              <w:pStyle w:val="Compact"/>
              <w:jc w:val="left"/>
            </w:pPr>
            <w:r>
              <w:t xml:space="preserve">Payee</w:t>
            </w:r>
          </w:p>
        </w:tc>
        <w:tc>
          <w:tcPr/>
          <w:p>
            <w:pPr>
              <w:pStyle w:val="Compact"/>
              <w:jc w:val="right"/>
            </w:pPr>
            <w:r>
              <w:t xml:space="preserve">Buyer</w:t>
            </w:r>
          </w:p>
        </w:tc>
        <w:tc>
          <w:tcPr/>
          <w:p>
            <w:pPr>
              <w:pStyle w:val="Compact"/>
              <w:jc w:val="right"/>
            </w:pPr>
            <w:r>
              <w:t xml:space="preserve">Seller</w:t>
            </w:r>
          </w:p>
        </w:tc>
      </w:tr>
      <w:tr>
        <w:tc>
          <w:tcPr/>
          <w:p>
            <w:pPr>
              <w:pStyle w:val="Compact"/>
              <w:jc w:val="left"/>
            </w:pPr>
            <w:r>
              <w:t xml:space="preserve">Owner’s Title Insurance Premium ($3,900,000)</w:t>
            </w:r>
          </w:p>
        </w:tc>
        <w:tc>
          <w:tcPr/>
          <w:p>
            <w:pPr>
              <w:pStyle w:val="Compact"/>
              <w:jc w:val="left"/>
            </w:pPr>
            <w:r>
              <w:t xml:space="preserve">Pinnacle Abstract &amp; Title LLC</w:t>
            </w:r>
          </w:p>
        </w:tc>
        <w:tc>
          <w:tcPr/>
          <w:p>
            <w:pPr>
              <w:pStyle w:val="Compact"/>
              <w:jc w:val="right"/>
            </w:pPr>
            <w:r>
              <w:t xml:space="preserve">—</w:t>
            </w:r>
          </w:p>
        </w:tc>
        <w:tc>
          <w:tcPr/>
          <w:p>
            <w:pPr>
              <w:pStyle w:val="Compact"/>
              <w:jc w:val="right"/>
            </w:pPr>
            <w:r>
              <w:t xml:space="preserve">$8,275.00</w:t>
            </w:r>
          </w:p>
        </w:tc>
      </w:tr>
      <w:tr>
        <w:tc>
          <w:tcPr/>
          <w:p>
            <w:pPr>
              <w:pStyle w:val="Compact"/>
              <w:jc w:val="left"/>
            </w:pPr>
            <w:r>
              <w:t xml:space="preserve">Lender’s Title Insurance Premium ($2,640,000, simultaneous issue)</w:t>
            </w:r>
          </w:p>
        </w:tc>
        <w:tc>
          <w:tcPr/>
          <w:p>
            <w:pPr>
              <w:pStyle w:val="Compact"/>
              <w:jc w:val="left"/>
            </w:pPr>
            <w:r>
              <w:t xml:space="preserve">Pinnacle Abstract &amp; Title LLC</w:t>
            </w:r>
          </w:p>
        </w:tc>
        <w:tc>
          <w:tcPr/>
          <w:p>
            <w:pPr>
              <w:pStyle w:val="Compact"/>
              <w:jc w:val="right"/>
            </w:pPr>
            <w:r>
              <w:t xml:space="preserve">$3,850.00</w:t>
            </w:r>
          </w:p>
        </w:tc>
        <w:tc>
          <w:tcPr/>
          <w:p>
            <w:pPr>
              <w:pStyle w:val="Compact"/>
              <w:jc w:val="right"/>
            </w:pPr>
            <w:r>
              <w:t xml:space="preserve">—</w:t>
            </w:r>
          </w:p>
        </w:tc>
      </w:tr>
      <w:tr>
        <w:tc>
          <w:tcPr/>
          <w:p>
            <w:pPr>
              <w:pStyle w:val="Compact"/>
              <w:jc w:val="left"/>
            </w:pPr>
            <w:r>
              <w:t xml:space="preserve">Title Search and Examination Fee</w:t>
            </w:r>
          </w:p>
        </w:tc>
        <w:tc>
          <w:tcPr/>
          <w:p>
            <w:pPr>
              <w:pStyle w:val="Compact"/>
              <w:jc w:val="left"/>
            </w:pPr>
            <w:r>
              <w:t xml:space="preserve">Pinnacle Abstract &amp; Title LLC</w:t>
            </w:r>
          </w:p>
        </w:tc>
        <w:tc>
          <w:tcPr/>
          <w:p>
            <w:pPr>
              <w:pStyle w:val="Compact"/>
              <w:jc w:val="right"/>
            </w:pPr>
            <w:r>
              <w:t xml:space="preserve">$1,250.00</w:t>
            </w:r>
          </w:p>
        </w:tc>
        <w:tc>
          <w:tcPr/>
          <w:p>
            <w:pPr>
              <w:pStyle w:val="Compact"/>
              <w:jc w:val="right"/>
            </w:pPr>
            <w:r>
              <w:t xml:space="preserve">—</w:t>
            </w:r>
          </w:p>
        </w:tc>
      </w:tr>
      <w:tr>
        <w:tc>
          <w:tcPr/>
          <w:p>
            <w:pPr>
              <w:pStyle w:val="Compact"/>
              <w:jc w:val="left"/>
            </w:pPr>
            <w:r>
              <w:t xml:space="preserve">Municipal Lien Search Fee</w:t>
            </w:r>
          </w:p>
        </w:tc>
        <w:tc>
          <w:tcPr/>
          <w:p>
            <w:pPr>
              <w:pStyle w:val="Compact"/>
              <w:jc w:val="left"/>
            </w:pPr>
            <w:r>
              <w:t xml:space="preserve">Pinnacle Abstract &amp; Title LLC</w:t>
            </w:r>
          </w:p>
        </w:tc>
        <w:tc>
          <w:tcPr/>
          <w:p>
            <w:pPr>
              <w:pStyle w:val="Compact"/>
              <w:jc w:val="right"/>
            </w:pPr>
            <w:r>
              <w:t xml:space="preserve">$250.00</w:t>
            </w:r>
          </w:p>
        </w:tc>
        <w:tc>
          <w:tcPr/>
          <w:p>
            <w:pPr>
              <w:pStyle w:val="Compact"/>
              <w:jc w:val="right"/>
            </w:pPr>
            <w:r>
              <w:t xml:space="preserve">—</w:t>
            </w:r>
          </w:p>
        </w:tc>
      </w:tr>
      <w:tr>
        <w:tc>
          <w:tcPr/>
          <w:p>
            <w:pPr>
              <w:pStyle w:val="Compact"/>
              <w:jc w:val="left"/>
            </w:pPr>
            <w:r>
              <w:rPr>
                <w:b/>
                <w:bCs/>
              </w:rPr>
              <w:t xml:space="preserve">Title Charges Subtotal</w:t>
            </w:r>
          </w:p>
        </w:tc>
        <w:tc>
          <w:tcPr/>
          <w:p>
            <w:pPr>
              <w:pStyle w:val="Compact"/>
            </w:pPr>
          </w:p>
        </w:tc>
        <w:tc>
          <w:tcPr/>
          <w:p>
            <w:pPr>
              <w:pStyle w:val="Compact"/>
              <w:jc w:val="right"/>
            </w:pPr>
            <w:r>
              <w:rPr>
                <w:b/>
                <w:bCs/>
              </w:rPr>
              <w:t xml:space="preserve">$5,350.00</w:t>
            </w:r>
          </w:p>
        </w:tc>
        <w:tc>
          <w:tcPr/>
          <w:p>
            <w:pPr>
              <w:pStyle w:val="Compact"/>
              <w:jc w:val="right"/>
            </w:pPr>
            <w:r>
              <w:rPr>
                <w:b/>
                <w:bCs/>
              </w:rPr>
              <w:t xml:space="preserve">$8,275.00</w:t>
            </w:r>
          </w:p>
        </w:tc>
      </w:tr>
    </w:tbl>
    <w:bookmarkEnd w:id="28"/>
    <w:bookmarkStart w:id="29" w:name="section-800-recording-fees"/>
    <w:p>
      <w:pPr>
        <w:pStyle w:val="Heading3"/>
      </w:pPr>
      <w:r>
        <w:t xml:space="preserve">Section 800 — Recording Fees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right"/>
            </w:pPr>
            <w:r>
              <w:t xml:space="preserve">Buyer</w:t>
            </w:r>
          </w:p>
        </w:tc>
        <w:tc>
          <w:tcPr/>
          <w:p>
            <w:pPr>
              <w:pStyle w:val="Compact"/>
              <w:jc w:val="right"/>
            </w:pPr>
            <w:r>
              <w:t xml:space="preserve">Seller</w:t>
            </w:r>
          </w:p>
        </w:tc>
      </w:tr>
      <w:tr>
        <w:tc>
          <w:tcPr/>
          <w:p>
            <w:pPr>
              <w:pStyle w:val="Compact"/>
              <w:jc w:val="left"/>
            </w:pPr>
            <w:r>
              <w:t xml:space="preserve">Recording — Executor’s Warranty Deed</w:t>
            </w:r>
          </w:p>
        </w:tc>
        <w:tc>
          <w:tcPr/>
          <w:p>
            <w:pPr>
              <w:pStyle w:val="Compact"/>
              <w:jc w:val="right"/>
            </w:pPr>
            <w:r>
              <w:t xml:space="preserve">$113.00</w:t>
            </w:r>
          </w:p>
        </w:tc>
        <w:tc>
          <w:tcPr/>
          <w:p>
            <w:pPr>
              <w:pStyle w:val="Compact"/>
              <w:jc w:val="right"/>
            </w:pPr>
            <w:r>
              <w:t xml:space="preserve">—</w:t>
            </w:r>
          </w:p>
        </w:tc>
      </w:tr>
      <w:tr>
        <w:tc>
          <w:tcPr/>
          <w:p>
            <w:pPr>
              <w:pStyle w:val="Compact"/>
              <w:jc w:val="left"/>
            </w:pPr>
            <w:r>
              <w:t xml:space="preserve">Recording — Mortgage (Tidewater Savings Bank)</w:t>
            </w:r>
          </w:p>
        </w:tc>
        <w:tc>
          <w:tcPr/>
          <w:p>
            <w:pPr>
              <w:pStyle w:val="Compact"/>
              <w:jc w:val="right"/>
            </w:pPr>
            <w:r>
              <w:t xml:space="preserve">$113.00</w:t>
            </w:r>
          </w:p>
        </w:tc>
        <w:tc>
          <w:tcPr/>
          <w:p>
            <w:pPr>
              <w:pStyle w:val="Compact"/>
              <w:jc w:val="right"/>
            </w:pPr>
            <w:r>
              <w:t xml:space="preserve">—</w:t>
            </w:r>
          </w:p>
        </w:tc>
      </w:tr>
      <w:tr>
        <w:tc>
          <w:tcPr/>
          <w:p>
            <w:pPr>
              <w:pStyle w:val="Compact"/>
              <w:jc w:val="left"/>
            </w:pPr>
            <w:r>
              <w:t xml:space="preserve">Recording — Assignment of Leases</w:t>
            </w:r>
          </w:p>
        </w:tc>
        <w:tc>
          <w:tcPr/>
          <w:p>
            <w:pPr>
              <w:pStyle w:val="Compact"/>
              <w:jc w:val="right"/>
            </w:pPr>
            <w:r>
              <w:t xml:space="preserve">$113.00</w:t>
            </w:r>
          </w:p>
        </w:tc>
        <w:tc>
          <w:tcPr/>
          <w:p>
            <w:pPr>
              <w:pStyle w:val="Compact"/>
              <w:jc w:val="right"/>
            </w:pPr>
            <w:r>
              <w:t xml:space="preserve">—</w:t>
            </w:r>
          </w:p>
        </w:tc>
      </w:tr>
      <w:tr>
        <w:tc>
          <w:tcPr/>
          <w:p>
            <w:pPr>
              <w:pStyle w:val="Compact"/>
              <w:jc w:val="left"/>
            </w:pPr>
            <w:r>
              <w:t xml:space="preserve">Recording — Release of Harborstone 1st Mortgage</w:t>
            </w:r>
          </w:p>
        </w:tc>
        <w:tc>
          <w:tcPr/>
          <w:p>
            <w:pPr>
              <w:pStyle w:val="Compact"/>
              <w:jc w:val="right"/>
            </w:pPr>
            <w:r>
              <w:t xml:space="preserve">—</w:t>
            </w:r>
          </w:p>
        </w:tc>
        <w:tc>
          <w:tcPr/>
          <w:p>
            <w:pPr>
              <w:pStyle w:val="Compact"/>
              <w:jc w:val="right"/>
            </w:pPr>
            <w:r>
              <w:t xml:space="preserve">$73.00</w:t>
            </w:r>
          </w:p>
        </w:tc>
      </w:tr>
      <w:tr>
        <w:tc>
          <w:tcPr/>
          <w:p>
            <w:pPr>
              <w:pStyle w:val="Compact"/>
              <w:jc w:val="left"/>
            </w:pPr>
            <w:r>
              <w:t xml:space="preserve">Recording — Release of Harborstone HELOC</w:t>
            </w:r>
          </w:p>
        </w:tc>
        <w:tc>
          <w:tcPr/>
          <w:p>
            <w:pPr>
              <w:pStyle w:val="Compact"/>
              <w:jc w:val="right"/>
            </w:pPr>
            <w:r>
              <w:t xml:space="preserve">—</w:t>
            </w:r>
          </w:p>
        </w:tc>
        <w:tc>
          <w:tcPr/>
          <w:p>
            <w:pPr>
              <w:pStyle w:val="Compact"/>
              <w:jc w:val="right"/>
            </w:pPr>
            <w:r>
              <w:t xml:space="preserve">$73.00</w:t>
            </w:r>
          </w:p>
        </w:tc>
      </w:tr>
      <w:tr>
        <w:tc>
          <w:tcPr/>
          <w:p>
            <w:pPr>
              <w:pStyle w:val="Compact"/>
              <w:jc w:val="left"/>
            </w:pPr>
            <w:r>
              <w:t xml:space="preserve">Recording — Release of Northbridge Mechanic’s Lien</w:t>
            </w:r>
          </w:p>
        </w:tc>
        <w:tc>
          <w:tcPr/>
          <w:p>
            <w:pPr>
              <w:pStyle w:val="Compact"/>
              <w:jc w:val="right"/>
            </w:pPr>
            <w:r>
              <w:t xml:space="preserve">—</w:t>
            </w:r>
          </w:p>
        </w:tc>
        <w:tc>
          <w:tcPr/>
          <w:p>
            <w:pPr>
              <w:pStyle w:val="Compact"/>
              <w:jc w:val="right"/>
            </w:pPr>
            <w:r>
              <w:t xml:space="preserve">$73.00</w:t>
            </w:r>
          </w:p>
        </w:tc>
      </w:tr>
      <w:tr>
        <w:tc>
          <w:tcPr/>
          <w:p>
            <w:pPr>
              <w:pStyle w:val="Compact"/>
              <w:jc w:val="left"/>
            </w:pPr>
            <w:r>
              <w:t xml:space="preserve">Recording — Release of CT DRS Estate Tax Lien</w:t>
            </w:r>
          </w:p>
        </w:tc>
        <w:tc>
          <w:tcPr/>
          <w:p>
            <w:pPr>
              <w:pStyle w:val="Compact"/>
              <w:jc w:val="right"/>
            </w:pPr>
            <w:r>
              <w:t xml:space="preserve">—</w:t>
            </w:r>
          </w:p>
        </w:tc>
        <w:tc>
          <w:tcPr/>
          <w:p>
            <w:pPr>
              <w:pStyle w:val="Compact"/>
              <w:jc w:val="right"/>
            </w:pPr>
            <w:r>
              <w:t xml:space="preserve">$73.00</w:t>
            </w:r>
          </w:p>
        </w:tc>
      </w:tr>
      <w:tr>
        <w:tc>
          <w:tcPr/>
          <w:p>
            <w:pPr>
              <w:pStyle w:val="Compact"/>
              <w:jc w:val="left"/>
            </w:pPr>
            <w:r>
              <w:rPr>
                <w:b/>
                <w:bCs/>
              </w:rPr>
              <w:t xml:space="preserve">Recording Fees Subtotal</w:t>
            </w:r>
          </w:p>
        </w:tc>
        <w:tc>
          <w:tcPr/>
          <w:p>
            <w:pPr>
              <w:pStyle w:val="Compact"/>
              <w:jc w:val="right"/>
            </w:pPr>
            <w:r>
              <w:rPr>
                <w:b/>
                <w:bCs/>
              </w:rPr>
              <w:t xml:space="preserve">$339.00</w:t>
            </w:r>
          </w:p>
        </w:tc>
        <w:tc>
          <w:tcPr/>
          <w:p>
            <w:pPr>
              <w:pStyle w:val="Compact"/>
              <w:jc w:val="right"/>
            </w:pPr>
            <w:r>
              <w:rPr>
                <w:b/>
                <w:bCs/>
              </w:rPr>
              <w:t xml:space="preserve">$292.00</w:t>
            </w:r>
          </w:p>
        </w:tc>
      </w:tr>
    </w:tbl>
    <w:bookmarkEnd w:id="29"/>
    <w:bookmarkStart w:id="30" w:name="section-900-transfer-taxes"/>
    <w:p>
      <w:pPr>
        <w:pStyle w:val="Heading3"/>
      </w:pPr>
      <w:r>
        <w:t xml:space="preserve">Section 900 — Transfer Taxes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Item</w:t>
            </w:r>
          </w:p>
        </w:tc>
        <w:tc>
          <w:tcPr/>
          <w:p>
            <w:pPr>
              <w:pStyle w:val="Compact"/>
              <w:jc w:val="right"/>
            </w:pPr>
            <w:r>
              <w:t xml:space="preserve">Buyer</w:t>
            </w:r>
          </w:p>
        </w:tc>
        <w:tc>
          <w:tcPr/>
          <w:p>
            <w:pPr>
              <w:pStyle w:val="Compact"/>
              <w:jc w:val="right"/>
            </w:pPr>
            <w:r>
              <w:t xml:space="preserve">Seller</w:t>
            </w:r>
          </w:p>
        </w:tc>
      </w:tr>
      <w:tr>
        <w:tc>
          <w:tcPr/>
          <w:p>
            <w:pPr>
              <w:pStyle w:val="Compact"/>
              <w:jc w:val="left"/>
            </w:pPr>
            <w:r>
              <w:t xml:space="preserve">Connecticut Real Estate Conveyance Tax (50% each; est. $44,750.00 total)</w:t>
            </w:r>
          </w:p>
        </w:tc>
        <w:tc>
          <w:tcPr/>
          <w:p>
            <w:pPr>
              <w:pStyle w:val="Compact"/>
              <w:jc w:val="right"/>
            </w:pPr>
            <w:r>
              <w:t xml:space="preserve">$22,375.00</w:t>
            </w:r>
          </w:p>
        </w:tc>
        <w:tc>
          <w:tcPr/>
          <w:p>
            <w:pPr>
              <w:pStyle w:val="Compact"/>
              <w:jc w:val="right"/>
            </w:pPr>
            <w:r>
              <w:t xml:space="preserve">$22,375.00</w:t>
            </w:r>
          </w:p>
        </w:tc>
      </w:tr>
    </w:tbl>
    <w:bookmarkEnd w:id="30"/>
    <w:bookmarkStart w:id="31" w:name="section-1000-lender-loan-charges-buyer"/>
    <w:p>
      <w:pPr>
        <w:pStyle w:val="Heading3"/>
      </w:pPr>
      <w:r>
        <w:t xml:space="preserve">Section 1000 — Lender / Loan Charges (Buyer)</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Item</w:t>
            </w:r>
          </w:p>
        </w:tc>
        <w:tc>
          <w:tcPr/>
          <w:p>
            <w:pPr>
              <w:pStyle w:val="Compact"/>
              <w:jc w:val="left"/>
            </w:pPr>
            <w:r>
              <w:t xml:space="preserve">Payee</w:t>
            </w:r>
          </w:p>
        </w:tc>
        <w:tc>
          <w:tcPr/>
          <w:p>
            <w:pPr>
              <w:pStyle w:val="Compact"/>
              <w:jc w:val="right"/>
            </w:pPr>
            <w:r>
              <w:t xml:space="preserve">Amount</w:t>
            </w:r>
          </w:p>
        </w:tc>
      </w:tr>
      <w:tr>
        <w:tc>
          <w:tcPr/>
          <w:p>
            <w:pPr>
              <w:pStyle w:val="Compact"/>
              <w:jc w:val="left"/>
            </w:pPr>
            <w:r>
              <w:t xml:space="preserve">Loan Origination Fee (1.00% of $2,640,000)</w:t>
            </w:r>
          </w:p>
        </w:tc>
        <w:tc>
          <w:tcPr/>
          <w:p>
            <w:pPr>
              <w:pStyle w:val="Compact"/>
              <w:jc w:val="left"/>
            </w:pPr>
            <w:r>
              <w:t xml:space="preserve">Tidewater Savings Bank</w:t>
            </w:r>
          </w:p>
        </w:tc>
        <w:tc>
          <w:tcPr/>
          <w:p>
            <w:pPr>
              <w:pStyle w:val="Compact"/>
              <w:jc w:val="right"/>
            </w:pPr>
            <w:r>
              <w:t xml:space="preserve">$26,400.00</w:t>
            </w:r>
          </w:p>
        </w:tc>
      </w:tr>
      <w:tr>
        <w:tc>
          <w:tcPr/>
          <w:p>
            <w:pPr>
              <w:pStyle w:val="Compact"/>
              <w:jc w:val="left"/>
            </w:pPr>
            <w:r>
              <w:t xml:space="preserve">Flood Certification Fee</w:t>
            </w:r>
          </w:p>
        </w:tc>
        <w:tc>
          <w:tcPr/>
          <w:p>
            <w:pPr>
              <w:pStyle w:val="Compact"/>
              <w:jc w:val="left"/>
            </w:pPr>
            <w:r>
              <w:t xml:space="preserve">CoreLogic Flood Services</w:t>
            </w:r>
          </w:p>
        </w:tc>
        <w:tc>
          <w:tcPr/>
          <w:p>
            <w:pPr>
              <w:pStyle w:val="Compact"/>
              <w:jc w:val="right"/>
            </w:pPr>
            <w:r>
              <w:t xml:space="preserve">$25.00</w:t>
            </w:r>
          </w:p>
        </w:tc>
      </w:tr>
      <w:tr>
        <w:tc>
          <w:tcPr/>
          <w:p>
            <w:pPr>
              <w:pStyle w:val="Compact"/>
              <w:jc w:val="left"/>
            </w:pPr>
            <w:r>
              <w:t xml:space="preserve">Tax Service Fee</w:t>
            </w:r>
          </w:p>
        </w:tc>
        <w:tc>
          <w:tcPr/>
          <w:p>
            <w:pPr>
              <w:pStyle w:val="Compact"/>
              <w:jc w:val="left"/>
            </w:pPr>
            <w:r>
              <w:t xml:space="preserve">Tidewater Savings Bank (designated provider)</w:t>
            </w:r>
          </w:p>
        </w:tc>
        <w:tc>
          <w:tcPr/>
          <w:p>
            <w:pPr>
              <w:pStyle w:val="Compact"/>
              <w:jc w:val="right"/>
            </w:pPr>
            <w:r>
              <w:t xml:space="preserve">$85.00</w:t>
            </w:r>
          </w:p>
        </w:tc>
      </w:tr>
      <w:tr>
        <w:tc>
          <w:tcPr/>
          <w:p>
            <w:pPr>
              <w:pStyle w:val="Compact"/>
              <w:jc w:val="left"/>
            </w:pPr>
            <w:r>
              <w:rPr>
                <w:b/>
                <w:bCs/>
              </w:rPr>
              <w:t xml:space="preserve">Loan Charges Subtotal</w:t>
            </w:r>
          </w:p>
        </w:tc>
        <w:tc>
          <w:tcPr/>
          <w:p>
            <w:pPr>
              <w:pStyle w:val="Compact"/>
            </w:pPr>
          </w:p>
        </w:tc>
        <w:tc>
          <w:tcPr/>
          <w:p>
            <w:pPr>
              <w:pStyle w:val="Compact"/>
              <w:jc w:val="right"/>
            </w:pPr>
            <w:r>
              <w:rPr>
                <w:b/>
                <w:bCs/>
              </w:rPr>
              <w:t xml:space="preserve">$26,510.00</w:t>
            </w:r>
          </w:p>
        </w:tc>
      </w:tr>
    </w:tbl>
    <w:bookmarkEnd w:id="31"/>
    <w:bookmarkStart w:id="32" w:name="section-1100-attorney-fees-other-charges"/>
    <w:p>
      <w:pPr>
        <w:pStyle w:val="Heading3"/>
      </w:pPr>
      <w:r>
        <w:t xml:space="preserve">Section 1100 — Attorney Fees &amp; Other Charges</w:t>
      </w:r>
    </w:p>
    <w:tbl>
      <w:tblPr>
        <w:tblStyle w:val="Table"/>
        <w:tblW w:type="pct" w:w="5000"/>
        <w:jc w:val="left"/>
        <w:tblLayout w:type="fixed"/>
        <w:tblLook w:firstRow="1" w:lastRow="0" w:firstColumn="0" w:lastColumn="0" w:noHBand="0" w:noVBand="0" w:val="0020"/>
      </w:tblPr>
      <w:tblGrid>
        <w:gridCol w:w="1697"/>
        <w:gridCol w:w="1697"/>
        <w:gridCol w:w="2262"/>
        <w:gridCol w:w="2262"/>
      </w:tblGrid>
      <w:tr>
        <w:trPr>
          <w:tblHeader w:val="on"/>
        </w:trPr>
        <w:tc>
          <w:tcPr/>
          <w:p>
            <w:pPr>
              <w:pStyle w:val="Compact"/>
              <w:jc w:val="left"/>
            </w:pPr>
            <w:r>
              <w:t xml:space="preserve">Item</w:t>
            </w:r>
          </w:p>
        </w:tc>
        <w:tc>
          <w:tcPr/>
          <w:p>
            <w:pPr>
              <w:pStyle w:val="Compact"/>
              <w:jc w:val="left"/>
            </w:pPr>
            <w:r>
              <w:t xml:space="preserve">Payee</w:t>
            </w:r>
          </w:p>
        </w:tc>
        <w:tc>
          <w:tcPr/>
          <w:p>
            <w:pPr>
              <w:pStyle w:val="Compact"/>
              <w:jc w:val="right"/>
            </w:pPr>
            <w:r>
              <w:t xml:space="preserve">Buyer</w:t>
            </w:r>
          </w:p>
        </w:tc>
        <w:tc>
          <w:tcPr/>
          <w:p>
            <w:pPr>
              <w:pStyle w:val="Compact"/>
              <w:jc w:val="right"/>
            </w:pPr>
            <w:r>
              <w:t xml:space="preserve">Seller</w:t>
            </w:r>
          </w:p>
        </w:tc>
      </w:tr>
      <w:tr>
        <w:tc>
          <w:tcPr/>
          <w:p>
            <w:pPr>
              <w:pStyle w:val="Compact"/>
              <w:jc w:val="left"/>
            </w:pPr>
            <w:r>
              <w:t xml:space="preserve">Buyer’s Attorney Fees</w:t>
            </w:r>
          </w:p>
        </w:tc>
        <w:tc>
          <w:tcPr/>
          <w:p>
            <w:pPr>
              <w:pStyle w:val="Compact"/>
              <w:jc w:val="left"/>
            </w:pPr>
            <w:r>
              <w:t xml:space="preserve">Ridgeline Law Group PLLC</w:t>
            </w:r>
          </w:p>
        </w:tc>
        <w:tc>
          <w:tcPr/>
          <w:p>
            <w:pPr>
              <w:pStyle w:val="Compact"/>
              <w:jc w:val="right"/>
            </w:pPr>
            <w:r>
              <w:t xml:space="preserve">$12,500.00</w:t>
            </w:r>
          </w:p>
        </w:tc>
        <w:tc>
          <w:tcPr/>
          <w:p>
            <w:pPr>
              <w:pStyle w:val="Compact"/>
              <w:jc w:val="right"/>
            </w:pPr>
            <w:r>
              <w:t xml:space="preserve">—</w:t>
            </w:r>
          </w:p>
        </w:tc>
      </w:tr>
      <w:tr>
        <w:tc>
          <w:tcPr/>
          <w:p>
            <w:pPr>
              <w:pStyle w:val="Compact"/>
              <w:jc w:val="left"/>
            </w:pPr>
            <w:r>
              <w:t xml:space="preserve">Seller’s Attorney Fees</w:t>
            </w:r>
          </w:p>
        </w:tc>
        <w:tc>
          <w:tcPr/>
          <w:p>
            <w:pPr>
              <w:pStyle w:val="Compact"/>
              <w:jc w:val="left"/>
            </w:pPr>
            <w:r>
              <w:t xml:space="preserve">Ashford, Clement &amp; Paige LLP</w:t>
            </w:r>
          </w:p>
        </w:tc>
        <w:tc>
          <w:tcPr/>
          <w:p>
            <w:pPr>
              <w:pStyle w:val="Compact"/>
              <w:jc w:val="right"/>
            </w:pPr>
            <w:r>
              <w:t xml:space="preserve">—</w:t>
            </w:r>
          </w:p>
        </w:tc>
        <w:tc>
          <w:tcPr/>
          <w:p>
            <w:pPr>
              <w:pStyle w:val="Compact"/>
              <w:jc w:val="right"/>
            </w:pPr>
            <w:r>
              <w:t xml:space="preserve">$11,000.00</w:t>
            </w:r>
          </w:p>
        </w:tc>
      </w:tr>
      <w:tr>
        <w:tc>
          <w:tcPr/>
          <w:p>
            <w:pPr>
              <w:pStyle w:val="Compact"/>
              <w:jc w:val="left"/>
            </w:pPr>
            <w:r>
              <w:t xml:space="preserve">Probate Court Certificate</w:t>
            </w:r>
          </w:p>
        </w:tc>
        <w:tc>
          <w:tcPr/>
          <w:p>
            <w:pPr>
              <w:pStyle w:val="Compact"/>
              <w:jc w:val="left"/>
            </w:pPr>
            <w:r>
              <w:t xml:space="preserve">Fairfield County Probate Court</w:t>
            </w:r>
          </w:p>
        </w:tc>
        <w:tc>
          <w:tcPr/>
          <w:p>
            <w:pPr>
              <w:pStyle w:val="Compact"/>
              <w:jc w:val="right"/>
            </w:pPr>
            <w:r>
              <w:t xml:space="preserve">—</w:t>
            </w:r>
          </w:p>
        </w:tc>
        <w:tc>
          <w:tcPr/>
          <w:p>
            <w:pPr>
              <w:pStyle w:val="Compact"/>
              <w:jc w:val="right"/>
            </w:pPr>
            <w:r>
              <w:t xml:space="preserve">$150.00</w:t>
            </w:r>
          </w:p>
        </w:tc>
      </w:tr>
      <w:tr>
        <w:tc>
          <w:tcPr/>
          <w:p>
            <w:pPr>
              <w:pStyle w:val="Compact"/>
              <w:jc w:val="left"/>
            </w:pPr>
            <w:r>
              <w:t xml:space="preserve">Management Agreement Termination Fee</w:t>
            </w:r>
          </w:p>
        </w:tc>
        <w:tc>
          <w:tcPr/>
          <w:p>
            <w:pPr>
              <w:pStyle w:val="Compact"/>
              <w:jc w:val="left"/>
            </w:pPr>
            <w:r>
              <w:t xml:space="preserve">Bayshore Management Co.</w:t>
            </w:r>
          </w:p>
        </w:tc>
        <w:tc>
          <w:tcPr/>
          <w:p>
            <w:pPr>
              <w:pStyle w:val="Compact"/>
              <w:jc w:val="right"/>
            </w:pPr>
            <w:r>
              <w:t xml:space="preserve">—</w:t>
            </w:r>
          </w:p>
        </w:tc>
        <w:tc>
          <w:tcPr/>
          <w:p>
            <w:pPr>
              <w:pStyle w:val="Compact"/>
              <w:jc w:val="right"/>
            </w:pPr>
            <w:r>
              <w:t xml:space="preserve">$4,500.00</w:t>
            </w:r>
          </w:p>
        </w:tc>
      </w:tr>
      <w:tr>
        <w:tc>
          <w:tcPr/>
          <w:p>
            <w:pPr>
              <w:pStyle w:val="Compact"/>
              <w:jc w:val="left"/>
            </w:pPr>
            <w:r>
              <w:rPr>
                <w:b/>
                <w:bCs/>
              </w:rPr>
              <w:t xml:space="preserve">Other Charges Subtotal</w:t>
            </w:r>
          </w:p>
        </w:tc>
        <w:tc>
          <w:tcPr/>
          <w:p>
            <w:pPr>
              <w:pStyle w:val="Compact"/>
            </w:pPr>
          </w:p>
        </w:tc>
        <w:tc>
          <w:tcPr/>
          <w:p>
            <w:pPr>
              <w:pStyle w:val="Compact"/>
              <w:jc w:val="right"/>
            </w:pPr>
            <w:r>
              <w:rPr>
                <w:b/>
                <w:bCs/>
              </w:rPr>
              <w:t xml:space="preserve">$12,500.00</w:t>
            </w:r>
          </w:p>
        </w:tc>
        <w:tc>
          <w:tcPr/>
          <w:p>
            <w:pPr>
              <w:pStyle w:val="Compact"/>
              <w:jc w:val="right"/>
            </w:pPr>
            <w:r>
              <w:rPr>
                <w:b/>
                <w:bCs/>
              </w:rPr>
              <w:t xml:space="preserve">$15,650.00</w:t>
            </w:r>
          </w:p>
        </w:tc>
      </w:tr>
    </w:tbl>
    <w:bookmarkEnd w:id="32"/>
    <w:bookmarkStart w:id="33" w:name="summary-of-settlement-charges"/>
    <w:p>
      <w:pPr>
        <w:pStyle w:val="Heading3"/>
      </w:pPr>
      <w:r>
        <w:t xml:space="preserve">Summary of Settlement Charges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pPr>
            <w:r>
              <w:t xml:space="preserve">Buyer</w:t>
            </w:r>
          </w:p>
        </w:tc>
        <w:tc>
          <w:tcPr/>
          <w:p>
            <w:pPr>
              <w:pStyle w:val="Compact"/>
              <w:jc w:val="right"/>
            </w:pPr>
            <w:r>
              <w:t xml:space="preserve">Seller</w:t>
            </w:r>
          </w:p>
        </w:tc>
      </w:tr>
      <w:tr>
        <w:tc>
          <w:tcPr/>
          <w:p>
            <w:pPr>
              <w:pStyle w:val="Compact"/>
              <w:jc w:val="left"/>
            </w:pPr>
            <w:r>
              <w:t xml:space="preserve">Title Charges</w:t>
            </w:r>
          </w:p>
        </w:tc>
        <w:tc>
          <w:tcPr/>
          <w:p>
            <w:pPr>
              <w:pStyle w:val="Compact"/>
              <w:jc w:val="right"/>
            </w:pPr>
            <w:r>
              <w:t xml:space="preserve">$5,350.00</w:t>
            </w:r>
          </w:p>
        </w:tc>
        <w:tc>
          <w:tcPr/>
          <w:p>
            <w:pPr>
              <w:pStyle w:val="Compact"/>
              <w:jc w:val="right"/>
            </w:pPr>
            <w:r>
              <w:t xml:space="preserve">$8,275.00</w:t>
            </w:r>
          </w:p>
        </w:tc>
      </w:tr>
      <w:tr>
        <w:tc>
          <w:tcPr/>
          <w:p>
            <w:pPr>
              <w:pStyle w:val="Compact"/>
              <w:jc w:val="left"/>
            </w:pPr>
            <w:r>
              <w:t xml:space="preserve">Recording Fees</w:t>
            </w:r>
          </w:p>
        </w:tc>
        <w:tc>
          <w:tcPr/>
          <w:p>
            <w:pPr>
              <w:pStyle w:val="Compact"/>
              <w:jc w:val="right"/>
            </w:pPr>
            <w:r>
              <w:t xml:space="preserve">$339.00</w:t>
            </w:r>
          </w:p>
        </w:tc>
        <w:tc>
          <w:tcPr/>
          <w:p>
            <w:pPr>
              <w:pStyle w:val="Compact"/>
              <w:jc w:val="right"/>
            </w:pPr>
            <w:r>
              <w:t xml:space="preserve">$292.00</w:t>
            </w:r>
          </w:p>
        </w:tc>
      </w:tr>
      <w:tr>
        <w:tc>
          <w:tcPr/>
          <w:p>
            <w:pPr>
              <w:pStyle w:val="Compact"/>
              <w:jc w:val="left"/>
            </w:pPr>
            <w:r>
              <w:t xml:space="preserve">Conveyance Tax</w:t>
            </w:r>
          </w:p>
        </w:tc>
        <w:tc>
          <w:tcPr/>
          <w:p>
            <w:pPr>
              <w:pStyle w:val="Compact"/>
              <w:jc w:val="right"/>
            </w:pPr>
            <w:r>
              <w:t xml:space="preserve">$22,375.00</w:t>
            </w:r>
          </w:p>
        </w:tc>
        <w:tc>
          <w:tcPr/>
          <w:p>
            <w:pPr>
              <w:pStyle w:val="Compact"/>
              <w:jc w:val="right"/>
            </w:pPr>
            <w:r>
              <w:t xml:space="preserve">$22,375.00</w:t>
            </w:r>
          </w:p>
        </w:tc>
      </w:tr>
      <w:tr>
        <w:tc>
          <w:tcPr/>
          <w:p>
            <w:pPr>
              <w:pStyle w:val="Compact"/>
              <w:jc w:val="left"/>
            </w:pPr>
            <w:r>
              <w:t xml:space="preserve">Loan Charges</w:t>
            </w:r>
          </w:p>
        </w:tc>
        <w:tc>
          <w:tcPr/>
          <w:p>
            <w:pPr>
              <w:pStyle w:val="Compact"/>
              <w:jc w:val="right"/>
            </w:pPr>
            <w:r>
              <w:t xml:space="preserve">$26,510.00</w:t>
            </w:r>
          </w:p>
        </w:tc>
        <w:tc>
          <w:tcPr/>
          <w:p>
            <w:pPr>
              <w:pStyle w:val="Compact"/>
              <w:jc w:val="right"/>
            </w:pPr>
            <w:r>
              <w:t xml:space="preserve">—</w:t>
            </w:r>
          </w:p>
        </w:tc>
      </w:tr>
      <w:tr>
        <w:tc>
          <w:tcPr/>
          <w:p>
            <w:pPr>
              <w:pStyle w:val="Compact"/>
              <w:jc w:val="left"/>
            </w:pPr>
            <w:r>
              <w:t xml:space="preserve">Attorney Fees &amp; Other</w:t>
            </w:r>
          </w:p>
        </w:tc>
        <w:tc>
          <w:tcPr/>
          <w:p>
            <w:pPr>
              <w:pStyle w:val="Compact"/>
              <w:jc w:val="right"/>
            </w:pPr>
            <w:r>
              <w:t xml:space="preserve">$12,500.00</w:t>
            </w:r>
          </w:p>
        </w:tc>
        <w:tc>
          <w:tcPr/>
          <w:p>
            <w:pPr>
              <w:pStyle w:val="Compact"/>
              <w:jc w:val="right"/>
            </w:pPr>
            <w:r>
              <w:t xml:space="preserve">$15,650.00</w:t>
            </w:r>
          </w:p>
        </w:tc>
      </w:tr>
      <w:tr>
        <w:tc>
          <w:tcPr/>
          <w:p>
            <w:pPr>
              <w:pStyle w:val="Compact"/>
              <w:jc w:val="left"/>
            </w:pPr>
            <w:r>
              <w:rPr>
                <w:b/>
                <w:bCs/>
              </w:rPr>
              <w:t xml:space="preserve">Total Settlement Charges</w:t>
            </w:r>
          </w:p>
        </w:tc>
        <w:tc>
          <w:tcPr/>
          <w:p>
            <w:pPr>
              <w:pStyle w:val="Compact"/>
              <w:jc w:val="right"/>
            </w:pPr>
            <w:r>
              <w:rPr>
                <w:b/>
                <w:bCs/>
              </w:rPr>
              <w:t xml:space="preserve">$67,074.00</w:t>
            </w:r>
          </w:p>
        </w:tc>
        <w:tc>
          <w:tcPr/>
          <w:p>
            <w:pPr>
              <w:pStyle w:val="Compact"/>
              <w:jc w:val="right"/>
            </w:pPr>
            <w:r>
              <w:rPr>
                <w:b/>
                <w:bCs/>
              </w:rPr>
              <w:t xml:space="preserve">$46,592.00</w:t>
            </w:r>
          </w:p>
        </w:tc>
      </w:tr>
    </w:tbl>
    <w:bookmarkEnd w:id="33"/>
    <w:bookmarkStart w:id="34" w:name="Xdaf1678fe1bd8228847231faa261b1cc4a66953"/>
    <w:p>
      <w:pPr>
        <w:pStyle w:val="Heading3"/>
      </w:pPr>
      <w:r>
        <w:t xml:space="preserve">Items Paid Outside of Closing (POC) — Disclosure Only</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Item</w:t>
            </w:r>
          </w:p>
        </w:tc>
        <w:tc>
          <w:tcPr/>
          <w:p>
            <w:pPr>
              <w:pStyle w:val="Compact"/>
              <w:jc w:val="left"/>
            </w:pPr>
            <w:r>
              <w:t xml:space="preserve">Payee</w:t>
            </w:r>
          </w:p>
        </w:tc>
        <w:tc>
          <w:tcPr/>
          <w:p>
            <w:pPr>
              <w:pStyle w:val="Compact"/>
              <w:jc w:val="right"/>
            </w:pPr>
            <w:r>
              <w:t xml:space="preserve">Amount</w:t>
            </w:r>
          </w:p>
        </w:tc>
        <w:tc>
          <w:tcPr/>
          <w:p>
            <w:pPr>
              <w:pStyle w:val="Compact"/>
              <w:jc w:val="left"/>
            </w:pPr>
            <w:r>
              <w:t xml:space="preserve">Status</w:t>
            </w:r>
          </w:p>
        </w:tc>
      </w:tr>
      <w:tr>
        <w:tc>
          <w:tcPr/>
          <w:p>
            <w:pPr>
              <w:pStyle w:val="Compact"/>
              <w:jc w:val="left"/>
            </w:pPr>
            <w:r>
              <w:t xml:space="preserve">Appraisal Fee</w:t>
            </w:r>
          </w:p>
        </w:tc>
        <w:tc>
          <w:tcPr/>
          <w:p>
            <w:pPr>
              <w:pStyle w:val="Compact"/>
              <w:jc w:val="left"/>
            </w:pPr>
            <w:r>
              <w:t xml:space="preserve">Ashford Valuation Associates LLC</w:t>
            </w:r>
          </w:p>
        </w:tc>
        <w:tc>
          <w:tcPr/>
          <w:p>
            <w:pPr>
              <w:pStyle w:val="Compact"/>
              <w:jc w:val="right"/>
            </w:pPr>
            <w:r>
              <w:t xml:space="preserve">$4,500.00</w:t>
            </w:r>
          </w:p>
        </w:tc>
        <w:tc>
          <w:tcPr/>
          <w:p>
            <w:pPr>
              <w:pStyle w:val="Compact"/>
              <w:jc w:val="left"/>
            </w:pPr>
            <w:r>
              <w:t xml:space="preserve">POC — Paid by Buyer 5/5/2025;</w:t>
            </w:r>
            <w:r>
              <w:t xml:space="preserve"> </w:t>
            </w:r>
            <w:r>
              <w:rPr>
                <w:b/>
                <w:bCs/>
              </w:rPr>
              <w:t xml:space="preserve">not included in cash-to-close</w:t>
            </w:r>
          </w:p>
        </w:tc>
      </w:tr>
    </w:tbl>
    <w:p>
      <w:pPr>
        <w:pStyle w:val="BlockText"/>
      </w:pPr>
      <w:r>
        <w:rPr>
          <w:b/>
          <w:bCs/>
        </w:rPr>
        <w:t xml:space="preserve">Note:</w:t>
      </w:r>
      <w:r>
        <w:t xml:space="preserve"> </w:t>
      </w:r>
      <w:r>
        <w:t xml:space="preserve">Per the Lender’s Commitment Letter (Section 4.2) and the Purchase &amp; Sale Agreement (Section 3.3), the $4,500.00 appraisal fee was paid by Buyer outside of closing and is disclosed here for transparency only. It carries a $0.00 impact on Buyer’s cash required at settlement and is not included in any debit or credit computation.</w:t>
      </w:r>
    </w:p>
    <w:p>
      <w:r>
        <w:pict>
          <v:rect style="width:0;height:1.5pt" o:hralign="center" o:hrstd="t" o:hr="t"/>
        </w:pict>
      </w:r>
    </w:p>
    <w:bookmarkEnd w:id="34"/>
    <w:bookmarkEnd w:id="35"/>
    <w:bookmarkStart w:id="41" w:name="detailed-proration-schedules"/>
    <w:p>
      <w:pPr>
        <w:pStyle w:val="Heading2"/>
      </w:pPr>
      <w:r>
        <w:t xml:space="preserve">DETAILED PRORATION SCHEDULES</w:t>
      </w:r>
    </w:p>
    <w:bookmarkStart w:id="36" w:name="schedule-a-real-property-tax-proration"/>
    <w:p>
      <w:pPr>
        <w:pStyle w:val="Heading3"/>
      </w:pPr>
      <w:r>
        <w:t xml:space="preserve">Schedule A — Real Property Tax Proration</w:t>
      </w:r>
    </w:p>
    <w:p>
      <w:pPr>
        <w:pStyle w:val="FirstParagraph"/>
      </w:pPr>
      <w:r>
        <w:rPr>
          <w:b/>
          <w:bCs/>
        </w:rPr>
        <w:t xml:space="preserve">A-1. Current Fiscal Year (July 1, 2024 – June 30, 2025) — Delinquent Amount (Seller’s Sole Responsibility)</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Annual tax levy (FY 2024–2025)</w:t>
            </w:r>
          </w:p>
        </w:tc>
        <w:tc>
          <w:tcPr/>
          <w:p>
            <w:pPr>
              <w:pStyle w:val="Compact"/>
              <w:jc w:val="right"/>
            </w:pPr>
            <w:r>
              <w:t xml:space="preserve">$52,480.00</w:t>
            </w:r>
          </w:p>
        </w:tc>
      </w:tr>
      <w:tr>
        <w:tc>
          <w:tcPr/>
          <w:p>
            <w:pPr>
              <w:pStyle w:val="Compact"/>
              <w:jc w:val="left"/>
            </w:pPr>
            <w:r>
              <w:t xml:space="preserve">Assessed value (Grand List 10/1/2023) / Mill rate</w:t>
            </w:r>
          </w:p>
        </w:tc>
        <w:tc>
          <w:tcPr/>
          <w:p>
            <w:pPr>
              <w:pStyle w:val="Compact"/>
              <w:jc w:val="right"/>
            </w:pPr>
            <w:r>
              <w:t xml:space="preserve">$1,205,330 / 43.54 mills</w:t>
            </w:r>
          </w:p>
        </w:tc>
      </w:tr>
      <w:tr>
        <w:tc>
          <w:tcPr/>
          <w:p>
            <w:pPr>
              <w:pStyle w:val="Compact"/>
              <w:jc w:val="left"/>
            </w:pPr>
            <w:r>
              <w:t xml:space="preserve">1st Installment ($26,240.00, due 7/1/2024) — PAID 8/1/2024</w:t>
            </w:r>
          </w:p>
        </w:tc>
        <w:tc>
          <w:tcPr/>
          <w:p>
            <w:pPr>
              <w:pStyle w:val="Compact"/>
              <w:jc w:val="right"/>
            </w:pPr>
            <w:r>
              <w:t xml:space="preserve">$0.00 (paid)</w:t>
            </w:r>
          </w:p>
        </w:tc>
      </w:tr>
      <w:tr>
        <w:tc>
          <w:tcPr/>
          <w:p>
            <w:pPr>
              <w:pStyle w:val="Compact"/>
              <w:jc w:val="left"/>
            </w:pPr>
            <w:r>
              <w:t xml:space="preserve">2nd Installment ($26,240.00, due 1/1/2025) — DELINQUENT</w:t>
            </w:r>
          </w:p>
        </w:tc>
        <w:tc>
          <w:tcPr/>
          <w:p>
            <w:pPr>
              <w:pStyle w:val="Compact"/>
              <w:jc w:val="right"/>
            </w:pPr>
            <w:r>
              <w:t xml:space="preserve">$26,240.00</w:t>
            </w:r>
          </w:p>
        </w:tc>
      </w:tr>
      <w:tr>
        <w:tc>
          <w:tcPr/>
          <w:p>
            <w:pPr>
              <w:pStyle w:val="Compact"/>
              <w:jc w:val="left"/>
            </w:pPr>
            <w:r>
              <w:t xml:space="preserve">Accrued interest through 7/15/2025 (CT § 12-146, 1.5%/mo. from 1/2/2025)</w:t>
            </w:r>
          </w:p>
        </w:tc>
        <w:tc>
          <w:tcPr/>
          <w:p>
            <w:pPr>
              <w:pStyle w:val="Compact"/>
              <w:jc w:val="right"/>
            </w:pPr>
            <w:r>
              <w:t xml:space="preserve">$2,362.80</w:t>
            </w:r>
          </w:p>
        </w:tc>
      </w:tr>
      <w:tr>
        <w:tc>
          <w:tcPr/>
          <w:p>
            <w:pPr>
              <w:pStyle w:val="Compact"/>
              <w:jc w:val="left"/>
            </w:pPr>
            <w:r>
              <w:rPr>
                <w:b/>
                <w:bCs/>
              </w:rPr>
              <w:t xml:space="preserve">Total Delinquent Amount (paid from Seller’s proceeds, Line 504 + 505)</w:t>
            </w:r>
          </w:p>
        </w:tc>
        <w:tc>
          <w:tcPr/>
          <w:p>
            <w:pPr>
              <w:pStyle w:val="Compact"/>
              <w:jc w:val="right"/>
            </w:pPr>
            <w:r>
              <w:rPr>
                <w:b/>
                <w:bCs/>
              </w:rPr>
              <w:t xml:space="preserve">$28,602.80</w:t>
            </w:r>
          </w:p>
        </w:tc>
      </w:tr>
    </w:tbl>
    <w:p>
      <w:pPr>
        <w:pStyle w:val="BlockText"/>
      </w:pPr>
      <w:r>
        <w:t xml:space="preserve">This is not a proration. The delinquent 2nd installment and all accrued interest/penalties are Seller’s sole responsibility and are paid in full from Seller’s proceeds at closing. Per diem interest after 7/15/2025 accrues at $13.12/day; payoff valid through 7/20/2025. The annual levy of $52,480.00 is confirmed by the municipal tax status certificate (assessed value $1,205,330 × 43.54 mills = $52,480.13, rounded to $52,480.00).</w:t>
      </w:r>
    </w:p>
    <w:p>
      <w:pPr>
        <w:pStyle w:val="FirstParagraph"/>
      </w:pPr>
      <w:r>
        <w:rPr>
          <w:b/>
          <w:bCs/>
        </w:rPr>
        <w:t xml:space="preserve">A-2. Next Fiscal Year (July 1, 2025 – June 30, 2026) — Estimated Proration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Component</w:t>
            </w:r>
          </w:p>
        </w:tc>
        <w:tc>
          <w:tcPr/>
          <w:p>
            <w:pPr>
              <w:pStyle w:val="Compact"/>
              <w:jc w:val="right"/>
            </w:pPr>
            <w:r>
              <w:t xml:space="preserve">Value</w:t>
            </w:r>
          </w:p>
        </w:tc>
      </w:tr>
      <w:tr>
        <w:tc>
          <w:tcPr/>
          <w:p>
            <w:pPr>
              <w:pStyle w:val="Compact"/>
              <w:jc w:val="left"/>
            </w:pPr>
            <w:r>
              <w:t xml:space="preserve">Estimated annual tax (using current FY amount per Sec. 7.1(b))</w:t>
            </w:r>
          </w:p>
        </w:tc>
        <w:tc>
          <w:tcPr/>
          <w:p>
            <w:pPr>
              <w:pStyle w:val="Compact"/>
              <w:jc w:val="right"/>
            </w:pPr>
            <w:r>
              <w:t xml:space="preserve">$52,480.00</w:t>
            </w:r>
          </w:p>
        </w:tc>
      </w:tr>
      <w:tr>
        <w:tc>
          <w:tcPr/>
          <w:p>
            <w:pPr>
              <w:pStyle w:val="Compact"/>
              <w:jc w:val="left"/>
            </w:pPr>
            <w:r>
              <w:t xml:space="preserve">Per diem ($52,480.00 ÷ 365-day year)</w:t>
            </w:r>
          </w:p>
        </w:tc>
        <w:tc>
          <w:tcPr/>
          <w:p>
            <w:pPr>
              <w:pStyle w:val="Compact"/>
              <w:jc w:val="right"/>
            </w:pPr>
            <w:r>
              <w:t xml:space="preserve">$143.7808/day</w:t>
            </w:r>
          </w:p>
        </w:tc>
      </w:tr>
      <w:tr>
        <w:tc>
          <w:tcPr/>
          <w:p>
            <w:pPr>
              <w:pStyle w:val="Compact"/>
              <w:jc w:val="left"/>
            </w:pPr>
            <w:r>
              <w:t xml:space="preserve">Seller’s period: July 1 – July 14, 2025 (14 days)</w:t>
            </w:r>
          </w:p>
        </w:tc>
        <w:tc>
          <w:tcPr/>
          <w:p>
            <w:pPr>
              <w:pStyle w:val="Compact"/>
              <w:jc w:val="right"/>
            </w:pPr>
            <w:r>
              <w:t xml:space="preserve">14 days</w:t>
            </w:r>
          </w:p>
        </w:tc>
      </w:tr>
      <w:tr>
        <w:tc>
          <w:tcPr/>
          <w:p>
            <w:pPr>
              <w:pStyle w:val="Compact"/>
              <w:jc w:val="left"/>
            </w:pPr>
            <w:r>
              <w:t xml:space="preserve">Seller’s share: 14 × $143.7808</w:t>
            </w:r>
          </w:p>
        </w:tc>
        <w:tc>
          <w:tcPr/>
          <w:p>
            <w:pPr>
              <w:pStyle w:val="Compact"/>
              <w:jc w:val="right"/>
            </w:pPr>
            <w:r>
              <w:rPr>
                <w:b/>
                <w:bCs/>
              </w:rPr>
              <w:t xml:space="preserve">$2,012.93</w:t>
            </w:r>
          </w:p>
        </w:tc>
      </w:tr>
      <w:tr>
        <w:tc>
          <w:tcPr/>
          <w:p>
            <w:pPr>
              <w:pStyle w:val="Compact"/>
              <w:jc w:val="left"/>
            </w:pPr>
            <w:r>
              <w:t xml:space="preserve">Buyer’s period: July 15, 2025 – June 30, 2026 (351 days)</w:t>
            </w:r>
          </w:p>
        </w:tc>
        <w:tc>
          <w:tcPr/>
          <w:p>
            <w:pPr>
              <w:pStyle w:val="Compact"/>
              <w:jc w:val="right"/>
            </w:pPr>
            <w:r>
              <w:t xml:space="preserve">351 days</w:t>
            </w:r>
          </w:p>
        </w:tc>
      </w:tr>
      <w:tr>
        <w:tc>
          <w:tcPr/>
          <w:p>
            <w:pPr>
              <w:pStyle w:val="Compact"/>
              <w:jc w:val="left"/>
            </w:pPr>
            <w:r>
              <w:t xml:space="preserve">Buyer’s share: 351 × $143.7808</w:t>
            </w:r>
          </w:p>
        </w:tc>
        <w:tc>
          <w:tcPr/>
          <w:p>
            <w:pPr>
              <w:pStyle w:val="Compact"/>
              <w:jc w:val="right"/>
            </w:pPr>
            <w:r>
              <w:rPr>
                <w:b/>
                <w:bCs/>
              </w:rPr>
              <w:t xml:space="preserve">$50,467.07</w:t>
            </w:r>
          </w:p>
        </w:tc>
      </w:tr>
      <w:tr>
        <w:tc>
          <w:tcPr/>
          <w:p>
            <w:pPr>
              <w:pStyle w:val="Compact"/>
              <w:jc w:val="left"/>
            </w:pPr>
            <w:r>
              <w:rPr>
                <w:b/>
                <w:bCs/>
              </w:rPr>
              <w:t xml:space="preserve">Check: Seller + Buyer</w:t>
            </w:r>
          </w:p>
        </w:tc>
        <w:tc>
          <w:tcPr/>
          <w:p>
            <w:pPr>
              <w:pStyle w:val="Compact"/>
              <w:jc w:val="right"/>
            </w:pPr>
            <w:r>
              <w:rPr>
                <w:b/>
                <w:bCs/>
              </w:rPr>
              <w:t xml:space="preserve">$52,480.00</w:t>
            </w:r>
          </w:p>
        </w:tc>
      </w:tr>
    </w:tbl>
    <w:p>
      <w:pPr>
        <w:pStyle w:val="BlockText"/>
      </w:pPr>
      <w:r>
        <w:rPr>
          <w:b/>
          <w:bCs/>
        </w:rPr>
        <w:t xml:space="preserve">Treatment:</w:t>
      </w:r>
      <w:r>
        <w:t xml:space="preserve"> </w:t>
      </w:r>
      <w:r>
        <w:t xml:space="preserve">Debit to Seller / Credit to Buyer =</w:t>
      </w:r>
      <w:r>
        <w:t xml:space="preserve"> </w:t>
      </w:r>
      <w:r>
        <w:rPr>
          <w:b/>
          <w:bCs/>
        </w:rPr>
        <w:t xml:space="preserve">$2,012.93</w:t>
      </w:r>
      <w:r>
        <w:t xml:space="preserve"> </w:t>
      </w:r>
      <w:r>
        <w:t xml:space="preserve">(Lines 509 / 205). The FY 2025–2026 mill rate has not yet been set (per municipal tax status certificate). This proration is an estimate using the current year’s tax as a basis. The parties shall reprorate within 90 days after closing when the actual tax bill is issued, per Section 7.7 of the PSA.</w:t>
      </w:r>
    </w:p>
    <w:p>
      <w:r>
        <w:pict>
          <v:rect style="width:0;height:1.5pt" o:hralign="center" o:hrstd="t" o:hr="t"/>
        </w:pict>
      </w:r>
    </w:p>
    <w:bookmarkEnd w:id="36"/>
    <w:bookmarkStart w:id="37" w:name="Xc5c6db8c2d3bd86128ac2dfeb78abc0c6bba8c5"/>
    <w:p>
      <w:pPr>
        <w:pStyle w:val="Heading3"/>
      </w:pPr>
      <w:r>
        <w:t xml:space="preserve">Schedule B — Rent Proration (Collected Rents, July 2025)</w:t>
      </w:r>
    </w:p>
    <w:p>
      <w:pPr>
        <w:pStyle w:val="FirstParagraph"/>
      </w:pPr>
      <w:r>
        <w:rPr>
          <w:b/>
          <w:bCs/>
        </w:rPr>
        <w:t xml:space="preserve">Methodology:</w:t>
      </w:r>
      <w:r>
        <w:t xml:space="preserve"> </w:t>
      </w:r>
      <w:r>
        <w:t xml:space="preserve">Per Section 7.2, collected July 2025 rents are prorated on a per diem basis using 31 days (July). Seller is entitled to 14 days (July 1–14); Buyer is entitled to 17 days (July 15–31). Rents are calculated separately for each lease and aggregated (Sec. 7.2(d)). Uncollected rents (Unit 2E) and vacant units (Unit 3C) are excluded entirely per Section 7.3. Fractional cents are rounded to the nearest cent, with any remaining balance allocated to Buyer.</w:t>
      </w:r>
    </w:p>
    <w:tbl>
      <w:tblPr>
        <w:tblStyle w:val="Table"/>
        <w:tblW w:type="pct" w:w="5000"/>
        <w:jc w:val="left"/>
        <w:tblLayout w:type="fixed"/>
        <w:tblLook w:firstRow="1" w:lastRow="0" w:firstColumn="0" w:lastColumn="0" w:noHBand="0" w:noVBand="0" w:val="0020"/>
      </w:tblPr>
      <w:tblGrid>
        <w:gridCol w:w="1320"/>
        <w:gridCol w:w="1760"/>
        <w:gridCol w:w="1320"/>
        <w:gridCol w:w="1760"/>
        <w:gridCol w:w="1760"/>
      </w:tblGrid>
      <w:tr>
        <w:trPr>
          <w:tblHeader w:val="on"/>
        </w:trPr>
        <w:tc>
          <w:tcPr/>
          <w:p>
            <w:pPr>
              <w:pStyle w:val="Compact"/>
              <w:jc w:val="left"/>
            </w:pPr>
            <w:r>
              <w:t xml:space="preserve">Unit</w:t>
            </w:r>
          </w:p>
        </w:tc>
        <w:tc>
          <w:tcPr/>
          <w:p>
            <w:pPr>
              <w:pStyle w:val="Compact"/>
              <w:jc w:val="right"/>
            </w:pPr>
            <w:r>
              <w:t xml:space="preserve">Monthly Rent</w:t>
            </w:r>
          </w:p>
        </w:tc>
        <w:tc>
          <w:tcPr/>
          <w:p>
            <w:pPr>
              <w:pStyle w:val="Compact"/>
              <w:jc w:val="left"/>
            </w:pPr>
            <w:r>
              <w:t xml:space="preserve">July Status</w:t>
            </w:r>
          </w:p>
        </w:tc>
        <w:tc>
          <w:tcPr/>
          <w:p>
            <w:pPr>
              <w:pStyle w:val="Compact"/>
              <w:jc w:val="right"/>
            </w:pPr>
            <w:r>
              <w:t xml:space="preserve">Seller (14/31)</w:t>
            </w:r>
          </w:p>
        </w:tc>
        <w:tc>
          <w:tcPr/>
          <w:p>
            <w:pPr>
              <w:pStyle w:val="Compact"/>
              <w:jc w:val="right"/>
            </w:pPr>
            <w:r>
              <w:t xml:space="preserve">Buyer (17/31)</w:t>
            </w:r>
          </w:p>
        </w:tc>
      </w:tr>
      <w:tr>
        <w:tc>
          <w:tcPr/>
          <w:p>
            <w:pPr>
              <w:pStyle w:val="Compact"/>
              <w:jc w:val="left"/>
            </w:pPr>
            <w:r>
              <w:t xml:space="preserve">GF — Coastal Provisions Market LLC (Commercial)</w:t>
            </w:r>
          </w:p>
        </w:tc>
        <w:tc>
          <w:tcPr/>
          <w:p>
            <w:pPr>
              <w:pStyle w:val="Compact"/>
              <w:jc w:val="right"/>
            </w:pPr>
            <w:r>
              <w:t xml:space="preserve">$7,200.00</w:t>
            </w:r>
          </w:p>
        </w:tc>
        <w:tc>
          <w:tcPr/>
          <w:p>
            <w:pPr>
              <w:pStyle w:val="Compact"/>
              <w:jc w:val="left"/>
            </w:pPr>
            <w:r>
              <w:t xml:space="preserve">Paid</w:t>
            </w:r>
          </w:p>
        </w:tc>
        <w:tc>
          <w:tcPr/>
          <w:p>
            <w:pPr>
              <w:pStyle w:val="Compact"/>
              <w:jc w:val="right"/>
            </w:pPr>
            <w:r>
              <w:t xml:space="preserve">$3,251.61</w:t>
            </w:r>
          </w:p>
        </w:tc>
        <w:tc>
          <w:tcPr/>
          <w:p>
            <w:pPr>
              <w:pStyle w:val="Compact"/>
              <w:jc w:val="right"/>
            </w:pPr>
            <w:r>
              <w:t xml:space="preserve">$3,948.39</w:t>
            </w:r>
          </w:p>
        </w:tc>
      </w:tr>
      <w:tr>
        <w:tc>
          <w:tcPr/>
          <w:p>
            <w:pPr>
              <w:pStyle w:val="Compact"/>
              <w:jc w:val="left"/>
            </w:pPr>
            <w:r>
              <w:t xml:space="preserve">2A</w:t>
            </w:r>
          </w:p>
        </w:tc>
        <w:tc>
          <w:tcPr/>
          <w:p>
            <w:pPr>
              <w:pStyle w:val="Compact"/>
              <w:jc w:val="right"/>
            </w:pPr>
            <w:r>
              <w:t xml:space="preserve">$1,650.00</w:t>
            </w:r>
          </w:p>
        </w:tc>
        <w:tc>
          <w:tcPr/>
          <w:p>
            <w:pPr>
              <w:pStyle w:val="Compact"/>
              <w:jc w:val="left"/>
            </w:pPr>
            <w:r>
              <w:t xml:space="preserve">Paid</w:t>
            </w:r>
          </w:p>
        </w:tc>
        <w:tc>
          <w:tcPr/>
          <w:p>
            <w:pPr>
              <w:pStyle w:val="Compact"/>
              <w:jc w:val="right"/>
            </w:pPr>
            <w:r>
              <w:t xml:space="preserve">$745.16</w:t>
            </w:r>
          </w:p>
        </w:tc>
        <w:tc>
          <w:tcPr/>
          <w:p>
            <w:pPr>
              <w:pStyle w:val="Compact"/>
              <w:jc w:val="right"/>
            </w:pPr>
            <w:r>
              <w:t xml:space="preserve">$904.84</w:t>
            </w:r>
          </w:p>
        </w:tc>
      </w:tr>
      <w:tr>
        <w:tc>
          <w:tcPr/>
          <w:p>
            <w:pPr>
              <w:pStyle w:val="Compact"/>
              <w:jc w:val="left"/>
            </w:pPr>
            <w:r>
              <w:t xml:space="preserve">2B</w:t>
            </w:r>
          </w:p>
        </w:tc>
        <w:tc>
          <w:tcPr/>
          <w:p>
            <w:pPr>
              <w:pStyle w:val="Compact"/>
              <w:jc w:val="right"/>
            </w:pPr>
            <w:r>
              <w:t xml:space="preserve">$1,575.00</w:t>
            </w:r>
          </w:p>
        </w:tc>
        <w:tc>
          <w:tcPr/>
          <w:p>
            <w:pPr>
              <w:pStyle w:val="Compact"/>
              <w:jc w:val="left"/>
            </w:pPr>
            <w:r>
              <w:t xml:space="preserve">Paid</w:t>
            </w:r>
          </w:p>
        </w:tc>
        <w:tc>
          <w:tcPr/>
          <w:p>
            <w:pPr>
              <w:pStyle w:val="Compact"/>
              <w:jc w:val="right"/>
            </w:pPr>
            <w:r>
              <w:t xml:space="preserve">$711.29</w:t>
            </w:r>
          </w:p>
        </w:tc>
        <w:tc>
          <w:tcPr/>
          <w:p>
            <w:pPr>
              <w:pStyle w:val="Compact"/>
              <w:jc w:val="right"/>
            </w:pPr>
            <w:r>
              <w:t xml:space="preserve">$863.71</w:t>
            </w:r>
          </w:p>
        </w:tc>
      </w:tr>
      <w:tr>
        <w:tc>
          <w:tcPr/>
          <w:p>
            <w:pPr>
              <w:pStyle w:val="Compact"/>
              <w:jc w:val="left"/>
            </w:pPr>
            <w:r>
              <w:t xml:space="preserve">2C</w:t>
            </w:r>
          </w:p>
        </w:tc>
        <w:tc>
          <w:tcPr/>
          <w:p>
            <w:pPr>
              <w:pStyle w:val="Compact"/>
              <w:jc w:val="right"/>
            </w:pPr>
            <w:r>
              <w:t xml:space="preserve">$1,700.00</w:t>
            </w:r>
          </w:p>
        </w:tc>
        <w:tc>
          <w:tcPr/>
          <w:p>
            <w:pPr>
              <w:pStyle w:val="Compact"/>
              <w:jc w:val="left"/>
            </w:pPr>
            <w:r>
              <w:t xml:space="preserve">Paid</w:t>
            </w:r>
          </w:p>
        </w:tc>
        <w:tc>
          <w:tcPr/>
          <w:p>
            <w:pPr>
              <w:pStyle w:val="Compact"/>
              <w:jc w:val="right"/>
            </w:pPr>
            <w:r>
              <w:t xml:space="preserve">$767.74</w:t>
            </w:r>
          </w:p>
        </w:tc>
        <w:tc>
          <w:tcPr/>
          <w:p>
            <w:pPr>
              <w:pStyle w:val="Compact"/>
              <w:jc w:val="right"/>
            </w:pPr>
            <w:r>
              <w:t xml:space="preserve">$932.26</w:t>
            </w:r>
          </w:p>
        </w:tc>
      </w:tr>
      <w:tr>
        <w:tc>
          <w:tcPr/>
          <w:p>
            <w:pPr>
              <w:pStyle w:val="Compact"/>
              <w:jc w:val="left"/>
            </w:pPr>
            <w:r>
              <w:t xml:space="preserve">2D</w:t>
            </w:r>
          </w:p>
        </w:tc>
        <w:tc>
          <w:tcPr/>
          <w:p>
            <w:pPr>
              <w:pStyle w:val="Compact"/>
              <w:jc w:val="right"/>
            </w:pPr>
            <w:r>
              <w:t xml:space="preserve">$1,525.00</w:t>
            </w:r>
          </w:p>
        </w:tc>
        <w:tc>
          <w:tcPr/>
          <w:p>
            <w:pPr>
              <w:pStyle w:val="Compact"/>
              <w:jc w:val="left"/>
            </w:pPr>
            <w:r>
              <w:t xml:space="preserve">Paid</w:t>
            </w:r>
          </w:p>
        </w:tc>
        <w:tc>
          <w:tcPr/>
          <w:p>
            <w:pPr>
              <w:pStyle w:val="Compact"/>
              <w:jc w:val="right"/>
            </w:pPr>
            <w:r>
              <w:t xml:space="preserve">$688.71</w:t>
            </w:r>
          </w:p>
        </w:tc>
        <w:tc>
          <w:tcPr/>
          <w:p>
            <w:pPr>
              <w:pStyle w:val="Compact"/>
              <w:jc w:val="right"/>
            </w:pPr>
            <w:r>
              <w:t xml:space="preserve">$836.29</w:t>
            </w:r>
          </w:p>
        </w:tc>
      </w:tr>
      <w:tr>
        <w:tc>
          <w:tcPr/>
          <w:p>
            <w:pPr>
              <w:pStyle w:val="Compact"/>
              <w:jc w:val="left"/>
            </w:pPr>
            <w:r>
              <w:t xml:space="preserve">2E</w:t>
            </w:r>
          </w:p>
        </w:tc>
        <w:tc>
          <w:tcPr/>
          <w:p>
            <w:pPr>
              <w:pStyle w:val="Compact"/>
              <w:jc w:val="right"/>
            </w:pPr>
            <w:r>
              <w:t xml:space="preserve">$1,600.00</w:t>
            </w:r>
          </w:p>
        </w:tc>
        <w:tc>
          <w:tcPr/>
          <w:p>
            <w:pPr>
              <w:pStyle w:val="Compact"/>
              <w:jc w:val="left"/>
            </w:pPr>
            <w:r>
              <w:rPr>
                <w:b/>
                <w:bCs/>
              </w:rPr>
              <w:t xml:space="preserve">UNPAID — excluded</w:t>
            </w:r>
          </w:p>
        </w:tc>
        <w:tc>
          <w:tcPr/>
          <w:p>
            <w:pPr>
              <w:pStyle w:val="Compact"/>
              <w:jc w:val="right"/>
            </w:pPr>
            <w:r>
              <w:t xml:space="preserve">$0.00</w:t>
            </w:r>
          </w:p>
        </w:tc>
        <w:tc>
          <w:tcPr/>
          <w:p>
            <w:pPr>
              <w:pStyle w:val="Compact"/>
              <w:jc w:val="right"/>
            </w:pPr>
            <w:r>
              <w:t xml:space="preserve">$0.00</w:t>
            </w:r>
          </w:p>
        </w:tc>
      </w:tr>
      <w:tr>
        <w:tc>
          <w:tcPr/>
          <w:p>
            <w:pPr>
              <w:pStyle w:val="Compact"/>
              <w:jc w:val="left"/>
            </w:pPr>
            <w:r>
              <w:t xml:space="preserve">2F</w:t>
            </w:r>
          </w:p>
        </w:tc>
        <w:tc>
          <w:tcPr/>
          <w:p>
            <w:pPr>
              <w:pStyle w:val="Compact"/>
              <w:jc w:val="right"/>
            </w:pPr>
            <w:r>
              <w:t xml:space="preserve">$1,650.00</w:t>
            </w:r>
          </w:p>
        </w:tc>
        <w:tc>
          <w:tcPr/>
          <w:p>
            <w:pPr>
              <w:pStyle w:val="Compact"/>
              <w:jc w:val="left"/>
            </w:pPr>
            <w:r>
              <w:t xml:space="preserve">Paid</w:t>
            </w:r>
          </w:p>
        </w:tc>
        <w:tc>
          <w:tcPr/>
          <w:p>
            <w:pPr>
              <w:pStyle w:val="Compact"/>
              <w:jc w:val="right"/>
            </w:pPr>
            <w:r>
              <w:t xml:space="preserve">$745.16</w:t>
            </w:r>
          </w:p>
        </w:tc>
        <w:tc>
          <w:tcPr/>
          <w:p>
            <w:pPr>
              <w:pStyle w:val="Compact"/>
              <w:jc w:val="right"/>
            </w:pPr>
            <w:r>
              <w:t xml:space="preserve">$904.84</w:t>
            </w:r>
          </w:p>
        </w:tc>
      </w:tr>
      <w:tr>
        <w:tc>
          <w:tcPr/>
          <w:p>
            <w:pPr>
              <w:pStyle w:val="Compact"/>
              <w:jc w:val="left"/>
            </w:pPr>
            <w:r>
              <w:t xml:space="preserve">3A</w:t>
            </w:r>
          </w:p>
        </w:tc>
        <w:tc>
          <w:tcPr/>
          <w:p>
            <w:pPr>
              <w:pStyle w:val="Compact"/>
              <w:jc w:val="right"/>
            </w:pPr>
            <w:r>
              <w:t xml:space="preserve">$1,750.00</w:t>
            </w:r>
          </w:p>
        </w:tc>
        <w:tc>
          <w:tcPr/>
          <w:p>
            <w:pPr>
              <w:pStyle w:val="Compact"/>
              <w:jc w:val="left"/>
            </w:pPr>
            <w:r>
              <w:t xml:space="preserve">Paid</w:t>
            </w:r>
          </w:p>
        </w:tc>
        <w:tc>
          <w:tcPr/>
          <w:p>
            <w:pPr>
              <w:pStyle w:val="Compact"/>
              <w:jc w:val="right"/>
            </w:pPr>
            <w:r>
              <w:t xml:space="preserve">$790.32</w:t>
            </w:r>
          </w:p>
        </w:tc>
        <w:tc>
          <w:tcPr/>
          <w:p>
            <w:pPr>
              <w:pStyle w:val="Compact"/>
              <w:jc w:val="right"/>
            </w:pPr>
            <w:r>
              <w:t xml:space="preserve">$959.68</w:t>
            </w:r>
          </w:p>
        </w:tc>
      </w:tr>
      <w:tr>
        <w:tc>
          <w:tcPr/>
          <w:p>
            <w:pPr>
              <w:pStyle w:val="Compact"/>
              <w:jc w:val="left"/>
            </w:pPr>
            <w:r>
              <w:t xml:space="preserve">3B</w:t>
            </w:r>
          </w:p>
        </w:tc>
        <w:tc>
          <w:tcPr/>
          <w:p>
            <w:pPr>
              <w:pStyle w:val="Compact"/>
              <w:jc w:val="right"/>
            </w:pPr>
            <w:r>
              <w:t xml:space="preserve">$1,575.00</w:t>
            </w:r>
          </w:p>
        </w:tc>
        <w:tc>
          <w:tcPr/>
          <w:p>
            <w:pPr>
              <w:pStyle w:val="Compact"/>
              <w:jc w:val="left"/>
            </w:pPr>
            <w:r>
              <w:t xml:space="preserve">Paid</w:t>
            </w:r>
          </w:p>
        </w:tc>
        <w:tc>
          <w:tcPr/>
          <w:p>
            <w:pPr>
              <w:pStyle w:val="Compact"/>
              <w:jc w:val="right"/>
            </w:pPr>
            <w:r>
              <w:t xml:space="preserve">$711.29</w:t>
            </w:r>
          </w:p>
        </w:tc>
        <w:tc>
          <w:tcPr/>
          <w:p>
            <w:pPr>
              <w:pStyle w:val="Compact"/>
              <w:jc w:val="right"/>
            </w:pPr>
            <w:r>
              <w:t xml:space="preserve">$863.71</w:t>
            </w:r>
          </w:p>
        </w:tc>
      </w:tr>
      <w:tr>
        <w:tc>
          <w:tcPr/>
          <w:p>
            <w:pPr>
              <w:pStyle w:val="Compact"/>
              <w:jc w:val="left"/>
            </w:pPr>
            <w:r>
              <w:t xml:space="preserve">3C</w:t>
            </w:r>
          </w:p>
        </w:tc>
        <w:tc>
          <w:tcPr/>
          <w:p>
            <w:pPr>
              <w:pStyle w:val="Compact"/>
              <w:jc w:val="right"/>
            </w:pPr>
            <w:r>
              <w:t xml:space="preserve">$0.00</w:t>
            </w:r>
          </w:p>
        </w:tc>
        <w:tc>
          <w:tcPr/>
          <w:p>
            <w:pPr>
              <w:pStyle w:val="Compact"/>
              <w:jc w:val="left"/>
            </w:pPr>
            <w:r>
              <w:rPr>
                <w:b/>
                <w:bCs/>
              </w:rPr>
              <w:t xml:space="preserve">VACANT — excluded</w:t>
            </w:r>
          </w:p>
        </w:tc>
        <w:tc>
          <w:tcPr/>
          <w:p>
            <w:pPr>
              <w:pStyle w:val="Compact"/>
              <w:jc w:val="right"/>
            </w:pPr>
            <w:r>
              <w:t xml:space="preserve">$0.00</w:t>
            </w:r>
          </w:p>
        </w:tc>
        <w:tc>
          <w:tcPr/>
          <w:p>
            <w:pPr>
              <w:pStyle w:val="Compact"/>
              <w:jc w:val="right"/>
            </w:pPr>
            <w:r>
              <w:t xml:space="preserve">$0.00</w:t>
            </w:r>
          </w:p>
        </w:tc>
      </w:tr>
      <w:tr>
        <w:tc>
          <w:tcPr/>
          <w:p>
            <w:pPr>
              <w:pStyle w:val="Compact"/>
              <w:jc w:val="left"/>
            </w:pPr>
            <w:r>
              <w:t xml:space="preserve">3D</w:t>
            </w:r>
          </w:p>
        </w:tc>
        <w:tc>
          <w:tcPr/>
          <w:p>
            <w:pPr>
              <w:pStyle w:val="Compact"/>
              <w:jc w:val="right"/>
            </w:pPr>
            <w:r>
              <w:t xml:space="preserve">$1,700.00</w:t>
            </w:r>
          </w:p>
        </w:tc>
        <w:tc>
          <w:tcPr/>
          <w:p>
            <w:pPr>
              <w:pStyle w:val="Compact"/>
              <w:jc w:val="left"/>
            </w:pPr>
            <w:r>
              <w:t xml:space="preserve">Paid</w:t>
            </w:r>
          </w:p>
        </w:tc>
        <w:tc>
          <w:tcPr/>
          <w:p>
            <w:pPr>
              <w:pStyle w:val="Compact"/>
              <w:jc w:val="right"/>
            </w:pPr>
            <w:r>
              <w:t xml:space="preserve">$767.74</w:t>
            </w:r>
          </w:p>
        </w:tc>
        <w:tc>
          <w:tcPr/>
          <w:p>
            <w:pPr>
              <w:pStyle w:val="Compact"/>
              <w:jc w:val="right"/>
            </w:pPr>
            <w:r>
              <w:t xml:space="preserve">$932.26</w:t>
            </w:r>
          </w:p>
        </w:tc>
      </w:tr>
      <w:tr>
        <w:tc>
          <w:tcPr/>
          <w:p>
            <w:pPr>
              <w:pStyle w:val="Compact"/>
              <w:jc w:val="left"/>
            </w:pPr>
            <w:r>
              <w:t xml:space="preserve">3E</w:t>
            </w:r>
          </w:p>
        </w:tc>
        <w:tc>
          <w:tcPr/>
          <w:p>
            <w:pPr>
              <w:pStyle w:val="Compact"/>
              <w:jc w:val="right"/>
            </w:pPr>
            <w:r>
              <w:t xml:space="preserve">$1,625.00</w:t>
            </w:r>
          </w:p>
        </w:tc>
        <w:tc>
          <w:tcPr/>
          <w:p>
            <w:pPr>
              <w:pStyle w:val="Compact"/>
              <w:jc w:val="left"/>
            </w:pPr>
            <w:r>
              <w:t xml:space="preserve">Paid</w:t>
            </w:r>
          </w:p>
        </w:tc>
        <w:tc>
          <w:tcPr/>
          <w:p>
            <w:pPr>
              <w:pStyle w:val="Compact"/>
              <w:jc w:val="right"/>
            </w:pPr>
            <w:r>
              <w:t xml:space="preserve">$733.87</w:t>
            </w:r>
          </w:p>
        </w:tc>
        <w:tc>
          <w:tcPr/>
          <w:p>
            <w:pPr>
              <w:pStyle w:val="Compact"/>
              <w:jc w:val="right"/>
            </w:pPr>
            <w:r>
              <w:t xml:space="preserve">$891.13</w:t>
            </w:r>
          </w:p>
        </w:tc>
      </w:tr>
      <w:tr>
        <w:tc>
          <w:tcPr/>
          <w:p>
            <w:pPr>
              <w:pStyle w:val="Compact"/>
              <w:jc w:val="left"/>
            </w:pPr>
            <w:r>
              <w:t xml:space="preserve">3F</w:t>
            </w:r>
          </w:p>
        </w:tc>
        <w:tc>
          <w:tcPr/>
          <w:p>
            <w:pPr>
              <w:pStyle w:val="Compact"/>
              <w:jc w:val="right"/>
            </w:pPr>
            <w:r>
              <w:t xml:space="preserve">$1,650.00</w:t>
            </w:r>
          </w:p>
        </w:tc>
        <w:tc>
          <w:tcPr/>
          <w:p>
            <w:pPr>
              <w:pStyle w:val="Compact"/>
              <w:jc w:val="left"/>
            </w:pPr>
            <w:r>
              <w:t xml:space="preserve">Paid</w:t>
            </w:r>
          </w:p>
        </w:tc>
        <w:tc>
          <w:tcPr/>
          <w:p>
            <w:pPr>
              <w:pStyle w:val="Compact"/>
              <w:jc w:val="right"/>
            </w:pPr>
            <w:r>
              <w:t xml:space="preserve">$745.16</w:t>
            </w:r>
          </w:p>
        </w:tc>
        <w:tc>
          <w:tcPr/>
          <w:p>
            <w:pPr>
              <w:pStyle w:val="Compact"/>
              <w:jc w:val="right"/>
            </w:pPr>
            <w:r>
              <w:t xml:space="preserve">$904.84</w:t>
            </w:r>
          </w:p>
        </w:tc>
      </w:tr>
      <w:tr>
        <w:tc>
          <w:tcPr/>
          <w:p>
            <w:pPr>
              <w:pStyle w:val="Compact"/>
              <w:jc w:val="left"/>
            </w:pPr>
            <w:r>
              <w:rPr>
                <w:b/>
                <w:bCs/>
              </w:rPr>
              <w:t xml:space="preserve">TOTAL COLLECTED</w:t>
            </w:r>
          </w:p>
        </w:tc>
        <w:tc>
          <w:tcPr/>
          <w:p>
            <w:pPr>
              <w:pStyle w:val="Compact"/>
              <w:jc w:val="right"/>
            </w:pPr>
            <w:r>
              <w:rPr>
                <w:b/>
                <w:bCs/>
              </w:rPr>
              <w:t xml:space="preserve">$23,600.00</w:t>
            </w:r>
          </w:p>
        </w:tc>
        <w:tc>
          <w:tcPr/>
          <w:p>
            <w:pPr>
              <w:pStyle w:val="Compact"/>
            </w:pPr>
          </w:p>
        </w:tc>
        <w:tc>
          <w:tcPr/>
          <w:p>
            <w:pPr>
              <w:pStyle w:val="Compact"/>
              <w:jc w:val="right"/>
            </w:pPr>
            <w:r>
              <w:rPr>
                <w:b/>
                <w:bCs/>
              </w:rPr>
              <w:t xml:space="preserve">$10,658.05</w:t>
            </w:r>
          </w:p>
        </w:tc>
        <w:tc>
          <w:tcPr/>
          <w:p>
            <w:pPr>
              <w:pStyle w:val="Compact"/>
              <w:jc w:val="right"/>
            </w:pPr>
            <w:r>
              <w:rPr>
                <w:b/>
                <w:bCs/>
              </w:rPr>
              <w:t xml:space="preserve">$12,941.95</w:t>
            </w:r>
          </w:p>
        </w:tc>
      </w:tr>
    </w:tbl>
    <w:p>
      <w:pPr>
        <w:pStyle w:val="BlockText"/>
      </w:pPr>
      <w:r>
        <w:rPr>
          <w:b/>
          <w:bCs/>
        </w:rPr>
        <w:t xml:space="preserve">Treatment:</w:t>
      </w:r>
      <w:r>
        <w:t xml:space="preserve"> </w:t>
      </w:r>
      <w:r>
        <w:t xml:space="preserve">Seller collected $23,600.00 in July rents and is entitled to $10,658.05 (14 days). Seller remits Buyer’s share to Buyer:</w:t>
      </w:r>
      <w:r>
        <w:t xml:space="preserve"> </w:t>
      </w:r>
      <w:r>
        <w:rPr>
          <w:b/>
          <w:bCs/>
        </w:rPr>
        <w:t xml:space="preserve">Debit to Seller / Credit to Buyer = $12,941.95</w:t>
      </w:r>
      <w:r>
        <w:t xml:space="preserve"> </w:t>
      </w:r>
      <w:r>
        <w:t xml:space="preserve">(Lines 506 / 202).</w:t>
      </w:r>
    </w:p>
    <w:p>
      <w:pPr>
        <w:pStyle w:val="BlockText"/>
      </w:pPr>
      <w:r>
        <w:rPr>
          <w:b/>
          <w:bCs/>
        </w:rPr>
        <w:t xml:space="preserve">Unit 2E ($1,600.00):</w:t>
      </w:r>
      <w:r>
        <w:t xml:space="preserve"> </w:t>
      </w:r>
      <w:r>
        <w:t xml:space="preserve">Delinquent for July 2025; excluded from proration per Section 7.3. Buyer assumes the right to collect this delinquent rent post-closing (Sec. 7.3(b)); any amounts collected are first applied to current rents, with excess remitted to Seller within 30 days.</w:t>
      </w:r>
    </w:p>
    <w:p>
      <w:pPr>
        <w:pStyle w:val="BlockText"/>
      </w:pPr>
      <w:r>
        <w:rPr>
          <w:b/>
          <w:bCs/>
        </w:rPr>
        <w:t xml:space="preserve">Unit 3C:</w:t>
      </w:r>
      <w:r>
        <w:t xml:space="preserve"> </w:t>
      </w:r>
      <w:r>
        <w:t xml:space="preserve">Vacant since 11/1/2024; no rent or security deposit. Estimated market rent of $1,650/mo is informational only and excluded from all prorations.</w:t>
      </w:r>
    </w:p>
    <w:p>
      <w:r>
        <w:pict>
          <v:rect style="width:0;height:1.5pt" o:hralign="center" o:hrstd="t" o:hr="t"/>
        </w:pict>
      </w:r>
    </w:p>
    <w:bookmarkEnd w:id="37"/>
    <w:bookmarkStart w:id="38" w:name="schedule-c-security-deposit-transfer"/>
    <w:p>
      <w:pPr>
        <w:pStyle w:val="Heading3"/>
      </w:pPr>
      <w:r>
        <w:t xml:space="preserve">Schedule C — Security Deposit Transfer</w:t>
      </w:r>
    </w:p>
    <w:p>
      <w:pPr>
        <w:pStyle w:val="FirstParagraph"/>
      </w:pPr>
      <w:r>
        <w:t xml:space="preserve">Per Section 7.4, all security deposits held by Seller/Property Manager are transferred to Buyer at closing, reflected as a debit to Seller and credit to Buyer. Residential deposits are held in an interest-bearing escrow account at Harborstone Federal Credit Union per Connecticut law; the commercial deposit is held in a separate non-interest-bearing account per the lease.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Unit</w:t>
            </w:r>
          </w:p>
        </w:tc>
        <w:tc>
          <w:tcPr/>
          <w:p>
            <w:pPr>
              <w:pStyle w:val="Compact"/>
              <w:jc w:val="left"/>
            </w:pPr>
            <w:r>
              <w:t xml:space="preserve">Type</w:t>
            </w:r>
          </w:p>
        </w:tc>
        <w:tc>
          <w:tcPr/>
          <w:p>
            <w:pPr>
              <w:pStyle w:val="Compact"/>
              <w:jc w:val="right"/>
            </w:pPr>
            <w:r>
              <w:t xml:space="preserve">Security Deposit</w:t>
            </w:r>
          </w:p>
        </w:tc>
      </w:tr>
      <w:tr>
        <w:tc>
          <w:tcPr/>
          <w:p>
            <w:pPr>
              <w:pStyle w:val="Compact"/>
              <w:jc w:val="left"/>
            </w:pPr>
            <w:r>
              <w:t xml:space="preserve">GF — Coastal Provisions Market LLC</w:t>
            </w:r>
          </w:p>
        </w:tc>
        <w:tc>
          <w:tcPr/>
          <w:p>
            <w:pPr>
              <w:pStyle w:val="Compact"/>
              <w:jc w:val="left"/>
            </w:pPr>
            <w:r>
              <w:t xml:space="preserve">Commercial</w:t>
            </w:r>
          </w:p>
        </w:tc>
        <w:tc>
          <w:tcPr/>
          <w:p>
            <w:pPr>
              <w:pStyle w:val="Compact"/>
              <w:jc w:val="right"/>
            </w:pPr>
            <w:r>
              <w:t xml:space="preserve">$14,400.00</w:t>
            </w:r>
          </w:p>
        </w:tc>
      </w:tr>
      <w:tr>
        <w:tc>
          <w:tcPr/>
          <w:p>
            <w:pPr>
              <w:pStyle w:val="Compact"/>
              <w:jc w:val="left"/>
            </w:pPr>
            <w:r>
              <w:t xml:space="preserve">2A</w:t>
            </w:r>
          </w:p>
        </w:tc>
        <w:tc>
          <w:tcPr/>
          <w:p>
            <w:pPr>
              <w:pStyle w:val="Compact"/>
              <w:jc w:val="left"/>
            </w:pPr>
            <w:r>
              <w:t xml:space="preserve">Residential</w:t>
            </w:r>
          </w:p>
        </w:tc>
        <w:tc>
          <w:tcPr/>
          <w:p>
            <w:pPr>
              <w:pStyle w:val="Compact"/>
              <w:jc w:val="right"/>
            </w:pPr>
            <w:r>
              <w:t xml:space="preserve">$1,650.00</w:t>
            </w:r>
          </w:p>
        </w:tc>
      </w:tr>
      <w:tr>
        <w:tc>
          <w:tcPr/>
          <w:p>
            <w:pPr>
              <w:pStyle w:val="Compact"/>
              <w:jc w:val="left"/>
            </w:pPr>
            <w:r>
              <w:t xml:space="preserve">2B</w:t>
            </w:r>
          </w:p>
        </w:tc>
        <w:tc>
          <w:tcPr/>
          <w:p>
            <w:pPr>
              <w:pStyle w:val="Compact"/>
              <w:jc w:val="left"/>
            </w:pPr>
            <w:r>
              <w:t xml:space="preserve">Residential</w:t>
            </w:r>
          </w:p>
        </w:tc>
        <w:tc>
          <w:tcPr/>
          <w:p>
            <w:pPr>
              <w:pStyle w:val="Compact"/>
              <w:jc w:val="right"/>
            </w:pPr>
            <w:r>
              <w:t xml:space="preserve">$1,575.00</w:t>
            </w:r>
          </w:p>
        </w:tc>
      </w:tr>
      <w:tr>
        <w:tc>
          <w:tcPr/>
          <w:p>
            <w:pPr>
              <w:pStyle w:val="Compact"/>
              <w:jc w:val="left"/>
            </w:pPr>
            <w:r>
              <w:t xml:space="preserve">2C</w:t>
            </w:r>
          </w:p>
        </w:tc>
        <w:tc>
          <w:tcPr/>
          <w:p>
            <w:pPr>
              <w:pStyle w:val="Compact"/>
              <w:jc w:val="left"/>
            </w:pPr>
            <w:r>
              <w:t xml:space="preserve">Residential</w:t>
            </w:r>
          </w:p>
        </w:tc>
        <w:tc>
          <w:tcPr/>
          <w:p>
            <w:pPr>
              <w:pStyle w:val="Compact"/>
              <w:jc w:val="right"/>
            </w:pPr>
            <w:r>
              <w:t xml:space="preserve">$1,700.00</w:t>
            </w:r>
          </w:p>
        </w:tc>
      </w:tr>
      <w:tr>
        <w:tc>
          <w:tcPr/>
          <w:p>
            <w:pPr>
              <w:pStyle w:val="Compact"/>
              <w:jc w:val="left"/>
            </w:pPr>
            <w:r>
              <w:t xml:space="preserve">2D</w:t>
            </w:r>
          </w:p>
        </w:tc>
        <w:tc>
          <w:tcPr/>
          <w:p>
            <w:pPr>
              <w:pStyle w:val="Compact"/>
              <w:jc w:val="left"/>
            </w:pPr>
            <w:r>
              <w:t xml:space="preserve">Residential</w:t>
            </w:r>
          </w:p>
        </w:tc>
        <w:tc>
          <w:tcPr/>
          <w:p>
            <w:pPr>
              <w:pStyle w:val="Compact"/>
              <w:jc w:val="right"/>
            </w:pPr>
            <w:r>
              <w:t xml:space="preserve">$1,525.00</w:t>
            </w:r>
          </w:p>
        </w:tc>
      </w:tr>
      <w:tr>
        <w:tc>
          <w:tcPr/>
          <w:p>
            <w:pPr>
              <w:pStyle w:val="Compact"/>
              <w:jc w:val="left"/>
            </w:pPr>
            <w:r>
              <w:t xml:space="preserve">2E</w:t>
            </w:r>
          </w:p>
        </w:tc>
        <w:tc>
          <w:tcPr/>
          <w:p>
            <w:pPr>
              <w:pStyle w:val="Compact"/>
              <w:jc w:val="left"/>
            </w:pPr>
            <w:r>
              <w:t xml:space="preserve">Residential</w:t>
            </w:r>
          </w:p>
        </w:tc>
        <w:tc>
          <w:tcPr/>
          <w:p>
            <w:pPr>
              <w:pStyle w:val="Compact"/>
              <w:jc w:val="right"/>
            </w:pPr>
            <w:r>
              <w:t xml:space="preserve">$1,600.00</w:t>
            </w:r>
          </w:p>
        </w:tc>
      </w:tr>
      <w:tr>
        <w:tc>
          <w:tcPr/>
          <w:p>
            <w:pPr>
              <w:pStyle w:val="Compact"/>
              <w:jc w:val="left"/>
            </w:pPr>
            <w:r>
              <w:t xml:space="preserve">2F</w:t>
            </w:r>
          </w:p>
        </w:tc>
        <w:tc>
          <w:tcPr/>
          <w:p>
            <w:pPr>
              <w:pStyle w:val="Compact"/>
              <w:jc w:val="left"/>
            </w:pPr>
            <w:r>
              <w:t xml:space="preserve">Residential</w:t>
            </w:r>
          </w:p>
        </w:tc>
        <w:tc>
          <w:tcPr/>
          <w:p>
            <w:pPr>
              <w:pStyle w:val="Compact"/>
              <w:jc w:val="right"/>
            </w:pPr>
            <w:r>
              <w:t xml:space="preserve">$1,650.00</w:t>
            </w:r>
          </w:p>
        </w:tc>
      </w:tr>
      <w:tr>
        <w:tc>
          <w:tcPr/>
          <w:p>
            <w:pPr>
              <w:pStyle w:val="Compact"/>
              <w:jc w:val="left"/>
            </w:pPr>
            <w:r>
              <w:t xml:space="preserve">3A</w:t>
            </w:r>
          </w:p>
        </w:tc>
        <w:tc>
          <w:tcPr/>
          <w:p>
            <w:pPr>
              <w:pStyle w:val="Compact"/>
              <w:jc w:val="left"/>
            </w:pPr>
            <w:r>
              <w:t xml:space="preserve">Residential</w:t>
            </w:r>
          </w:p>
        </w:tc>
        <w:tc>
          <w:tcPr/>
          <w:p>
            <w:pPr>
              <w:pStyle w:val="Compact"/>
              <w:jc w:val="right"/>
            </w:pPr>
            <w:r>
              <w:t xml:space="preserve">$1,750.00</w:t>
            </w:r>
          </w:p>
        </w:tc>
      </w:tr>
      <w:tr>
        <w:tc>
          <w:tcPr/>
          <w:p>
            <w:pPr>
              <w:pStyle w:val="Compact"/>
              <w:jc w:val="left"/>
            </w:pPr>
            <w:r>
              <w:t xml:space="preserve">3B</w:t>
            </w:r>
          </w:p>
        </w:tc>
        <w:tc>
          <w:tcPr/>
          <w:p>
            <w:pPr>
              <w:pStyle w:val="Compact"/>
              <w:jc w:val="left"/>
            </w:pPr>
            <w:r>
              <w:t xml:space="preserve">Residential</w:t>
            </w:r>
          </w:p>
        </w:tc>
        <w:tc>
          <w:tcPr/>
          <w:p>
            <w:pPr>
              <w:pStyle w:val="Compact"/>
              <w:jc w:val="right"/>
            </w:pPr>
            <w:r>
              <w:t xml:space="preserve">$1,575.00</w:t>
            </w:r>
          </w:p>
        </w:tc>
      </w:tr>
      <w:tr>
        <w:tc>
          <w:tcPr/>
          <w:p>
            <w:pPr>
              <w:pStyle w:val="Compact"/>
              <w:jc w:val="left"/>
            </w:pPr>
            <w:r>
              <w:t xml:space="preserve">3C</w:t>
            </w:r>
          </w:p>
        </w:tc>
        <w:tc>
          <w:tcPr/>
          <w:p>
            <w:pPr>
              <w:pStyle w:val="Compact"/>
              <w:jc w:val="left"/>
            </w:pPr>
            <w:r>
              <w:t xml:space="preserve">Residential</w:t>
            </w:r>
          </w:p>
        </w:tc>
        <w:tc>
          <w:tcPr/>
          <w:p>
            <w:pPr>
              <w:pStyle w:val="Compact"/>
              <w:jc w:val="right"/>
            </w:pPr>
            <w:r>
              <w:t xml:space="preserve">$0.00 (vacant — no deposit held)</w:t>
            </w:r>
          </w:p>
        </w:tc>
      </w:tr>
      <w:tr>
        <w:tc>
          <w:tcPr/>
          <w:p>
            <w:pPr>
              <w:pStyle w:val="Compact"/>
              <w:jc w:val="left"/>
            </w:pPr>
            <w:r>
              <w:t xml:space="preserve">3D</w:t>
            </w:r>
          </w:p>
        </w:tc>
        <w:tc>
          <w:tcPr/>
          <w:p>
            <w:pPr>
              <w:pStyle w:val="Compact"/>
              <w:jc w:val="left"/>
            </w:pPr>
            <w:r>
              <w:t xml:space="preserve">Residential</w:t>
            </w:r>
          </w:p>
        </w:tc>
        <w:tc>
          <w:tcPr/>
          <w:p>
            <w:pPr>
              <w:pStyle w:val="Compact"/>
              <w:jc w:val="right"/>
            </w:pPr>
            <w:r>
              <w:t xml:space="preserve">$1,700.00</w:t>
            </w:r>
          </w:p>
        </w:tc>
      </w:tr>
      <w:tr>
        <w:tc>
          <w:tcPr/>
          <w:p>
            <w:pPr>
              <w:pStyle w:val="Compact"/>
              <w:jc w:val="left"/>
            </w:pPr>
            <w:r>
              <w:t xml:space="preserve">3E</w:t>
            </w:r>
          </w:p>
        </w:tc>
        <w:tc>
          <w:tcPr/>
          <w:p>
            <w:pPr>
              <w:pStyle w:val="Compact"/>
              <w:jc w:val="left"/>
            </w:pPr>
            <w:r>
              <w:t xml:space="preserve">Residential</w:t>
            </w:r>
          </w:p>
        </w:tc>
        <w:tc>
          <w:tcPr/>
          <w:p>
            <w:pPr>
              <w:pStyle w:val="Compact"/>
              <w:jc w:val="right"/>
            </w:pPr>
            <w:r>
              <w:t xml:space="preserve">$1,625.00</w:t>
            </w:r>
          </w:p>
        </w:tc>
      </w:tr>
      <w:tr>
        <w:tc>
          <w:tcPr/>
          <w:p>
            <w:pPr>
              <w:pStyle w:val="Compact"/>
              <w:jc w:val="left"/>
            </w:pPr>
            <w:r>
              <w:t xml:space="preserve">3F</w:t>
            </w:r>
          </w:p>
        </w:tc>
        <w:tc>
          <w:tcPr/>
          <w:p>
            <w:pPr>
              <w:pStyle w:val="Compact"/>
              <w:jc w:val="left"/>
            </w:pPr>
            <w:r>
              <w:t xml:space="preserve">Residential</w:t>
            </w:r>
          </w:p>
        </w:tc>
        <w:tc>
          <w:tcPr/>
          <w:p>
            <w:pPr>
              <w:pStyle w:val="Compact"/>
              <w:jc w:val="right"/>
            </w:pPr>
            <w:r>
              <w:t xml:space="preserve">$1,650.00</w:t>
            </w:r>
          </w:p>
        </w:tc>
      </w:tr>
      <w:tr>
        <w:tc>
          <w:tcPr/>
          <w:p>
            <w:pPr>
              <w:pStyle w:val="Compact"/>
              <w:jc w:val="left"/>
            </w:pPr>
            <w:r>
              <w:rPr>
                <w:b/>
                <w:bCs/>
              </w:rPr>
              <w:t xml:space="preserve">TOTAL (principal)</w:t>
            </w:r>
          </w:p>
        </w:tc>
        <w:tc>
          <w:tcPr/>
          <w:p>
            <w:pPr>
              <w:pStyle w:val="Compact"/>
            </w:pPr>
          </w:p>
        </w:tc>
        <w:tc>
          <w:tcPr/>
          <w:p>
            <w:pPr>
              <w:pStyle w:val="Compact"/>
              <w:jc w:val="right"/>
            </w:pPr>
            <w:r>
              <w:rPr>
                <w:b/>
                <w:bCs/>
              </w:rPr>
              <w:t xml:space="preserve">$32,400.00</w:t>
            </w:r>
          </w:p>
        </w:tc>
      </w:tr>
      <w:tr>
        <w:tc>
          <w:tcPr/>
          <w:p>
            <w:pPr>
              <w:pStyle w:val="Compact"/>
              <w:jc w:val="left"/>
            </w:pPr>
            <w:r>
              <w:t xml:space="preserve">Residential subtotal (11 units)</w:t>
            </w:r>
          </w:p>
        </w:tc>
        <w:tc>
          <w:tcPr/>
          <w:p>
            <w:pPr>
              <w:pStyle w:val="Compact"/>
            </w:pPr>
          </w:p>
        </w:tc>
        <w:tc>
          <w:tcPr/>
          <w:p>
            <w:pPr>
              <w:pStyle w:val="Compact"/>
              <w:jc w:val="right"/>
            </w:pPr>
            <w:r>
              <w:t xml:space="preserve">$18,000.00</w:t>
            </w:r>
          </w:p>
        </w:tc>
      </w:tr>
      <w:tr>
        <w:tc>
          <w:tcPr/>
          <w:p>
            <w:pPr>
              <w:pStyle w:val="Compact"/>
              <w:jc w:val="left"/>
            </w:pPr>
            <w:r>
              <w:t xml:space="preserve">Commercial subtotal (1 unit)</w:t>
            </w:r>
          </w:p>
        </w:tc>
        <w:tc>
          <w:tcPr/>
          <w:p>
            <w:pPr>
              <w:pStyle w:val="Compact"/>
            </w:pPr>
          </w:p>
        </w:tc>
        <w:tc>
          <w:tcPr/>
          <w:p>
            <w:pPr>
              <w:pStyle w:val="Compact"/>
              <w:jc w:val="right"/>
            </w:pPr>
            <w:r>
              <w:t xml:space="preserve">$14,400.00</w:t>
            </w:r>
          </w:p>
        </w:tc>
      </w:tr>
    </w:tbl>
    <w:p>
      <w:pPr>
        <w:pStyle w:val="BlockText"/>
      </w:pPr>
      <w:r>
        <w:rPr>
          <w:b/>
          <w:bCs/>
        </w:rPr>
        <w:t xml:space="preserve">Treatment:</w:t>
      </w:r>
      <w:r>
        <w:t xml:space="preserve"> </w:t>
      </w:r>
      <w:r>
        <w:t xml:space="preserve">Debit to Seller / Credit to Buyer =</w:t>
      </w:r>
      <w:r>
        <w:t xml:space="preserve"> </w:t>
      </w:r>
      <w:r>
        <w:rPr>
          <w:b/>
          <w:bCs/>
        </w:rPr>
        <w:t xml:space="preserve">$32,400.00</w:t>
      </w:r>
      <w:r>
        <w:t xml:space="preserve"> </w:t>
      </w:r>
      <w:r>
        <w:t xml:space="preserve">(Lines 507 / 203), representing principal amounts only. Accrued interest on residential deposits (required by CT Gen. Stat. § 47a-21) is to be confirmed by the Property Manager/Escrow Agent and added as an additional debit to Seller / credit to Buyer (Line 507a / 203a). The commercial deposit does not accrue interest per the lease and management agreement. Buyer assumes all landlord obligations with respect to these deposits from and after the Closing Date, including tenant notice requirements.</w:t>
      </w:r>
    </w:p>
    <w:p>
      <w:r>
        <w:pict>
          <v:rect style="width:0;height:1.5pt" o:hralign="center" o:hrstd="t" o:hr="t"/>
        </w:pict>
      </w:r>
    </w:p>
    <w:bookmarkEnd w:id="38"/>
    <w:bookmarkStart w:id="39" w:name="schedule-d-utility-proration-water-sewer"/>
    <w:p>
      <w:pPr>
        <w:pStyle w:val="Heading3"/>
      </w:pPr>
      <w:r>
        <w:t xml:space="preserve">Schedule D — Utility Proration (Water &amp; Sewer)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Detail</w:t>
            </w:r>
          </w:p>
        </w:tc>
      </w:tr>
      <w:tr>
        <w:tc>
          <w:tcPr/>
          <w:p>
            <w:pPr>
              <w:pStyle w:val="Compact"/>
              <w:jc w:val="left"/>
            </w:pPr>
            <w:r>
              <w:t xml:space="preserve">Account</w:t>
            </w:r>
          </w:p>
        </w:tc>
        <w:tc>
          <w:tcPr/>
          <w:p>
            <w:pPr>
              <w:pStyle w:val="Compact"/>
              <w:jc w:val="left"/>
            </w:pPr>
            <w:r>
              <w:t xml:space="preserve">City of Bridgeport WPCA, Account No. WS-2025-048173</w:t>
            </w:r>
          </w:p>
        </w:tc>
      </w:tr>
      <w:tr>
        <w:tc>
          <w:tcPr/>
          <w:p>
            <w:pPr>
              <w:pStyle w:val="Compact"/>
              <w:jc w:val="left"/>
            </w:pPr>
            <w:r>
              <w:t xml:space="preserve">Billing Period</w:t>
            </w:r>
          </w:p>
        </w:tc>
        <w:tc>
          <w:tcPr/>
          <w:p>
            <w:pPr>
              <w:pStyle w:val="Compact"/>
              <w:jc w:val="left"/>
            </w:pPr>
            <w:r>
              <w:t xml:space="preserve">May 15, 2025 – July 14, 2025 (61 service days)</w:t>
            </w:r>
          </w:p>
        </w:tc>
      </w:tr>
      <w:tr>
        <w:tc>
          <w:tcPr/>
          <w:p>
            <w:pPr>
              <w:pStyle w:val="Compact"/>
              <w:jc w:val="left"/>
            </w:pPr>
            <w:r>
              <w:t xml:space="preserve">Water Charges</w:t>
            </w:r>
          </w:p>
        </w:tc>
        <w:tc>
          <w:tcPr/>
          <w:p>
            <w:pPr>
              <w:pStyle w:val="Compact"/>
              <w:jc w:val="left"/>
            </w:pPr>
            <w:r>
              <w:t xml:space="preserve">$923.00</w:t>
            </w:r>
          </w:p>
        </w:tc>
      </w:tr>
      <w:tr>
        <w:tc>
          <w:tcPr/>
          <w:p>
            <w:pPr>
              <w:pStyle w:val="Compact"/>
              <w:jc w:val="left"/>
            </w:pPr>
            <w:r>
              <w:t xml:space="preserve">Sewer Charges</w:t>
            </w:r>
          </w:p>
        </w:tc>
        <w:tc>
          <w:tcPr/>
          <w:p>
            <w:pPr>
              <w:pStyle w:val="Compact"/>
              <w:jc w:val="left"/>
            </w:pPr>
            <w:r>
              <w:t xml:space="preserve">$708.00</w:t>
            </w:r>
          </w:p>
        </w:tc>
      </w:tr>
      <w:tr>
        <w:tc>
          <w:tcPr/>
          <w:p>
            <w:pPr>
              <w:pStyle w:val="Compact"/>
              <w:jc w:val="left"/>
            </w:pPr>
            <w:r>
              <w:t xml:space="preserve">Other Assessments (stormwater + clean water fund)</w:t>
            </w:r>
          </w:p>
        </w:tc>
        <w:tc>
          <w:tcPr/>
          <w:p>
            <w:pPr>
              <w:pStyle w:val="Compact"/>
              <w:jc w:val="left"/>
            </w:pPr>
            <w:r>
              <w:t xml:space="preserve">$216.60</w:t>
            </w:r>
          </w:p>
        </w:tc>
      </w:tr>
      <w:tr>
        <w:tc>
          <w:tcPr/>
          <w:p>
            <w:pPr>
              <w:pStyle w:val="Compact"/>
              <w:jc w:val="left"/>
            </w:pPr>
            <w:r>
              <w:rPr>
                <w:b/>
                <w:bCs/>
              </w:rPr>
              <w:t xml:space="preserve">Total Current Charges</w:t>
            </w:r>
          </w:p>
        </w:tc>
        <w:tc>
          <w:tcPr/>
          <w:p>
            <w:pPr>
              <w:pStyle w:val="Compact"/>
              <w:jc w:val="left"/>
            </w:pPr>
            <w:r>
              <w:rPr>
                <w:b/>
                <w:bCs/>
              </w:rPr>
              <w:t xml:space="preserve">$1,847.60</w:t>
            </w:r>
          </w:p>
        </w:tc>
      </w:tr>
      <w:tr>
        <w:tc>
          <w:tcPr/>
          <w:p>
            <w:pPr>
              <w:pStyle w:val="Compact"/>
              <w:jc w:val="left"/>
            </w:pPr>
            <w:r>
              <w:t xml:space="preserve">Status</w:t>
            </w:r>
          </w:p>
        </w:tc>
        <w:tc>
          <w:tcPr/>
          <w:p>
            <w:pPr>
              <w:pStyle w:val="Compact"/>
              <w:jc w:val="left"/>
            </w:pPr>
            <w:r>
              <w:t xml:space="preserve">UNPAID — due August 1, 2025</w:t>
            </w:r>
          </w:p>
        </w:tc>
      </w:tr>
      <w:tr>
        <w:tc>
          <w:tcPr/>
          <w:p>
            <w:pPr>
              <w:pStyle w:val="Compact"/>
              <w:jc w:val="left"/>
            </w:pPr>
            <w:r>
              <w:t xml:space="preserve">Prior Periods</w:t>
            </w:r>
          </w:p>
        </w:tc>
        <w:tc>
          <w:tcPr/>
          <w:p>
            <w:pPr>
              <w:pStyle w:val="Compact"/>
              <w:jc w:val="left"/>
            </w:pPr>
            <w:r>
              <w:t xml:space="preserve">All paid in full; no arrears</w:t>
            </w:r>
          </w:p>
        </w:tc>
      </w:tr>
    </w:tbl>
    <w:p>
      <w:pPr>
        <w:pStyle w:val="BlockText"/>
      </w:pPr>
      <w:r>
        <w:rPr>
          <w:b/>
          <w:bCs/>
        </w:rPr>
        <w:t xml:space="preserve">Treatment:</w:t>
      </w:r>
      <w:r>
        <w:t xml:space="preserve"> </w:t>
      </w:r>
      <w:r>
        <w:t xml:space="preserve">The billing period ends July 14, 2025, which is on or before the Closing Date (July 15, 2025). Per Section 7.5(a), the entire unpaid balance is Seller’s sole responsibility and is credited to Buyer:</w:t>
      </w:r>
      <w:r>
        <w:t xml:space="preserve"> </w:t>
      </w:r>
      <w:r>
        <w:rPr>
          <w:b/>
          <w:bCs/>
        </w:rPr>
        <w:t xml:space="preserve">Debit to Seller / Credit to Buyer = $1,847.60</w:t>
      </w:r>
      <w:r>
        <w:t xml:space="preserve"> </w:t>
      </w:r>
      <w:r>
        <w:t xml:space="preserve">(Lines 508 / 204). The municipal lien certificate (No. TLC-2025-04892) states this balance</w:t>
      </w:r>
      <w:r>
        <w:t xml:space="preserve"> </w:t>
      </w:r>
      <w:r>
        <w:t xml:space="preserve">“</w:t>
      </w:r>
      <w:r>
        <w:t xml:space="preserve">must be satisfied at or before closing.</w:t>
      </w:r>
      <w:r>
        <w:t xml:space="preserve">”</w:t>
      </w:r>
      <w:r>
        <w:t xml:space="preserve"> </w:t>
      </w:r>
      <w:r>
        <w:t xml:space="preserve">See Notes Memo regarding the timing discrepancy between the PSA credit-to-Buyer treatment and the municipal lien certificate’s satisfaction-at-closing requirement.</w:t>
      </w:r>
    </w:p>
    <w:p>
      <w:r>
        <w:pict>
          <v:rect style="width:0;height:1.5pt" o:hralign="center" o:hrstd="t" o:hr="t"/>
        </w:pict>
      </w:r>
    </w:p>
    <w:bookmarkEnd w:id="39"/>
    <w:bookmarkStart w:id="40" w:name="schedule-e-heating-oil-reimbursement"/>
    <w:p>
      <w:pPr>
        <w:pStyle w:val="Heading3"/>
      </w:pPr>
      <w:r>
        <w:t xml:space="preserve">Schedule E — Heating Oil Reimbursement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Detail</w:t>
            </w:r>
          </w:p>
        </w:tc>
      </w:tr>
      <w:tr>
        <w:tc>
          <w:tcPr/>
          <w:p>
            <w:pPr>
              <w:pStyle w:val="Compact"/>
              <w:jc w:val="left"/>
            </w:pPr>
            <w:r>
              <w:t xml:space="preserve">Inspection Date</w:t>
            </w:r>
          </w:p>
        </w:tc>
        <w:tc>
          <w:tcPr/>
          <w:p>
            <w:pPr>
              <w:pStyle w:val="Compact"/>
              <w:jc w:val="left"/>
            </w:pPr>
            <w:r>
              <w:t xml:space="preserve">July 14, 2025 (pre-closing walk-through)</w:t>
            </w:r>
          </w:p>
        </w:tc>
      </w:tr>
      <w:tr>
        <w:tc>
          <w:tcPr/>
          <w:p>
            <w:pPr>
              <w:pStyle w:val="Compact"/>
              <w:jc w:val="left"/>
            </w:pPr>
            <w:r>
              <w:t xml:space="preserve">Tank</w:t>
            </w:r>
          </w:p>
        </w:tc>
        <w:tc>
          <w:tcPr/>
          <w:p>
            <w:pPr>
              <w:pStyle w:val="Compact"/>
              <w:jc w:val="left"/>
            </w:pPr>
            <w:r>
              <w:t xml:space="preserve">275-gallon above-ground steel tank (basement mechanical room)</w:t>
            </w:r>
          </w:p>
        </w:tc>
      </w:tr>
      <w:tr>
        <w:tc>
          <w:tcPr/>
          <w:p>
            <w:pPr>
              <w:pStyle w:val="Compact"/>
              <w:jc w:val="left"/>
            </w:pPr>
            <w:r>
              <w:t xml:space="preserve">Gauge Reading</w:t>
            </w:r>
          </w:p>
        </w:tc>
        <w:tc>
          <w:tcPr/>
          <w:p>
            <w:pPr>
              <w:pStyle w:val="Compact"/>
              <w:jc w:val="left"/>
            </w:pPr>
            <w:r>
              <w:t xml:space="preserve">180 gallons remaining</w:t>
            </w:r>
          </w:p>
        </w:tc>
      </w:tr>
      <w:tr>
        <w:tc>
          <w:tcPr/>
          <w:p>
            <w:pPr>
              <w:pStyle w:val="Compact"/>
              <w:jc w:val="left"/>
            </w:pPr>
            <w:r>
              <w:t xml:space="preserve">Seller’s Last Delivered Price</w:t>
            </w:r>
          </w:p>
        </w:tc>
        <w:tc>
          <w:tcPr/>
          <w:p>
            <w:pPr>
              <w:pStyle w:val="Compact"/>
              <w:jc w:val="left"/>
            </w:pPr>
            <w:r>
              <w:t xml:space="preserve">$3.85/gallon (Shoreline Fuel &amp; Oil Co., delivery 6/2/2025)</w:t>
            </w:r>
          </w:p>
        </w:tc>
      </w:tr>
      <w:tr>
        <w:tc>
          <w:tcPr/>
          <w:p>
            <w:pPr>
              <w:pStyle w:val="Compact"/>
              <w:jc w:val="left"/>
            </w:pPr>
            <w:r>
              <w:rPr>
                <w:b/>
                <w:bCs/>
              </w:rPr>
              <w:t xml:space="preserve">Reimbursement Value</w:t>
            </w:r>
          </w:p>
        </w:tc>
        <w:tc>
          <w:tcPr/>
          <w:p>
            <w:pPr>
              <w:pStyle w:val="Compact"/>
              <w:jc w:val="left"/>
            </w:pPr>
            <w:r>
              <w:rPr>
                <w:b/>
                <w:bCs/>
              </w:rPr>
              <w:t xml:space="preserve">180 gal. × $3.85 = $693.00</w:t>
            </w:r>
          </w:p>
        </w:tc>
      </w:tr>
    </w:tbl>
    <w:p>
      <w:pPr>
        <w:pStyle w:val="BlockText"/>
      </w:pPr>
      <w:r>
        <w:rPr>
          <w:b/>
          <w:bCs/>
        </w:rPr>
        <w:t xml:space="preserve">Treatment:</w:t>
      </w:r>
      <w:r>
        <w:t xml:space="preserve"> </w:t>
      </w:r>
      <w:r>
        <w:t xml:space="preserve">Per Section 7.6, Buyer reimburses Seller for heating oil remaining in the tank at Seller’s last delivered price:</w:t>
      </w:r>
      <w:r>
        <w:t xml:space="preserve"> </w:t>
      </w:r>
      <w:r>
        <w:rPr>
          <w:b/>
          <w:bCs/>
        </w:rPr>
        <w:t xml:space="preserve">Credit to Seller / Debit to Buyer = $693.00</w:t>
      </w:r>
      <w:r>
        <w:t xml:space="preserve"> </w:t>
      </w:r>
      <w:r>
        <w:t xml:space="preserve">(Lines 401 / 101). The gauge reading was verified by the licensed inspector (Soundview Property Inspections LLC) and independently confirmed by tank tapping. The oil delivery receipt (Shoreline Fuel &amp; Oil Co., Ticket No. SFO-25-04872) is appended to the pre-closing inspection report.</w:t>
      </w:r>
    </w:p>
    <w:p>
      <w:r>
        <w:pict>
          <v:rect style="width:0;height:1.5pt" o:hralign="center" o:hrstd="t" o:hr="t"/>
        </w:pict>
      </w:r>
    </w:p>
    <w:bookmarkEnd w:id="40"/>
    <w:bookmarkEnd w:id="41"/>
    <w:bookmarkStart w:id="46" w:name="reconciliation-summary"/>
    <w:p>
      <w:pPr>
        <w:pStyle w:val="Heading2"/>
      </w:pPr>
      <w:r>
        <w:t xml:space="preserve">RECONCILIATION SUMMARY</w:t>
      </w:r>
    </w:p>
    <w:bookmarkStart w:id="42" w:name="funds-received-at-closing"/>
    <w:p>
      <w:pPr>
        <w:pStyle w:val="Heading3"/>
      </w:pPr>
      <w:r>
        <w:t xml:space="preserve">Funds Received at Closing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right"/>
            </w:pPr>
            <w:r>
              <w:t xml:space="preserve">Amount</w:t>
            </w:r>
          </w:p>
        </w:tc>
      </w:tr>
      <w:tr>
        <w:tc>
          <w:tcPr/>
          <w:p>
            <w:pPr>
              <w:pStyle w:val="Compact"/>
              <w:jc w:val="left"/>
            </w:pPr>
            <w:r>
              <w:t xml:space="preserve">Cash from Buyer (Line 302)</w:t>
            </w:r>
          </w:p>
        </w:tc>
        <w:tc>
          <w:tcPr/>
          <w:p>
            <w:pPr>
              <w:pStyle w:val="Compact"/>
              <w:jc w:val="right"/>
            </w:pPr>
            <w:r>
              <w:t xml:space="preserve">$1,083,564.52</w:t>
            </w:r>
          </w:p>
        </w:tc>
      </w:tr>
      <w:tr>
        <w:tc>
          <w:tcPr/>
          <w:p>
            <w:pPr>
              <w:pStyle w:val="Compact"/>
              <w:jc w:val="left"/>
            </w:pPr>
            <w:r>
              <w:t xml:space="preserve">Loan Proceeds — Tidewater Savings Bank</w:t>
            </w:r>
          </w:p>
        </w:tc>
        <w:tc>
          <w:tcPr/>
          <w:p>
            <w:pPr>
              <w:pStyle w:val="Compact"/>
              <w:jc w:val="right"/>
            </w:pPr>
            <w:r>
              <w:t xml:space="preserve">$2,640,000.00</w:t>
            </w:r>
          </w:p>
        </w:tc>
      </w:tr>
      <w:tr>
        <w:tc>
          <w:tcPr/>
          <w:p>
            <w:pPr>
              <w:pStyle w:val="Compact"/>
              <w:jc w:val="left"/>
            </w:pPr>
            <w:r>
              <w:t xml:space="preserve">Earnest Money (held by Escrow Agent)</w:t>
            </w:r>
          </w:p>
        </w:tc>
        <w:tc>
          <w:tcPr/>
          <w:p>
            <w:pPr>
              <w:pStyle w:val="Compact"/>
              <w:jc w:val="right"/>
            </w:pPr>
            <w:r>
              <w:t xml:space="preserve">$195,000.00</w:t>
            </w:r>
          </w:p>
        </w:tc>
      </w:tr>
      <w:tr>
        <w:tc>
          <w:tcPr/>
          <w:p>
            <w:pPr>
              <w:pStyle w:val="Compact"/>
              <w:jc w:val="left"/>
            </w:pPr>
            <w:r>
              <w:rPr>
                <w:b/>
                <w:bCs/>
              </w:rPr>
              <w:t xml:space="preserve">Total Funds Received</w:t>
            </w:r>
          </w:p>
        </w:tc>
        <w:tc>
          <w:tcPr/>
          <w:p>
            <w:pPr>
              <w:pStyle w:val="Compact"/>
              <w:jc w:val="right"/>
            </w:pPr>
            <w:r>
              <w:rPr>
                <w:b/>
                <w:bCs/>
              </w:rPr>
              <w:t xml:space="preserve">$3,918,564.52</w:t>
            </w:r>
          </w:p>
        </w:tc>
      </w:tr>
    </w:tbl>
    <w:bookmarkEnd w:id="42"/>
    <w:bookmarkStart w:id="43" w:name="funds-disbursed-at-closing"/>
    <w:p>
      <w:pPr>
        <w:pStyle w:val="Heading3"/>
      </w:pPr>
      <w:r>
        <w:t xml:space="preserve">Funds Disbursed at Closing</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Disbursement</w:t>
            </w:r>
          </w:p>
        </w:tc>
        <w:tc>
          <w:tcPr/>
          <w:p>
            <w:pPr>
              <w:pStyle w:val="Compact"/>
              <w:jc w:val="right"/>
            </w:pPr>
            <w:r>
              <w:t xml:space="preserve">Amount</w:t>
            </w:r>
          </w:p>
        </w:tc>
      </w:tr>
      <w:tr>
        <w:tc>
          <w:tcPr/>
          <w:p>
            <w:pPr>
              <w:pStyle w:val="Compact"/>
              <w:jc w:val="left"/>
            </w:pPr>
            <w:r>
              <w:t xml:space="preserve">Net Proceeds to Seller (Line 602)</w:t>
            </w:r>
          </w:p>
        </w:tc>
        <w:tc>
          <w:tcPr/>
          <w:p>
            <w:pPr>
              <w:pStyle w:val="Compact"/>
              <w:jc w:val="right"/>
            </w:pPr>
            <w:r>
              <w:t xml:space="preserve">$2,864,663.83</w:t>
            </w:r>
          </w:p>
        </w:tc>
      </w:tr>
      <w:tr>
        <w:tc>
          <w:tcPr/>
          <w:p>
            <w:pPr>
              <w:pStyle w:val="Compact"/>
              <w:jc w:val="left"/>
            </w:pPr>
            <w:r>
              <w:t xml:space="preserve">Lien Payoffs (Harborstone 1st Mortgage, HELOC, Northbridge)</w:t>
            </w:r>
          </w:p>
        </w:tc>
        <w:tc>
          <w:tcPr/>
          <w:p>
            <w:pPr>
              <w:pStyle w:val="Compact"/>
              <w:jc w:val="right"/>
            </w:pPr>
            <w:r>
              <w:t xml:space="preserve">$866,631.89</w:t>
            </w:r>
          </w:p>
        </w:tc>
      </w:tr>
      <w:tr>
        <w:tc>
          <w:tcPr/>
          <w:p>
            <w:pPr>
              <w:pStyle w:val="Compact"/>
              <w:jc w:val="left"/>
            </w:pPr>
            <w:r>
              <w:t xml:space="preserve">Delinquent Property Tax Payoff (City of Bridgeport)</w:t>
            </w:r>
          </w:p>
        </w:tc>
        <w:tc>
          <w:tcPr/>
          <w:p>
            <w:pPr>
              <w:pStyle w:val="Compact"/>
              <w:jc w:val="right"/>
            </w:pPr>
            <w:r>
              <w:t xml:space="preserve">$28,602.80</w:t>
            </w:r>
          </w:p>
        </w:tc>
      </w:tr>
      <w:tr>
        <w:tc>
          <w:tcPr/>
          <w:p>
            <w:pPr>
              <w:pStyle w:val="Compact"/>
              <w:jc w:val="left"/>
            </w:pPr>
            <w:r>
              <w:t xml:space="preserve">Repair Escrow (segregated, interest-bearing — held by Escrow Agent)</w:t>
            </w:r>
          </w:p>
        </w:tc>
        <w:tc>
          <w:tcPr/>
          <w:p>
            <w:pPr>
              <w:pStyle w:val="Compact"/>
              <w:jc w:val="right"/>
            </w:pPr>
            <w:r>
              <w:t xml:space="preserve">$45,000.00</w:t>
            </w:r>
          </w:p>
        </w:tc>
      </w:tr>
      <w:tr>
        <w:tc>
          <w:tcPr/>
          <w:p>
            <w:pPr>
              <w:pStyle w:val="Compact"/>
              <w:jc w:val="left"/>
            </w:pPr>
            <w:r>
              <w:t xml:space="preserve">Buyer’s Settlement Charges (paid to third parties)</w:t>
            </w:r>
          </w:p>
        </w:tc>
        <w:tc>
          <w:tcPr/>
          <w:p>
            <w:pPr>
              <w:pStyle w:val="Compact"/>
              <w:jc w:val="right"/>
            </w:pPr>
            <w:r>
              <w:t xml:space="preserve">$67,074.00</w:t>
            </w:r>
          </w:p>
        </w:tc>
      </w:tr>
      <w:tr>
        <w:tc>
          <w:tcPr/>
          <w:p>
            <w:pPr>
              <w:pStyle w:val="Compact"/>
              <w:jc w:val="left"/>
            </w:pPr>
            <w:r>
              <w:t xml:space="preserve">Seller’s Settlement Charges (paid to third parties)</w:t>
            </w:r>
          </w:p>
        </w:tc>
        <w:tc>
          <w:tcPr/>
          <w:p>
            <w:pPr>
              <w:pStyle w:val="Compact"/>
              <w:jc w:val="right"/>
            </w:pPr>
            <w:r>
              <w:t xml:space="preserve">$46,592.00</w:t>
            </w:r>
          </w:p>
        </w:tc>
      </w:tr>
      <w:tr>
        <w:tc>
          <w:tcPr/>
          <w:p>
            <w:pPr>
              <w:pStyle w:val="Compact"/>
              <w:jc w:val="left"/>
            </w:pPr>
            <w:r>
              <w:rPr>
                <w:b/>
                <w:bCs/>
              </w:rPr>
              <w:t xml:space="preserve">Total Funds Disbursed</w:t>
            </w:r>
          </w:p>
        </w:tc>
        <w:tc>
          <w:tcPr/>
          <w:p>
            <w:pPr>
              <w:pStyle w:val="Compact"/>
              <w:jc w:val="right"/>
            </w:pPr>
            <w:r>
              <w:rPr>
                <w:b/>
                <w:bCs/>
              </w:rPr>
              <w:t xml:space="preserve">$3,918,564.52</w:t>
            </w:r>
          </w:p>
        </w:tc>
      </w:tr>
    </w:tbl>
    <w:bookmarkEnd w:id="43"/>
    <w:bookmarkStart w:id="44" w:name="reconciliation"/>
    <w:p>
      <w:pPr>
        <w:pStyle w:val="Heading3"/>
      </w:pPr>
      <w:r>
        <w:t xml:space="preserve">Reconciliation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right"/>
            </w:pPr>
            <w:r>
              <w:t xml:space="preserve">Amount</w:t>
            </w:r>
          </w:p>
        </w:tc>
      </w:tr>
      <w:tr>
        <w:tc>
          <w:tcPr/>
          <w:p>
            <w:pPr>
              <w:pStyle w:val="Compact"/>
              <w:jc w:val="left"/>
            </w:pPr>
            <w:r>
              <w:t xml:space="preserve">Total Funds Received</w:t>
            </w:r>
          </w:p>
        </w:tc>
        <w:tc>
          <w:tcPr/>
          <w:p>
            <w:pPr>
              <w:pStyle w:val="Compact"/>
              <w:jc w:val="right"/>
            </w:pPr>
            <w:r>
              <w:t xml:space="preserve">$3,918,564.52</w:t>
            </w:r>
          </w:p>
        </w:tc>
      </w:tr>
      <w:tr>
        <w:tc>
          <w:tcPr/>
          <w:p>
            <w:pPr>
              <w:pStyle w:val="Compact"/>
              <w:jc w:val="left"/>
            </w:pPr>
            <w:r>
              <w:t xml:space="preserve">Total Funds Disbursed</w:t>
            </w:r>
          </w:p>
        </w:tc>
        <w:tc>
          <w:tcPr/>
          <w:p>
            <w:pPr>
              <w:pStyle w:val="Compact"/>
              <w:jc w:val="right"/>
            </w:pPr>
            <w:r>
              <w:t xml:space="preserve">$3,918,564.52</w:t>
            </w:r>
          </w:p>
        </w:tc>
      </w:tr>
      <w:tr>
        <w:tc>
          <w:tcPr/>
          <w:p>
            <w:pPr>
              <w:pStyle w:val="Compact"/>
              <w:jc w:val="left"/>
            </w:pPr>
            <w:r>
              <w:rPr>
                <w:b/>
                <w:bCs/>
              </w:rPr>
              <w:t xml:space="preserve">Difference</w:t>
            </w:r>
          </w:p>
        </w:tc>
        <w:tc>
          <w:tcPr/>
          <w:p>
            <w:pPr>
              <w:pStyle w:val="Compact"/>
              <w:jc w:val="right"/>
            </w:pPr>
            <w:r>
              <w:rPr>
                <w:b/>
                <w:bCs/>
              </w:rPr>
              <w:t xml:space="preserve">$0.00 — RECONCILED</w:t>
            </w:r>
          </w:p>
        </w:tc>
      </w:tr>
    </w:tbl>
    <w:bookmarkEnd w:id="44"/>
    <w:bookmarkStart w:id="45" w:name="equity-verification-lender-requirement"/>
    <w:p>
      <w:pPr>
        <w:pStyle w:val="Heading3"/>
      </w:pPr>
      <w:r>
        <w:t xml:space="preserve">Equity Verification (Lender Requirement)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Earnest Money applied to purchase price</w:t>
            </w:r>
          </w:p>
        </w:tc>
        <w:tc>
          <w:tcPr/>
          <w:p>
            <w:pPr>
              <w:pStyle w:val="Compact"/>
              <w:jc w:val="right"/>
            </w:pPr>
            <w:r>
              <w:t xml:space="preserve">$195,000.00</w:t>
            </w:r>
          </w:p>
        </w:tc>
      </w:tr>
      <w:tr>
        <w:tc>
          <w:tcPr/>
          <w:p>
            <w:pPr>
              <w:pStyle w:val="Compact"/>
              <w:jc w:val="left"/>
            </w:pPr>
            <w:r>
              <w:t xml:space="preserve">Cash from Buyer at settlement</w:t>
            </w:r>
          </w:p>
        </w:tc>
        <w:tc>
          <w:tcPr/>
          <w:p>
            <w:pPr>
              <w:pStyle w:val="Compact"/>
              <w:jc w:val="right"/>
            </w:pPr>
            <w:r>
              <w:t xml:space="preserve">$1,083,564.52</w:t>
            </w:r>
          </w:p>
        </w:tc>
      </w:tr>
      <w:tr>
        <w:tc>
          <w:tcPr/>
          <w:p>
            <w:pPr>
              <w:pStyle w:val="Compact"/>
              <w:jc w:val="left"/>
            </w:pPr>
            <w:r>
              <w:rPr>
                <w:b/>
                <w:bCs/>
              </w:rPr>
              <w:t xml:space="preserve">Total Buyer Equity</w:t>
            </w:r>
          </w:p>
        </w:tc>
        <w:tc>
          <w:tcPr/>
          <w:p>
            <w:pPr>
              <w:pStyle w:val="Compact"/>
              <w:jc w:val="right"/>
            </w:pPr>
            <w:r>
              <w:rPr>
                <w:b/>
                <w:bCs/>
              </w:rPr>
              <w:t xml:space="preserve">$1,278,564.52</w:t>
            </w:r>
          </w:p>
        </w:tc>
      </w:tr>
      <w:tr>
        <w:tc>
          <w:tcPr/>
          <w:p>
            <w:pPr>
              <w:pStyle w:val="Compact"/>
              <w:jc w:val="left"/>
            </w:pPr>
            <w:r>
              <w:t xml:space="preserve">Lender minimum equity requirement ($3,900,000 − $2,640,000)</w:t>
            </w:r>
          </w:p>
        </w:tc>
        <w:tc>
          <w:tcPr/>
          <w:p>
            <w:pPr>
              <w:pStyle w:val="Compact"/>
              <w:jc w:val="right"/>
            </w:pPr>
            <w:r>
              <w:t xml:space="preserve">$1,260,000.00</w:t>
            </w:r>
          </w:p>
        </w:tc>
      </w:tr>
      <w:tr>
        <w:tc>
          <w:tcPr/>
          <w:p>
            <w:pPr>
              <w:pStyle w:val="Compact"/>
              <w:jc w:val="left"/>
            </w:pPr>
            <w:r>
              <w:rPr>
                <w:b/>
                <w:bCs/>
              </w:rPr>
              <w:t xml:space="preserve">Equity surplus</w:t>
            </w:r>
          </w:p>
        </w:tc>
        <w:tc>
          <w:tcPr/>
          <w:p>
            <w:pPr>
              <w:pStyle w:val="Compact"/>
              <w:jc w:val="right"/>
            </w:pPr>
            <w:r>
              <w:rPr>
                <w:b/>
                <w:bCs/>
              </w:rPr>
              <w:t xml:space="preserve">$18,564.52</w:t>
            </w:r>
          </w:p>
        </w:tc>
      </w:tr>
    </w:tbl>
    <w:p>
      <w:r>
        <w:pict>
          <v:rect style="width:0;height:1.5pt" o:hralign="center" o:hrstd="t" o:hr="t"/>
        </w:pict>
      </w:r>
    </w:p>
    <w:bookmarkEnd w:id="45"/>
    <w:bookmarkEnd w:id="46"/>
    <w:bookmarkStart w:id="47" w:name="X4d5201e03facfe09236a3838159558b7cca4b9a"/>
    <w:p>
      <w:pPr>
        <w:pStyle w:val="Heading2"/>
      </w:pPr>
      <w:r>
        <w:t xml:space="preserve">DISBURSEMENT SUMMARY (WIRES TO BE SENT AT CLOSING)</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Payee</w:t>
            </w:r>
          </w:p>
        </w:tc>
        <w:tc>
          <w:tcPr/>
          <w:p>
            <w:pPr>
              <w:pStyle w:val="Compact"/>
              <w:jc w:val="left"/>
            </w:pPr>
            <w:r>
              <w:t xml:space="preserve">Purpose</w:t>
            </w:r>
          </w:p>
        </w:tc>
        <w:tc>
          <w:tcPr/>
          <w:p>
            <w:pPr>
              <w:pStyle w:val="Compact"/>
              <w:jc w:val="right"/>
            </w:pPr>
            <w:r>
              <w:t xml:space="preserve">Amount</w:t>
            </w:r>
          </w:p>
        </w:tc>
      </w:tr>
      <w:tr>
        <w:tc>
          <w:tcPr/>
          <w:p>
            <w:pPr>
              <w:pStyle w:val="Compact"/>
              <w:jc w:val="left"/>
            </w:pPr>
            <w:r>
              <w:t xml:space="preserve">Estate of Gerald T. Whitford (Claudia Whitford-Barnes, Executrix)</w:t>
            </w:r>
          </w:p>
        </w:tc>
        <w:tc>
          <w:tcPr/>
          <w:p>
            <w:pPr>
              <w:pStyle w:val="Compact"/>
              <w:jc w:val="left"/>
            </w:pPr>
            <w:r>
              <w:t xml:space="preserve">Net proceeds</w:t>
            </w:r>
          </w:p>
        </w:tc>
        <w:tc>
          <w:tcPr/>
          <w:p>
            <w:pPr>
              <w:pStyle w:val="Compact"/>
              <w:jc w:val="right"/>
            </w:pPr>
            <w:r>
              <w:t xml:space="preserve">$2,864,663.83</w:t>
            </w:r>
          </w:p>
        </w:tc>
      </w:tr>
      <w:tr>
        <w:tc>
          <w:tcPr/>
          <w:p>
            <w:pPr>
              <w:pStyle w:val="Compact"/>
              <w:jc w:val="left"/>
            </w:pPr>
            <w:r>
              <w:t xml:space="preserve">Harborstone Federal Credit Union</w:t>
            </w:r>
          </w:p>
        </w:tc>
        <w:tc>
          <w:tcPr/>
          <w:p>
            <w:pPr>
              <w:pStyle w:val="Compact"/>
              <w:jc w:val="left"/>
            </w:pPr>
            <w:r>
              <w:t xml:space="preserve">1st Mortgage payoff (Loan No. 2015-MTG-008174)</w:t>
            </w:r>
          </w:p>
        </w:tc>
        <w:tc>
          <w:tcPr/>
          <w:p>
            <w:pPr>
              <w:pStyle w:val="Compact"/>
              <w:jc w:val="right"/>
            </w:pPr>
            <w:r>
              <w:t xml:space="preserve">$687,412.33</w:t>
            </w:r>
          </w:p>
        </w:tc>
      </w:tr>
      <w:tr>
        <w:tc>
          <w:tcPr/>
          <w:p>
            <w:pPr>
              <w:pStyle w:val="Compact"/>
              <w:jc w:val="left"/>
            </w:pPr>
            <w:r>
              <w:t xml:space="preserve">Harborstone Federal Credit Union</w:t>
            </w:r>
          </w:p>
        </w:tc>
        <w:tc>
          <w:tcPr/>
          <w:p>
            <w:pPr>
              <w:pStyle w:val="Compact"/>
              <w:jc w:val="left"/>
            </w:pPr>
            <w:r>
              <w:t xml:space="preserve">HELOC payoff (Loan No. 2018-HEL-003291)</w:t>
            </w:r>
          </w:p>
        </w:tc>
        <w:tc>
          <w:tcPr/>
          <w:p>
            <w:pPr>
              <w:pStyle w:val="Compact"/>
              <w:jc w:val="right"/>
            </w:pPr>
            <w:r>
              <w:t xml:space="preserve">$148,219.56</w:t>
            </w:r>
          </w:p>
        </w:tc>
      </w:tr>
      <w:tr>
        <w:tc>
          <w:tcPr/>
          <w:p>
            <w:pPr>
              <w:pStyle w:val="Compact"/>
              <w:jc w:val="left"/>
            </w:pPr>
            <w:r>
              <w:t xml:space="preserve">Northbridge Construction Co.</w:t>
            </w:r>
          </w:p>
        </w:tc>
        <w:tc>
          <w:tcPr/>
          <w:p>
            <w:pPr>
              <w:pStyle w:val="Compact"/>
              <w:jc w:val="left"/>
            </w:pPr>
            <w:r>
              <w:t xml:space="preserve">Mechanic’s lien settlement</w:t>
            </w:r>
          </w:p>
        </w:tc>
        <w:tc>
          <w:tcPr/>
          <w:p>
            <w:pPr>
              <w:pStyle w:val="Compact"/>
              <w:jc w:val="right"/>
            </w:pPr>
            <w:r>
              <w:t xml:space="preserve">$31,000.00</w:t>
            </w:r>
          </w:p>
        </w:tc>
      </w:tr>
      <w:tr>
        <w:tc>
          <w:tcPr/>
          <w:p>
            <w:pPr>
              <w:pStyle w:val="Compact"/>
              <w:jc w:val="left"/>
            </w:pPr>
            <w:r>
              <w:t xml:space="preserve">City of Bridgeport — Tax Collector</w:t>
            </w:r>
          </w:p>
        </w:tc>
        <w:tc>
          <w:tcPr/>
          <w:p>
            <w:pPr>
              <w:pStyle w:val="Compact"/>
              <w:jc w:val="left"/>
            </w:pPr>
            <w:r>
              <w:t xml:space="preserve">Delinquent property tax + interest</w:t>
            </w:r>
          </w:p>
        </w:tc>
        <w:tc>
          <w:tcPr/>
          <w:p>
            <w:pPr>
              <w:pStyle w:val="Compact"/>
              <w:jc w:val="right"/>
            </w:pPr>
            <w:r>
              <w:t xml:space="preserve">$28,602.80</w:t>
            </w:r>
          </w:p>
        </w:tc>
      </w:tr>
      <w:tr>
        <w:tc>
          <w:tcPr/>
          <w:p>
            <w:pPr>
              <w:pStyle w:val="Compact"/>
              <w:jc w:val="left"/>
            </w:pPr>
            <w:r>
              <w:t xml:space="preserve">Pinnacle Abstract &amp; Title LLC (Repair Escrow Account)</w:t>
            </w:r>
          </w:p>
        </w:tc>
        <w:tc>
          <w:tcPr/>
          <w:p>
            <w:pPr>
              <w:pStyle w:val="Compact"/>
              <w:jc w:val="left"/>
            </w:pPr>
            <w:r>
              <w:t xml:space="preserve">Roof repair holdback (segregated)</w:t>
            </w:r>
          </w:p>
        </w:tc>
        <w:tc>
          <w:tcPr/>
          <w:p>
            <w:pPr>
              <w:pStyle w:val="Compact"/>
              <w:jc w:val="right"/>
            </w:pPr>
            <w:r>
              <w:t xml:space="preserve">$45,000.00</w:t>
            </w:r>
          </w:p>
        </w:tc>
      </w:tr>
      <w:tr>
        <w:tc>
          <w:tcPr/>
          <w:p>
            <w:pPr>
              <w:pStyle w:val="Compact"/>
              <w:jc w:val="left"/>
            </w:pPr>
            <w:r>
              <w:t xml:space="preserve">Pinnacle Abstract &amp; Title LLC</w:t>
            </w:r>
          </w:p>
        </w:tc>
        <w:tc>
          <w:tcPr/>
          <w:p>
            <w:pPr>
              <w:pStyle w:val="Compact"/>
              <w:jc w:val="left"/>
            </w:pPr>
            <w:r>
              <w:t xml:space="preserve">Title charges, recording, conveyance tax, search fees</w:t>
            </w:r>
          </w:p>
        </w:tc>
        <w:tc>
          <w:tcPr/>
          <w:p>
            <w:pPr>
              <w:pStyle w:val="Compact"/>
              <w:jc w:val="right"/>
            </w:pPr>
            <w:r>
              <w:t xml:space="preserve">(per settlement charges)</w:t>
            </w:r>
          </w:p>
        </w:tc>
      </w:tr>
      <w:tr>
        <w:tc>
          <w:tcPr/>
          <w:p>
            <w:pPr>
              <w:pStyle w:val="Compact"/>
              <w:jc w:val="left"/>
            </w:pPr>
            <w:r>
              <w:t xml:space="preserve">Tidewater Savings Bank</w:t>
            </w:r>
          </w:p>
        </w:tc>
        <w:tc>
          <w:tcPr/>
          <w:p>
            <w:pPr>
              <w:pStyle w:val="Compact"/>
              <w:jc w:val="left"/>
            </w:pPr>
            <w:r>
              <w:t xml:space="preserve">Loan origination fee, tax service fee</w:t>
            </w:r>
          </w:p>
        </w:tc>
        <w:tc>
          <w:tcPr/>
          <w:p>
            <w:pPr>
              <w:pStyle w:val="Compact"/>
              <w:jc w:val="right"/>
            </w:pPr>
            <w:r>
              <w:t xml:space="preserve">$26,485.00</w:t>
            </w:r>
          </w:p>
        </w:tc>
      </w:tr>
      <w:tr>
        <w:tc>
          <w:tcPr/>
          <w:p>
            <w:pPr>
              <w:pStyle w:val="Compact"/>
              <w:jc w:val="left"/>
            </w:pPr>
            <w:r>
              <w:t xml:space="preserve">CoreLogic Flood Services</w:t>
            </w:r>
          </w:p>
        </w:tc>
        <w:tc>
          <w:tcPr/>
          <w:p>
            <w:pPr>
              <w:pStyle w:val="Compact"/>
              <w:jc w:val="left"/>
            </w:pPr>
            <w:r>
              <w:t xml:space="preserve">Flood certification</w:t>
            </w:r>
          </w:p>
        </w:tc>
        <w:tc>
          <w:tcPr/>
          <w:p>
            <w:pPr>
              <w:pStyle w:val="Compact"/>
              <w:jc w:val="right"/>
            </w:pPr>
            <w:r>
              <w:t xml:space="preserve">$25.00</w:t>
            </w:r>
          </w:p>
        </w:tc>
      </w:tr>
      <w:tr>
        <w:tc>
          <w:tcPr/>
          <w:p>
            <w:pPr>
              <w:pStyle w:val="Compact"/>
              <w:jc w:val="left"/>
            </w:pPr>
            <w:r>
              <w:t xml:space="preserve">Ridgeline Law Group PLLC</w:t>
            </w:r>
          </w:p>
        </w:tc>
        <w:tc>
          <w:tcPr/>
          <w:p>
            <w:pPr>
              <w:pStyle w:val="Compact"/>
              <w:jc w:val="left"/>
            </w:pPr>
            <w:r>
              <w:t xml:space="preserve">Buyer’s attorney fees</w:t>
            </w:r>
          </w:p>
        </w:tc>
        <w:tc>
          <w:tcPr/>
          <w:p>
            <w:pPr>
              <w:pStyle w:val="Compact"/>
              <w:jc w:val="right"/>
            </w:pPr>
            <w:r>
              <w:t xml:space="preserve">$12,500.00</w:t>
            </w:r>
          </w:p>
        </w:tc>
      </w:tr>
      <w:tr>
        <w:tc>
          <w:tcPr/>
          <w:p>
            <w:pPr>
              <w:pStyle w:val="Compact"/>
              <w:jc w:val="left"/>
            </w:pPr>
            <w:r>
              <w:t xml:space="preserve">Ashford, Clement &amp; Paige LLP</w:t>
            </w:r>
          </w:p>
        </w:tc>
        <w:tc>
          <w:tcPr/>
          <w:p>
            <w:pPr>
              <w:pStyle w:val="Compact"/>
              <w:jc w:val="left"/>
            </w:pPr>
            <w:r>
              <w:t xml:space="preserve">Seller’s attorney fees</w:t>
            </w:r>
          </w:p>
        </w:tc>
        <w:tc>
          <w:tcPr/>
          <w:p>
            <w:pPr>
              <w:pStyle w:val="Compact"/>
              <w:jc w:val="right"/>
            </w:pPr>
            <w:r>
              <w:t xml:space="preserve">$11,000.00</w:t>
            </w:r>
          </w:p>
        </w:tc>
      </w:tr>
      <w:tr>
        <w:tc>
          <w:tcPr/>
          <w:p>
            <w:pPr>
              <w:pStyle w:val="Compact"/>
              <w:jc w:val="left"/>
            </w:pPr>
            <w:r>
              <w:t xml:space="preserve">Bayshore Management Co.</w:t>
            </w:r>
          </w:p>
        </w:tc>
        <w:tc>
          <w:tcPr/>
          <w:p>
            <w:pPr>
              <w:pStyle w:val="Compact"/>
              <w:jc w:val="left"/>
            </w:pPr>
            <w:r>
              <w:t xml:space="preserve">Management agreement termination fee</w:t>
            </w:r>
          </w:p>
        </w:tc>
        <w:tc>
          <w:tcPr/>
          <w:p>
            <w:pPr>
              <w:pStyle w:val="Compact"/>
              <w:jc w:val="right"/>
            </w:pPr>
            <w:r>
              <w:t xml:space="preserve">$4,500.00</w:t>
            </w:r>
          </w:p>
        </w:tc>
      </w:tr>
      <w:tr>
        <w:tc>
          <w:tcPr/>
          <w:p>
            <w:pPr>
              <w:pStyle w:val="Compact"/>
              <w:jc w:val="left"/>
            </w:pPr>
            <w:r>
              <w:t xml:space="preserve">Fairfield County Probate Court</w:t>
            </w:r>
          </w:p>
        </w:tc>
        <w:tc>
          <w:tcPr/>
          <w:p>
            <w:pPr>
              <w:pStyle w:val="Compact"/>
              <w:jc w:val="left"/>
            </w:pPr>
            <w:r>
              <w:t xml:space="preserve">Probate Court Certificate</w:t>
            </w:r>
          </w:p>
        </w:tc>
        <w:tc>
          <w:tcPr/>
          <w:p>
            <w:pPr>
              <w:pStyle w:val="Compact"/>
              <w:jc w:val="right"/>
            </w:pPr>
            <w:r>
              <w:t xml:space="preserve">$150.00</w:t>
            </w:r>
          </w:p>
        </w:tc>
      </w:tr>
    </w:tbl>
    <w:p>
      <w:pPr>
        <w:pStyle w:val="BlockText"/>
      </w:pPr>
      <w:r>
        <w:rPr>
          <w:b/>
          <w:bCs/>
        </w:rPr>
        <w:t xml:space="preserve">Lien Payoff Good-Through Dates:</w:t>
      </w:r>
      <w:r>
        <w:t xml:space="preserve"> </w:t>
      </w:r>
      <w:r>
        <w:t xml:space="preserve">Harborstone 1st Mortgage and HELOC payoffs are good through July 20, 2025. The closing date (July 15, 2025) falls within the good-through period, so no per diem interest adjustment is required. The municipal tax payoff is also valid through July 20, 2025. If closing is delayed beyond July 20, 2025, updated payoff statements must be obtained and per diem interest added (1st Mortgage: $112.67/day; HELOC: ~$27.93/day; delinquent tax: $13.12/day).</w:t>
      </w:r>
    </w:p>
    <w:p>
      <w:r>
        <w:pict>
          <v:rect style="width:0;height:1.5pt" o:hralign="center" o:hrstd="t" o:hr="t"/>
        </w:pict>
      </w:r>
    </w:p>
    <w:bookmarkEnd w:id="47"/>
    <w:bookmarkStart w:id="48" w:name="notes"/>
    <w:p>
      <w:pPr>
        <w:pStyle w:val="Heading2"/>
      </w:pPr>
      <w:r>
        <w:t xml:space="preserve">NOTES</w:t>
      </w:r>
    </w:p>
    <w:p>
      <w:pPr>
        <w:numPr>
          <w:ilvl w:val="0"/>
          <w:numId w:val="1001"/>
        </w:numPr>
      </w:pPr>
      <w:r>
        <w:rPr>
          <w:b/>
          <w:bCs/>
        </w:rPr>
        <w:t xml:space="preserve">Repair Escrow (Line 516):</w:t>
      </w:r>
      <w:r>
        <w:t xml:space="preserve"> </w:t>
      </w:r>
      <w:r>
        <w:t xml:space="preserve">The $45,000.00 Repair Escrow is funded solely from Seller’s proceeds and held by Pinnacle Abstract &amp; Title LLC in a segregated, interest-bearing account pursuant to a separate Repair Escrow Agreement. It is</w:t>
      </w:r>
      <w:r>
        <w:t xml:space="preserve"> </w:t>
      </w:r>
      <w:r>
        <w:rPr>
          <w:b/>
          <w:bCs/>
        </w:rPr>
        <w:t xml:space="preserve">not</w:t>
      </w:r>
      <w:r>
        <w:t xml:space="preserve"> </w:t>
      </w:r>
      <w:r>
        <w:t xml:space="preserve">a credit to Buyer and is not counted as part of the Purchase Price. Buyer has 12 months from closing to complete roof repairs and submit paid invoices for reimbursement; any unused balance plus accrued interest returns to Seller. (PSA Sec. 8.4.)</w:t>
      </w:r>
    </w:p>
    <w:p>
      <w:pPr>
        <w:numPr>
          <w:ilvl w:val="0"/>
          <w:numId w:val="1001"/>
        </w:numPr>
      </w:pPr>
      <w:r>
        <w:rPr>
          <w:b/>
          <w:bCs/>
        </w:rPr>
        <w:t xml:space="preserve">CT DRS Estate Tax Lien:</w:t>
      </w:r>
      <w:r>
        <w:t xml:space="preserve"> </w:t>
      </w:r>
      <w:r>
        <w:t xml:space="preserve">No monetary payoff is required ($0.00). The estate is below the Connecticut estate tax threshold. A release (CT DRS Release Certificate No. ETL-2025-08834) has been obtained and will be recorded at Seller’s expense (recording fee included in Line 511).</w:t>
      </w:r>
    </w:p>
    <w:p>
      <w:pPr>
        <w:numPr>
          <w:ilvl w:val="0"/>
          <w:numId w:val="1001"/>
        </w:numPr>
      </w:pPr>
      <w:r>
        <w:rPr>
          <w:b/>
          <w:bCs/>
        </w:rPr>
        <w:t xml:space="preserve">Conveyance Tax (Lines 512 / 900):</w:t>
      </w:r>
      <w:r>
        <w:t xml:space="preserve"> </w:t>
      </w:r>
      <w:r>
        <w:t xml:space="preserve">The $44,750.00 total ($22,375.00 per party) is an estimate per the title commitment, calculated using the tiered rate structure applicable to the City of Bridgeport. The actual amount will be confirmed upon preparation and filing of Form OP-236. The 50/50 split between Seller and Buyer applies regardless.</w:t>
      </w:r>
    </w:p>
    <w:p>
      <w:pPr>
        <w:numPr>
          <w:ilvl w:val="0"/>
          <w:numId w:val="1001"/>
        </w:numPr>
      </w:pPr>
      <w:r>
        <w:rPr>
          <w:b/>
          <w:bCs/>
        </w:rPr>
        <w:t xml:space="preserve">Proration Survival:</w:t>
      </w:r>
      <w:r>
        <w:t xml:space="preserve"> </w:t>
      </w:r>
      <w:r>
        <w:t xml:space="preserve">All proration and adjustment obligations survive closing for 90 days for purposes of reproration and final settlement per Section 7.7 of the PSA. Estimated items (FY 2025–2026 taxes, utility charges if final readings are unavailable) shall be readjusted when final figures become available.</w:t>
      </w:r>
    </w:p>
    <w:p>
      <w:pPr>
        <w:numPr>
          <w:ilvl w:val="0"/>
          <w:numId w:val="1001"/>
        </w:numPr>
      </w:pPr>
      <w:r>
        <w:rPr>
          <w:b/>
          <w:bCs/>
        </w:rPr>
        <w:t xml:space="preserve">Items marked</w:t>
      </w:r>
      <w:r>
        <w:rPr>
          <w:b/>
          <w:bCs/>
        </w:rPr>
        <w:t xml:space="preserve"> </w:t>
      </w:r>
      <w:r>
        <w:rPr>
          <w:b/>
          <w:bCs/>
        </w:rPr>
        <w:t xml:space="preserve">“</w:t>
      </w:r>
      <w:r>
        <w:rPr>
          <w:b/>
          <w:bCs/>
        </w:rPr>
        <w:t xml:space="preserve">to be confirmed</w:t>
      </w:r>
      <w:r>
        <w:rPr>
          <w:b/>
          <w:bCs/>
        </w:rPr>
        <w:t xml:space="preserve">”</w:t>
      </w:r>
      <w:r>
        <w:rPr>
          <w:b/>
          <w:bCs/>
        </w:rPr>
        <w:t xml:space="preserve"> </w:t>
      </w:r>
      <w:r>
        <w:rPr>
          <w:b/>
          <w:bCs/>
        </w:rPr>
        <w:t xml:space="preserve">(Lines 200a, 203a, 507a):</w:t>
      </w:r>
      <w:r>
        <w:t xml:space="preserve"> </w:t>
      </w:r>
      <w:r>
        <w:t xml:space="preserve">Accrued interest on earnest money and on residential security deposits is not quantified in the closing file. These amounts, when confirmed by the Escrow Agent and Property Manager respectively, shall be added as credits to Buyer and corresponding debits to Seller, reducing Buyer’s cash required at closing and Seller’s net proceeds by equal amounts. See accompanying Notes Memo for details.</w:t>
      </w:r>
    </w:p>
    <w:p>
      <w:pPr>
        <w:numPr>
          <w:ilvl w:val="0"/>
          <w:numId w:val="1001"/>
        </w:numPr>
      </w:pPr>
      <w:r>
        <w:rPr>
          <w:b/>
          <w:bCs/>
        </w:rPr>
        <w:t xml:space="preserve">FIRPTA / Withholding:</w:t>
      </w:r>
      <w:r>
        <w:t xml:space="preserve"> </w:t>
      </w:r>
      <w:r>
        <w:t xml:space="preserve">No withholding line item appears on the assumption that the Seller delivers the FIRPTA affidavit / estate equivalent certification required by PSA Section 6.2(i), certifying the sale is exempt from Section 1445 withholding. If that certification is not delivered, up to 15% of the amount realized (~$585,000) may be required to be withheld from Seller’s proceeds. See Notes Memo, Item C-15.</w:t>
      </w:r>
    </w:p>
    <w:p>
      <w:r>
        <w:pict>
          <v:rect style="width:0;height:1.5pt" o:hralign="center" o:hrstd="t" o:hr="t"/>
        </w:pict>
      </w:r>
    </w:p>
    <w:bookmarkEnd w:id="48"/>
    <w:bookmarkStart w:id="49" w:name="acknowledgment-and-signatures"/>
    <w:p>
      <w:pPr>
        <w:pStyle w:val="Heading2"/>
      </w:pPr>
      <w:r>
        <w:t xml:space="preserve">ACKNOWLEDGMENT AND SIGNATURES</w:t>
      </w:r>
    </w:p>
    <w:p>
      <w:pPr>
        <w:pStyle w:val="FirstParagraph"/>
      </w:pPr>
      <w:r>
        <w:t xml:space="preserve">The parties hereby acknowledge that the foregoing settlement statement accurately reflects the financial terms of the closing of the sale of 4280 Harborview Boulevard, Bridgeport, CT 06604, and agree to the debits, credits, prorations, and adjustments set forth herein.</w:t>
      </w:r>
    </w:p>
    <w:p>
      <w:pPr>
        <w:pStyle w:val="BodyText"/>
      </w:pPr>
      <w:r>
        <w:rPr>
          <w:b/>
          <w:bCs/>
        </w:rPr>
        <w:t xml:space="preserve">SELLER:</w:t>
      </w:r>
    </w:p>
    <w:p>
      <w:pPr>
        <w:pStyle w:val="BodyText"/>
      </w:pPr>
      <w:r>
        <w:t xml:space="preserve">ESTATE OF GERALD T. WHITFORD</w:t>
      </w:r>
    </w:p>
    <w:p>
      <w:pPr>
        <w:pStyle w:val="BodyText"/>
      </w:pPr>
      <w:r>
        <w:t xml:space="preserve">By: _______________________________</w:t>
      </w:r>
    </w:p>
    <w:p>
      <w:pPr>
        <w:pStyle w:val="BodyText"/>
      </w:pPr>
      <w:r>
        <w:t xml:space="preserve">Name: Claudia Whitford-Barnes</w:t>
      </w:r>
    </w:p>
    <w:p>
      <w:pPr>
        <w:pStyle w:val="BodyText"/>
      </w:pPr>
      <w:r>
        <w:t xml:space="preserve">Title: Executrix</w:t>
      </w:r>
    </w:p>
    <w:p>
      <w:pPr>
        <w:pStyle w:val="BodyText"/>
      </w:pPr>
      <w:r>
        <w:t xml:space="preserve">Date: July 15, 2025</w:t>
      </w:r>
    </w:p>
    <w:p>
      <w:pPr>
        <w:pStyle w:val="BodyText"/>
      </w:pPr>
      <w:r>
        <w:rPr>
          <w:b/>
          <w:bCs/>
        </w:rPr>
        <w:t xml:space="preserve">BUYER:</w:t>
      </w:r>
    </w:p>
    <w:p>
      <w:pPr>
        <w:pStyle w:val="BodyText"/>
      </w:pPr>
      <w:r>
        <w:t xml:space="preserve">MERIDIAN COVE PROPERTIES LLC</w:t>
      </w:r>
    </w:p>
    <w:p>
      <w:pPr>
        <w:pStyle w:val="BodyText"/>
      </w:pPr>
      <w:r>
        <w:t xml:space="preserve">By: _______________________________</w:t>
      </w:r>
    </w:p>
    <w:p>
      <w:pPr>
        <w:pStyle w:val="BodyText"/>
      </w:pPr>
      <w:r>
        <w:t xml:space="preserve">Name: Elaine R. Matsuda</w:t>
      </w:r>
    </w:p>
    <w:p>
      <w:pPr>
        <w:pStyle w:val="BodyText"/>
      </w:pPr>
      <w:r>
        <w:t xml:space="preserve">Title: Manager</w:t>
      </w:r>
    </w:p>
    <w:p>
      <w:pPr>
        <w:pStyle w:val="BodyText"/>
      </w:pPr>
      <w:r>
        <w:t xml:space="preserve">Date: July 15, 2025</w:t>
      </w:r>
    </w:p>
    <w:p>
      <w:pPr>
        <w:pStyle w:val="BodyText"/>
      </w:pPr>
      <w:r>
        <w:rPr>
          <w:b/>
          <w:bCs/>
        </w:rPr>
        <w:t xml:space="preserve">CLOSING AGENT:</w:t>
      </w:r>
    </w:p>
    <w:p>
      <w:pPr>
        <w:pStyle w:val="BodyText"/>
      </w:pPr>
      <w:r>
        <w:t xml:space="preserve">PINNACLE ABSTRACT &amp; TITLE LLC</w:t>
      </w:r>
    </w:p>
    <w:p>
      <w:pPr>
        <w:pStyle w:val="BodyText"/>
      </w:pPr>
      <w:r>
        <w:t xml:space="preserve">By: _______________________________</w:t>
      </w:r>
    </w:p>
    <w:p>
      <w:pPr>
        <w:pStyle w:val="BodyText"/>
      </w:pPr>
      <w:r>
        <w:t xml:space="preserve">Name: Lorraine M. Grasso</w:t>
      </w:r>
    </w:p>
    <w:p>
      <w:pPr>
        <w:pStyle w:val="BodyText"/>
      </w:pPr>
      <w:r>
        <w:t xml:space="preserve">Title: Closing Officer</w:t>
      </w:r>
    </w:p>
    <w:p>
      <w:pPr>
        <w:pStyle w:val="BodyText"/>
      </w:pPr>
      <w:r>
        <w:t xml:space="preserve">Date: July 15, 2025</w:t>
      </w:r>
    </w:p>
    <w:p>
      <w:r>
        <w:pict>
          <v:rect style="width:0;height:1.5pt" o:hralign="center" o:hrstd="t" o:hr="t"/>
        </w:pict>
      </w:r>
    </w:p>
    <w:p>
      <w:pPr>
        <w:pStyle w:val="FirstParagraph"/>
      </w:pPr>
      <w:r>
        <w:rPr>
          <w:i/>
          <w:iCs/>
        </w:rPr>
        <w:t xml:space="preserve">This settlement statement is prepared by Pinnacle Abstract &amp; Title LLC, Closing Agent, in connection with the closing of the above-referenced transaction. All figures are based on the closing documents delivered to the Closing Agent, including the Purchase &amp; Sale Agreement dated April 22, 2025; the title commitment; lien payoff letters; the municipal tax status certificate; the utility account statement; the pre-closing inspection report; the rent roll and security deposit schedule; the lender commitment letter; the management agreement and termination notice; and the probate fiduciary certificate. Prorations are calculated as of 12:01 a.m. Eastern Time on July 15, 2025, with the Closing Date allocated to Buyer, on a 365-day year basis unless otherwise specified. This statement is subject to adjustment for any items marked</w:t>
      </w:r>
      <w:r>
        <w:rPr>
          <w:i/>
          <w:iCs/>
        </w:rPr>
        <w:t xml:space="preserve"> </w:t>
      </w:r>
      <w:r>
        <w:rPr>
          <w:i/>
          <w:iCs/>
        </w:rPr>
        <w:t xml:space="preserve">“</w:t>
      </w:r>
      <w:r>
        <w:rPr>
          <w:i/>
          <w:iCs/>
        </w:rPr>
        <w:t xml:space="preserve">to be confirmed</w:t>
      </w:r>
      <w:r>
        <w:rPr>
          <w:i/>
          <w:iCs/>
        </w:rPr>
        <w:t xml:space="preserve">”</w:t>
      </w:r>
      <w:r>
        <w:rPr>
          <w:i/>
          <w:iCs/>
        </w:rPr>
        <w:t xml:space="preserve"> </w:t>
      </w:r>
      <w:r>
        <w:rPr>
          <w:i/>
          <w:iCs/>
        </w:rPr>
        <w:t xml:space="preserve">and for reproration pursuant to Section 7.7 of the Purchase &amp; Sale Agreement.</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2026-06-27T01:14:23Z</dcterms:created>
  <dcterms:modified xsi:type="dcterms:W3CDTF">2026-06-27T01:14:23Z</dcterms:modified>
</cp:coreProperties>
</file>

<file path=docProps/custom.xml><?xml version="1.0" encoding="utf-8"?>
<Properties xmlns="http://schemas.openxmlformats.org/officeDocument/2006/custom-properties" xmlns:vt="http://schemas.openxmlformats.org/officeDocument/2006/docPropsVTypes"/>
</file>