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tax-issue-identification-report"/>
    <w:p>
      <w:pPr>
        <w:pStyle w:val="Heading1"/>
      </w:pPr>
      <w:r>
        <w:t xml:space="preserve">TAX ISSUE IDENTIFICATION REPORT</w:t>
      </w:r>
    </w:p>
    <w:bookmarkStart w:id="20" w:name="X92f8f8e27b8c675efe1db0aaf99a64e6a98955e"/>
    <w:p>
      <w:pPr>
        <w:pStyle w:val="Heading2"/>
      </w:pPr>
      <w:r>
        <w:t xml:space="preserve">Review of Tax Structure Memorandum — Acquisition of Prism Health Analytics, Inc.</w:t>
      </w:r>
    </w:p>
    <w:p>
      <w:pPr>
        <w:pStyle w:val="FirstParagraph"/>
      </w:pPr>
      <w:r>
        <w:rPr>
          <w:b/>
          <w:bCs/>
        </w:rPr>
        <w:t xml:space="preserve">Prepared by:</w:t>
      </w:r>
      <w:r>
        <w:t xml:space="preserve"> </w:t>
      </w:r>
      <w:r>
        <w:t xml:space="preserve">Tax Review Function</w:t>
      </w:r>
      <w:r>
        <w:t xml:space="preserve"> </w:t>
      </w:r>
      <w:r>
        <w:rPr>
          <w:b/>
          <w:bCs/>
        </w:rPr>
        <w:t xml:space="preserve">Date of Report:</w:t>
      </w:r>
      <w:r>
        <w:t xml:space="preserve"> </w:t>
      </w:r>
      <w:r>
        <w:t xml:space="preserve">February 12, 2025</w:t>
      </w:r>
      <w:r>
        <w:t xml:space="preserve"> </w:t>
      </w:r>
      <w:r>
        <w:rPr>
          <w:b/>
          <w:bCs/>
        </w:rPr>
        <w:t xml:space="preserve">Subject:</w:t>
      </w:r>
      <w:r>
        <w:t xml:space="preserve"> </w:t>
      </w:r>
      <w:r>
        <w:t xml:space="preserve">Independent review of the Tax Structure Memorandum dated February 10, 2025, prepared by Calloway, Stern &amp; Whitaker LLP (</w:t>
      </w:r>
      <w:r>
        <w:t xml:space="preserve">“</w:t>
      </w:r>
      <w:r>
        <w:t xml:space="preserve">CSW</w:t>
      </w:r>
      <w:r>
        <w:t xml:space="preserve">”</w:t>
      </w:r>
      <w:r>
        <w:t xml:space="preserve">) for Ridgeline Capital Partners Fund III, LP (</w:t>
      </w:r>
      <w:r>
        <w:t xml:space="preserve">“</w:t>
      </w:r>
      <w:r>
        <w:t xml:space="preserve">Fund III</w:t>
      </w:r>
      <w:r>
        <w:t xml:space="preserve">”</w:t>
      </w:r>
      <w:r>
        <w:t xml:space="preserve"> </w:t>
      </w:r>
      <w:r>
        <w:t xml:space="preserve">or</w:t>
      </w:r>
      <w:r>
        <w:t xml:space="preserve"> </w:t>
      </w:r>
      <w:r>
        <w:t xml:space="preserve">“</w:t>
      </w:r>
      <w:r>
        <w:t xml:space="preserve">Buyer</w:t>
      </w:r>
      <w:r>
        <w:t xml:space="preserve">”</w:t>
      </w:r>
      <w:r>
        <w:t xml:space="preserve">), against the supporting deal documents</w:t>
      </w:r>
      <w:r>
        <w:t xml:space="preserve"> </w:t>
      </w:r>
      <w:r>
        <w:rPr>
          <w:b/>
          <w:bCs/>
        </w:rPr>
        <w:t xml:space="preserve">Transaction:</w:t>
      </w:r>
      <w:r>
        <w:t xml:space="preserve"> </w:t>
      </w:r>
      <w:r>
        <w:t xml:space="preserve">Proposed acquisition of Prism Health Analytics, Inc. (</w:t>
      </w:r>
      <w:r>
        <w:t xml:space="preserve">“</w:t>
      </w:r>
      <w:r>
        <w:t xml:space="preserve">Prism</w:t>
      </w:r>
      <w:r>
        <w:t xml:space="preserve">”</w:t>
      </w:r>
      <w:r>
        <w:t xml:space="preserve"> </w:t>
      </w:r>
      <w:r>
        <w:t xml:space="preserve">or the</w:t>
      </w:r>
      <w:r>
        <w:t xml:space="preserve"> </w:t>
      </w:r>
      <w:r>
        <w:t xml:space="preserve">“</w:t>
      </w:r>
      <w:r>
        <w:t xml:space="preserve">Company</w:t>
      </w:r>
      <w:r>
        <w:t xml:space="preserve">”</w:t>
      </w:r>
      <w:r>
        <w:t xml:space="preserve">) via reverse triangular merger with joint Section 338(h)(10) election</w:t>
      </w:r>
    </w:p>
    <w:p>
      <w:pPr>
        <w:pStyle w:val="BodyText"/>
      </w:pPr>
      <w:r>
        <w:rPr>
          <w:b/>
          <w:bCs/>
        </w:rPr>
        <w:t xml:space="preserve">PRIVILEGED AND CONFIDENTIAL — ATTORNEY WORK PRODUCT / PREPARED IN ANTICIPATION OF COUNSEL’S REVIEW</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results of an independent review of the Tax Structure Memorandum (the</w:t>
      </w:r>
      <w:r>
        <w:t xml:space="preserve"> </w:t>
      </w:r>
      <w:r>
        <w:t xml:space="preserve">“</w:t>
      </w:r>
      <w:r>
        <w:t xml:space="preserve">Memo</w:t>
      </w:r>
      <w:r>
        <w:t xml:space="preserve">”</w:t>
      </w:r>
      <w:r>
        <w:t xml:space="preserve">) prepared by CSW dated February 10, 2025, against the supporting transaction and due diligence documents. The review identified</w:t>
      </w:r>
      <w:r>
        <w:t xml:space="preserve"> </w:t>
      </w:r>
      <w:r>
        <w:rPr>
          <w:b/>
          <w:bCs/>
        </w:rPr>
        <w:t xml:space="preserve">twenty-six (26) discrete issues</w:t>
      </w:r>
      <w:r>
        <w:t xml:space="preserve">, comprising inconsistencies between the Memo and the supporting documents, analytical errors, and material omissions. The issues are severity-ranked as</w:t>
      </w:r>
      <w:r>
        <w:t xml:space="preserve"> </w:t>
      </w:r>
      <w:r>
        <w:rPr>
          <w:b/>
          <w:bCs/>
        </w:rPr>
        <w:t xml:space="preserve">Critical (4), High (5), Moderate (11), and Low (6)</w:t>
      </w:r>
      <w:r>
        <w:t xml:space="preserve">.</w:t>
      </w:r>
    </w:p>
    <w:p>
      <w:pPr>
        <w:pStyle w:val="BodyText"/>
      </w:pPr>
      <w:r>
        <w:t xml:space="preserve">The review confirms that the broad transaction architecture — a reverse triangular merger structured as a qualified stock purchase with a joint Section 338(h)(10) election for an S corporation target whose Section 1374 built-in gains recognition period has expired — is conceptually sound. However, the Memo’s execution of that structure contains a fundamental computational error in its central calculation and fails to address several issues that the due diligence record identifies as threshold or material. The principal themes are summarized below.</w:t>
      </w:r>
    </w:p>
    <w:p>
      <w:pPr>
        <w:pStyle w:val="BodyText"/>
      </w:pPr>
      <w:r>
        <w:rPr>
          <w:b/>
          <w:bCs/>
        </w:rPr>
        <w:t xml:space="preserve">1. The Memo’s Aggregate Deemed Sale Price (ADSP) is overstated by approximately $48 million due to a double-count of the funded debt.</w:t>
      </w:r>
      <w:r>
        <w:t xml:space="preserve"> </w:t>
      </w:r>
      <w:r>
        <w:t xml:space="preserve">The Memo computes ADSP as enterprise value ($425M) plus funded debt ($48M) = $473M. Because enterprise value already embeds the funded debt (enterprise value = equity value + net debt), adding the debt a second time double-counts it. Under Treas. Reg. 1.338-4, ADSP equals the amount realized on the target stock ($370M, i.e., $333M cash + $37M rollover) plus the liabilities of old target ($48M funded debt, and arguably $7M seller transaction expenses) — i.e., approximately $418M–$425M. The Thornfield asset valuation summary expressly flags this as a</w:t>
      </w:r>
      <w:r>
        <w:t xml:space="preserve"> </w:t>
      </w:r>
      <w:r>
        <w:t xml:space="preserve">“</w:t>
      </w:r>
      <w:r>
        <w:t xml:space="preserve">SIGNIFICANT DISCREPANCY.</w:t>
      </w:r>
      <w:r>
        <w:t xml:space="preserve">”</w:t>
      </w:r>
      <w:r>
        <w:t xml:space="preserve"> </w:t>
      </w:r>
      <w:r>
        <w:t xml:space="preserve">The $48M overstatement cascades into the Class VII goodwill residual, the deemed sale gain, the Buyer’s amortization deductions, and the selling shareholders’ taxable gain.</w:t>
      </w:r>
    </w:p>
    <w:p>
      <w:pPr>
        <w:pStyle w:val="BodyText"/>
      </w:pPr>
      <w:r>
        <w:rPr>
          <w:b/>
          <w:bCs/>
        </w:rPr>
        <w:t xml:space="preserve">2. The Memo does not address a critical S corporation shareholder-eligibility problem that the due diligence team flagged as a threshold risk to the entire structure.</w:t>
      </w:r>
      <w:r>
        <w:t xml:space="preserve"> </w:t>
      </w:r>
      <w:r>
        <w:t xml:space="preserve">The Thornfield Tax Due Diligence Report identifies two restricted-stock holders whose S corporation eligibility could not be confirmed (an H-1B visa holder whose substantial-presence-test compliance is unverified, and a holder whose shares may have been transferred to an ineligible family LLC). The capitalization table independently identifies</w:t>
      </w:r>
      <w:r>
        <w:t xml:space="preserve"> </w:t>
      </w:r>
      <w:r>
        <w:rPr>
          <w:b/>
          <w:bCs/>
        </w:rPr>
        <w:t xml:space="preserve">three</w:t>
      </w:r>
      <w:r>
        <w:t xml:space="preserve"> </w:t>
      </w:r>
      <w:r>
        <w:t xml:space="preserve">holders with unverified eligibility. The Memo, by contrast, affirmatively states that</w:t>
      </w:r>
      <w:r>
        <w:t xml:space="preserve"> </w:t>
      </w:r>
      <w:r>
        <w:t xml:space="preserve">“</w:t>
      </w:r>
      <w:r>
        <w:t xml:space="preserve">all shareholders of Prism are U.S. individuals, and we are not aware of any ineligible shareholders.</w:t>
      </w:r>
      <w:r>
        <w:t xml:space="preserve">”</w:t>
      </w:r>
      <w:r>
        <w:t xml:space="preserve"> </w:t>
      </w:r>
      <w:r>
        <w:t xml:space="preserve">If the S election was inadvertently terminated in any prior year, the Section 338(h)(10) election is unavailable and Prism would be treated as a C corporation for all open years — a cascading federal and state tax consequence. This is the single most important structural risk in the transaction and is not mentioned in the Memo.</w:t>
      </w:r>
    </w:p>
    <w:p>
      <w:pPr>
        <w:pStyle w:val="BodyText"/>
      </w:pPr>
      <w:r>
        <w:rPr>
          <w:b/>
          <w:bCs/>
        </w:rPr>
        <w:t xml:space="preserve">3. The Memo entirely omits the Section 1202 (QSBS) analysis that CSW expressly committed to deliver to the selling shareholders.</w:t>
      </w:r>
      <w:r>
        <w:t xml:space="preserve"> </w:t>
      </w:r>
      <w:r>
        <w:t xml:space="preserve">The Linden Rock Advisory email thread shows a formal request in November 2024, an express commitment by CSW to include a QSBS section in the Memo, and a January 6, 2025 follow-up noting that no analysis had been received. The Memo is dated February 10, 2025 — after that follow-up — and contains no QSBS analysis. The issue is material: the Section 338(h)(10) deemed-asset-sale recharacterization is in tension with the Section 1202</w:t>
      </w:r>
      <w:r>
        <w:t xml:space="preserve"> </w:t>
      </w:r>
      <w:r>
        <w:t xml:space="preserve">“</w:t>
      </w:r>
      <w:r>
        <w:t xml:space="preserve">sale or exchange of qualified small business stock</w:t>
      </w:r>
      <w:r>
        <w:t xml:space="preserve">”</w:t>
      </w:r>
      <w:r>
        <w:t xml:space="preserve"> </w:t>
      </w:r>
      <w:r>
        <w:t xml:space="preserve">requirement, and the exclusion (up to 100% federally) is potentially worth seven-figure after-tax amounts to multiple shareholders who acquired stock during Prism’s 2016 C corporation period.</w:t>
      </w:r>
    </w:p>
    <w:p>
      <w:pPr>
        <w:pStyle w:val="BodyText"/>
      </w:pPr>
      <w:r>
        <w:rPr>
          <w:b/>
          <w:bCs/>
        </w:rPr>
        <w:t xml:space="preserve">4. The Memo’s aggregate adjusted tax basis figure is inconsistent with the supporting asset valuation by $21.5 million.</w:t>
      </w:r>
      <w:r>
        <w:t xml:space="preserve"> </w:t>
      </w:r>
      <w:r>
        <w:t xml:space="preserve">The Memo uses $42.8M as Prism’s aggregate adjusted asset basis; the Thornfield asset valuation summary reflects $64.3M. Combined with the ADSP overstatement, the Memo’s deemed sale gain of $430.2M may be overstated by as much as ~$69.5M, which flows directly to the shareholders’ K-1 gain and tax liability.</w:t>
      </w:r>
    </w:p>
    <w:p>
      <w:pPr>
        <w:pStyle w:val="BodyText"/>
      </w:pPr>
      <w:r>
        <w:rPr>
          <w:b/>
          <w:bCs/>
        </w:rPr>
        <w:t xml:space="preserve">5. Several material tax risks identified in due diligence are omitted or inadequately addressed.</w:t>
      </w:r>
      <w:r>
        <w:t xml:space="preserve"> </w:t>
      </w:r>
      <w:r>
        <w:t xml:space="preserve">These include (i) the non-transferable North Carolina data processing license that underpins ~$19M of annual government-sector revenue; (ii) the Beacon Insights partnership interest — including the absent Section 754 election, unanalyzed Section 751</w:t>
      </w:r>
      <w:r>
        <w:t xml:space="preserve"> </w:t>
      </w:r>
      <w:r>
        <w:t xml:space="preserve">“</w:t>
      </w:r>
      <w:r>
        <w:t xml:space="preserve">hot assets,</w:t>
      </w:r>
      <w:r>
        <w:t xml:space="preserve">”</w:t>
      </w:r>
      <w:r>
        <w:t xml:space="preserve"> </w:t>
      </w:r>
      <w:r>
        <w:t xml:space="preserve">and the change-of-control triggers (right of first refusal and automatic IP-license termination) that are express closing conditions in the purchase agreement; (iii) ~$6.3M of cumulative Section 482 transfer-pricing exposure on below-arm’s-length intercompany fees; and (iv) $3.8M of suspended C-corporation R&amp;D credits at risk of permanent expiration.</w:t>
      </w:r>
    </w:p>
    <w:p>
      <w:pPr>
        <w:pStyle w:val="BodyText"/>
      </w:pPr>
      <w:r>
        <w:rPr>
          <w:b/>
          <w:bCs/>
        </w:rPr>
        <w:t xml:space="preserve">6. The Memo’s escrow/installment-sale analysis conflicts with the purchase agreement and is questionable under Section 338(h)(10) mechanics.</w:t>
      </w:r>
      <w:r>
        <w:t xml:space="preserve"> </w:t>
      </w:r>
      <w:r>
        <w:t xml:space="preserve">The Memo suggests shareholders may defer escrow gain under Section 453; the purchase agreement (Section 7.4) expressly provides that the escrow be reported as amount realized in the year of closing. The entity-level deemed sale under Section 338(h)(10) generally causes the full gain (including the escrow portion) to be recognized at the acquisition date, undermining the Memo’s deferral suggestion.</w:t>
      </w:r>
    </w:p>
    <w:p>
      <w:pPr>
        <w:pStyle w:val="BodyText"/>
      </w:pPr>
      <w:r>
        <w:rPr>
          <w:b/>
          <w:bCs/>
        </w:rPr>
        <w:t xml:space="preserve">7. Numerous cross-document inconsistencies require reconciliation</w:t>
      </w:r>
      <w:r>
        <w:t xml:space="preserve">, including the count and state residency of the minority shareholders (Memo: 14 holders, 11 NC / 2 CA / 1 NY; cap table: 16 unique holders, 14 NC / 2 CA / 1 NY), the use of basic versus fully diluted ownership for gain and consideration allocation, an uncorroborated EBITDA figure driving the Section 163(j) analysis, an arithmetical error in the Buyer’s equity-contribution computation, and an incorrect cross-reference to the purchase agreement section governing the 338(h)(10) consent.</w:t>
      </w:r>
    </w:p>
    <w:p>
      <w:pPr>
        <w:pStyle w:val="BodyText"/>
      </w:pPr>
      <w:r>
        <w:t xml:space="preserve">The detailed findings, supporting document citations, and recommended actions follow. A consolidated findings table appears in Section IV.</w:t>
      </w:r>
    </w:p>
    <w:p>
      <w:r>
        <w:pict>
          <v:rect style="width:0;height:1.5pt" o:hralign="center" o:hrstd="t" o:hr="t"/>
        </w:pict>
      </w:r>
    </w:p>
    <w:bookmarkEnd w:id="21"/>
    <w:bookmarkStart w:id="25" w:name="X13efbe583b6954348dd921f80c25b6b06d7245f"/>
    <w:p>
      <w:pPr>
        <w:pStyle w:val="Heading2"/>
      </w:pPr>
      <w:r>
        <w:t xml:space="preserve">II. Scope, Documents Reviewed, and Methodology</w:t>
      </w:r>
    </w:p>
    <w:bookmarkStart w:id="22" w:name="a.-documents-reviewed"/>
    <w:p>
      <w:pPr>
        <w:pStyle w:val="Heading3"/>
      </w:pPr>
      <w:r>
        <w:t xml:space="preserve">A. Documents Reviewed</w:t>
      </w:r>
    </w:p>
    <w:tbl>
      <w:tblPr>
        <w:tblStyle w:val="Table"/>
        <w:tblW w:type="pct" w:w="5000"/>
        <w:jc w:val="left"/>
        <w:tblLayout w:type="fixed"/>
        <w:tblLook w:firstRow="1" w:lastRow="0" w:firstColumn="0" w:lastColumn="0" w:noHBand="0" w:noVBand="0" w:val="0020"/>
      </w:tblPr>
      <w:tblGrid>
        <w:gridCol w:w="880"/>
        <w:gridCol w:w="2933"/>
        <w:gridCol w:w="1760"/>
        <w:gridCol w:w="234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Tax Structure Memorandum (the</w:t>
            </w:r>
            <w:r>
              <w:t xml:space="preserve"> </w:t>
            </w:r>
            <w:r>
              <w:t xml:space="preserve">“</w:t>
            </w:r>
            <w:r>
              <w:t xml:space="preserve">Memo</w:t>
            </w:r>
            <w:r>
              <w:t xml:space="preserve">”</w:t>
            </w:r>
            <w:r>
              <w:t xml:space="preserve">)</w:t>
            </w:r>
          </w:p>
        </w:tc>
        <w:tc>
          <w:tcPr/>
          <w:p>
            <w:pPr>
              <w:pStyle w:val="Compact"/>
              <w:jc w:val="left"/>
            </w:pPr>
            <w:r>
              <w:t xml:space="preserve">Feb. 10, 2025</w:t>
            </w:r>
          </w:p>
        </w:tc>
        <w:tc>
          <w:tcPr/>
          <w:p>
            <w:pPr>
              <w:pStyle w:val="Compact"/>
              <w:jc w:val="left"/>
            </w:pPr>
            <w:r>
              <w:t xml:space="preserve">CSW</w:t>
            </w:r>
          </w:p>
        </w:tc>
      </w:tr>
      <w:tr>
        <w:tc>
          <w:tcPr/>
          <w:p>
            <w:pPr>
              <w:pStyle w:val="Compact"/>
              <w:jc w:val="left"/>
            </w:pPr>
            <w:r>
              <w:t xml:space="preserve">2</w:t>
            </w:r>
          </w:p>
        </w:tc>
        <w:tc>
          <w:tcPr/>
          <w:p>
            <w:pPr>
              <w:pStyle w:val="Compact"/>
              <w:jc w:val="left"/>
            </w:pPr>
            <w:r>
              <w:t xml:space="preserve">Tax Due Diligence Report (the</w:t>
            </w:r>
            <w:r>
              <w:t xml:space="preserve"> </w:t>
            </w:r>
            <w:r>
              <w:t xml:space="preserve">“</w:t>
            </w:r>
            <w:r>
              <w:t xml:space="preserve">TDD Report</w:t>
            </w:r>
            <w:r>
              <w:t xml:space="preserve">”</w:t>
            </w:r>
            <w:r>
              <w:t xml:space="preserve">)</w:t>
            </w:r>
          </w:p>
        </w:tc>
        <w:tc>
          <w:tcPr/>
          <w:p>
            <w:pPr>
              <w:pStyle w:val="Compact"/>
              <w:jc w:val="left"/>
            </w:pPr>
            <w:r>
              <w:t xml:space="preserve">Jan. 15, 2025</w:t>
            </w:r>
          </w:p>
        </w:tc>
        <w:tc>
          <w:tcPr/>
          <w:p>
            <w:pPr>
              <w:pStyle w:val="Compact"/>
              <w:jc w:val="left"/>
            </w:pPr>
            <w:r>
              <w:t xml:space="preserve">Thornfield Accounting Group, LLP</w:t>
            </w:r>
          </w:p>
        </w:tc>
      </w:tr>
      <w:tr>
        <w:tc>
          <w:tcPr/>
          <w:p>
            <w:pPr>
              <w:pStyle w:val="Compact"/>
              <w:jc w:val="left"/>
            </w:pPr>
            <w:r>
              <w:t xml:space="preserve">3</w:t>
            </w:r>
          </w:p>
        </w:tc>
        <w:tc>
          <w:tcPr/>
          <w:p>
            <w:pPr>
              <w:pStyle w:val="Compact"/>
              <w:jc w:val="left"/>
            </w:pPr>
            <w:r>
              <w:t xml:space="preserve">Asset Valuation Summary / Preliminary Purchase Price Allocation (the</w:t>
            </w:r>
            <w:r>
              <w:t xml:space="preserve"> </w:t>
            </w:r>
            <w:r>
              <w:t xml:space="preserve">“</w:t>
            </w:r>
            <w:r>
              <w:t xml:space="preserve">Asset Valuation</w:t>
            </w:r>
            <w:r>
              <w:t xml:space="preserve">”</w:t>
            </w:r>
            <w:r>
              <w:t xml:space="preserve">)</w:t>
            </w:r>
          </w:p>
        </w:tc>
        <w:tc>
          <w:tcPr/>
          <w:p>
            <w:pPr>
              <w:pStyle w:val="Compact"/>
              <w:jc w:val="left"/>
            </w:pPr>
            <w:r>
              <w:t xml:space="preserve">—</w:t>
            </w:r>
          </w:p>
        </w:tc>
        <w:tc>
          <w:tcPr/>
          <w:p>
            <w:pPr>
              <w:pStyle w:val="Compact"/>
              <w:jc w:val="left"/>
            </w:pPr>
            <w:r>
              <w:t xml:space="preserve">Thornfield Accounting Group, LLP</w:t>
            </w:r>
          </w:p>
        </w:tc>
      </w:tr>
      <w:tr>
        <w:tc>
          <w:tcPr/>
          <w:p>
            <w:pPr>
              <w:pStyle w:val="Compact"/>
              <w:jc w:val="left"/>
            </w:pPr>
            <w:r>
              <w:t xml:space="preserve">4</w:t>
            </w:r>
          </w:p>
        </w:tc>
        <w:tc>
          <w:tcPr/>
          <w:p>
            <w:pPr>
              <w:pStyle w:val="Compact"/>
              <w:jc w:val="left"/>
            </w:pPr>
            <w:r>
              <w:t xml:space="preserve">Prism Capitalization Table (the</w:t>
            </w:r>
            <w:r>
              <w:t xml:space="preserve"> </w:t>
            </w:r>
            <w:r>
              <w:t xml:space="preserve">“</w:t>
            </w:r>
            <w:r>
              <w:t xml:space="preserve">Cap Table</w:t>
            </w:r>
            <w:r>
              <w:t xml:space="preserve">”</w:t>
            </w:r>
            <w:r>
              <w:t xml:space="preserve">)</w:t>
            </w:r>
          </w:p>
        </w:tc>
        <w:tc>
          <w:tcPr/>
          <w:p>
            <w:pPr>
              <w:pStyle w:val="Compact"/>
              <w:jc w:val="left"/>
            </w:pPr>
            <w:r>
              <w:t xml:space="preserve">as of Dec. 31, 2024</w:t>
            </w:r>
          </w:p>
        </w:tc>
        <w:tc>
          <w:tcPr/>
          <w:p>
            <w:pPr>
              <w:pStyle w:val="Compact"/>
              <w:jc w:val="left"/>
            </w:pPr>
            <w:r>
              <w:t xml:space="preserve">Company counsel</w:t>
            </w:r>
          </w:p>
        </w:tc>
      </w:tr>
      <w:tr>
        <w:tc>
          <w:tcPr/>
          <w:p>
            <w:pPr>
              <w:pStyle w:val="Compact"/>
              <w:jc w:val="left"/>
            </w:pPr>
            <w:r>
              <w:t xml:space="preserve">5</w:t>
            </w:r>
          </w:p>
        </w:tc>
        <w:tc>
          <w:tcPr/>
          <w:p>
            <w:pPr>
              <w:pStyle w:val="Compact"/>
              <w:jc w:val="left"/>
            </w:pPr>
            <w:r>
              <w:t xml:space="preserve">Agreement and Plan of Merger — selected excerpts (the</w:t>
            </w:r>
            <w:r>
              <w:t xml:space="preserve"> </w:t>
            </w:r>
            <w:r>
              <w:t xml:space="preserve">“</w:t>
            </w:r>
            <w:r>
              <w:t xml:space="preserve">SPA</w:t>
            </w:r>
            <w:r>
              <w:t xml:space="preserve">”</w:t>
            </w:r>
            <w:r>
              <w:t xml:space="preserve">)</w:t>
            </w:r>
          </w:p>
        </w:tc>
        <w:tc>
          <w:tcPr/>
          <w:p>
            <w:pPr>
              <w:pStyle w:val="Compact"/>
              <w:jc w:val="left"/>
            </w:pPr>
            <w:r>
              <w:t xml:space="preserve">Jan. 28, 2025</w:t>
            </w:r>
          </w:p>
        </w:tc>
        <w:tc>
          <w:tcPr/>
          <w:p>
            <w:pPr>
              <w:pStyle w:val="Compact"/>
              <w:jc w:val="left"/>
            </w:pPr>
            <w:r>
              <w:t xml:space="preserve">Parties</w:t>
            </w:r>
          </w:p>
        </w:tc>
      </w:tr>
      <w:tr>
        <w:tc>
          <w:tcPr/>
          <w:p>
            <w:pPr>
              <w:pStyle w:val="Compact"/>
              <w:jc w:val="left"/>
            </w:pPr>
            <w:r>
              <w:t xml:space="preserve">6</w:t>
            </w:r>
          </w:p>
        </w:tc>
        <w:tc>
          <w:tcPr/>
          <w:p>
            <w:pPr>
              <w:pStyle w:val="Compact"/>
              <w:jc w:val="left"/>
            </w:pPr>
            <w:r>
              <w:t xml:space="preserve">Amended and Restated Operating Agreement of Beacon Insights, LLC (the</w:t>
            </w:r>
            <w:r>
              <w:t xml:space="preserve"> </w:t>
            </w:r>
            <w:r>
              <w:t xml:space="preserve">“</w:t>
            </w:r>
            <w:r>
              <w:t xml:space="preserve">Beacon OA</w:t>
            </w:r>
            <w:r>
              <w:t xml:space="preserve">”</w:t>
            </w:r>
            <w:r>
              <w:t xml:space="preserve">)</w:t>
            </w:r>
          </w:p>
        </w:tc>
        <w:tc>
          <w:tcPr/>
          <w:p>
            <w:pPr>
              <w:pStyle w:val="Compact"/>
              <w:jc w:val="left"/>
            </w:pPr>
            <w:r>
              <w:t xml:space="preserve">eff. Aug. 1, 2018</w:t>
            </w:r>
          </w:p>
        </w:tc>
        <w:tc>
          <w:tcPr/>
          <w:p>
            <w:pPr>
              <w:pStyle w:val="Compact"/>
              <w:jc w:val="left"/>
            </w:pPr>
            <w:r>
              <w:t xml:space="preserve">Beacon Insights, LLC</w:t>
            </w:r>
          </w:p>
        </w:tc>
      </w:tr>
      <w:tr>
        <w:tc>
          <w:tcPr/>
          <w:p>
            <w:pPr>
              <w:pStyle w:val="Compact"/>
              <w:jc w:val="left"/>
            </w:pPr>
            <w:r>
              <w:t xml:space="preserve">7</w:t>
            </w:r>
          </w:p>
        </w:tc>
        <w:tc>
          <w:tcPr/>
          <w:p>
            <w:pPr>
              <w:pStyle w:val="Compact"/>
              <w:jc w:val="left"/>
            </w:pPr>
            <w:r>
              <w:t xml:space="preserve">QSBS Eligibility email thread (Linden Rock Advisory ↔ CSW)</w:t>
            </w:r>
          </w:p>
        </w:tc>
        <w:tc>
          <w:tcPr/>
          <w:p>
            <w:pPr>
              <w:pStyle w:val="Compact"/>
              <w:jc w:val="left"/>
            </w:pPr>
            <w:r>
              <w:t xml:space="preserve">Nov. 2024 – Jan. 2025</w:t>
            </w:r>
          </w:p>
        </w:tc>
        <w:tc>
          <w:tcPr/>
          <w:p>
            <w:pPr>
              <w:pStyle w:val="Compact"/>
              <w:jc w:val="left"/>
            </w:pPr>
            <w:r>
              <w:t xml:space="preserve">Linden Rock Advisory / CSW</w:t>
            </w:r>
          </w:p>
        </w:tc>
      </w:tr>
    </w:tbl>
    <w:bookmarkEnd w:id="22"/>
    <w:bookmarkStart w:id="23" w:name="b.-methodology"/>
    <w:p>
      <w:pPr>
        <w:pStyle w:val="Heading3"/>
      </w:pPr>
      <w:r>
        <w:t xml:space="preserve">B. Methodology</w:t>
      </w:r>
    </w:p>
    <w:p>
      <w:pPr>
        <w:pStyle w:val="FirstParagraph"/>
      </w:pPr>
      <w:r>
        <w:t xml:space="preserve">Each substantive representation, calculation, and conclusion in the Memo was traced to the corresponding provision in the supporting documents. Where the Memo’s figures, characterizations, or scope could not be reconciled to the supporting documents, the discrepancy was documented, its tax and economic impact assessed, and a severity rating assigned. Severity ratings reflect the potential effect on (i) the validity of the transaction structure, (ii) the accuracy of the core tax computations, (iii) the magnitude of dollars at risk, and (iv) the completeness of the advice relative to the issues the due diligence record itself flagged for counsel’s attention.</w:t>
      </w:r>
    </w:p>
    <w:bookmarkEnd w:id="23"/>
    <w:bookmarkStart w:id="24" w:name="c.-severity-definitions"/>
    <w:p>
      <w:pPr>
        <w:pStyle w:val="Heading3"/>
      </w:pPr>
      <w:r>
        <w:t xml:space="preserve">C. Severity Definitions</w:t>
      </w:r>
    </w:p>
    <w:p>
      <w:pPr>
        <w:pStyle w:val="Compact"/>
        <w:numPr>
          <w:ilvl w:val="0"/>
          <w:numId w:val="1001"/>
        </w:numPr>
      </w:pPr>
      <w:r>
        <w:rPr>
          <w:b/>
          <w:bCs/>
        </w:rPr>
        <w:t xml:space="preserve">Critical</w:t>
      </w:r>
      <w:r>
        <w:t xml:space="preserve"> </w:t>
      </w:r>
      <w:r>
        <w:t xml:space="preserve">— Jeopardizes the validity of the transaction structure, reflects a fundamental error in a core tax computation, or constitutes an omission of a threshold/make-or-break issue.</w:t>
      </w:r>
    </w:p>
    <w:p>
      <w:pPr>
        <w:pStyle w:val="Compact"/>
        <w:numPr>
          <w:ilvl w:val="0"/>
          <w:numId w:val="1001"/>
        </w:numPr>
      </w:pPr>
      <w:r>
        <w:rPr>
          <w:b/>
          <w:bCs/>
        </w:rPr>
        <w:t xml:space="preserve">High</w:t>
      </w:r>
      <w:r>
        <w:t xml:space="preserve"> </w:t>
      </w:r>
      <w:r>
        <w:t xml:space="preserve">— Material error or omission with significant dollar exposure or that affects a closing condition, asset value, or a significant tax conclusion; correction required before reliance.</w:t>
      </w:r>
    </w:p>
    <w:p>
      <w:pPr>
        <w:pStyle w:val="Compact"/>
        <w:numPr>
          <w:ilvl w:val="0"/>
          <w:numId w:val="1001"/>
        </w:numPr>
      </w:pPr>
      <w:r>
        <w:rPr>
          <w:b/>
          <w:bCs/>
        </w:rPr>
        <w:t xml:space="preserve">Moderate</w:t>
      </w:r>
      <w:r>
        <w:t xml:space="preserve"> </w:t>
      </w:r>
      <w:r>
        <w:t xml:space="preserve">— Notable error or omission that should be corrected; does not by itself invalidate the structure but affects accuracy or completeness.</w:t>
      </w:r>
    </w:p>
    <w:p>
      <w:pPr>
        <w:pStyle w:val="Compact"/>
        <w:numPr>
          <w:ilvl w:val="0"/>
          <w:numId w:val="1001"/>
        </w:numPr>
      </w:pPr>
      <w:r>
        <w:rPr>
          <w:b/>
          <w:bCs/>
        </w:rPr>
        <w:t xml:space="preserve">Low</w:t>
      </w:r>
      <w:r>
        <w:t xml:space="preserve"> </w:t>
      </w:r>
      <w:r>
        <w:t xml:space="preserve">— Minor inconsistency, drafting/cross-reference error, or item noted for completeness.</w:t>
      </w:r>
    </w:p>
    <w:p>
      <w:r>
        <w:pict>
          <v:rect style="width:0;height:1.5pt" o:hralign="center" o:hrstd="t" o:hr="t"/>
        </w:pict>
      </w:r>
    </w:p>
    <w:bookmarkEnd w:id="24"/>
    <w:bookmarkEnd w:id="25"/>
    <w:bookmarkStart w:id="56" w:name="iii.-severity-ranked-findings"/>
    <w:p>
      <w:pPr>
        <w:pStyle w:val="Heading2"/>
      </w:pPr>
      <w:r>
        <w:t xml:space="preserve">III. Severity-Ranked Findings</w:t>
      </w:r>
    </w:p>
    <w:bookmarkStart w:id="30" w:name="a.-critical-findings"/>
    <w:p>
      <w:pPr>
        <w:pStyle w:val="Heading3"/>
      </w:pPr>
      <w:r>
        <w:t xml:space="preserve">A. Critical Findings</w:t>
      </w:r>
    </w:p>
    <w:p>
      <w:r>
        <w:pict>
          <v:rect style="width:0;height:1.5pt" o:hralign="center" o:hrstd="t" o:hr="t"/>
        </w:pict>
      </w:r>
    </w:p>
    <w:bookmarkStart w:id="26" w:name="X7d6b408526edca672f62a42bf3f4c00f6c50683"/>
    <w:p>
      <w:pPr>
        <w:pStyle w:val="Heading4"/>
      </w:pPr>
      <w:r>
        <w:t xml:space="preserve">C-1. ADSP Overstated by ~$48 Million — Double-Count of Funded Debt</w:t>
      </w:r>
    </w:p>
    <w:p>
      <w:pPr>
        <w:pStyle w:val="FirstParagraph"/>
      </w:pPr>
      <w:r>
        <w:rPr>
          <w:b/>
          <w:bCs/>
        </w:rPr>
        <w:t xml:space="preserve">Severity:</w:t>
      </w:r>
      <w:r>
        <w:t xml:space="preserve"> </w:t>
      </w:r>
      <w:r>
        <w:t xml:space="preserve">Critical</w:t>
      </w:r>
    </w:p>
    <w:p>
      <w:pPr>
        <w:pStyle w:val="BodyText"/>
      </w:pPr>
      <w:r>
        <w:rPr>
          <w:b/>
          <w:bCs/>
        </w:rPr>
        <w:t xml:space="preserve">The Issue.</w:t>
      </w:r>
      <w:r>
        <w:t xml:space="preserve"> </w:t>
      </w:r>
      <w:r>
        <w:t xml:space="preserve">The Memo (Section IV.B) computes the Aggregate Deemed Sale Price as:</w:t>
      </w:r>
    </w:p>
    <w:p>
      <w:pPr>
        <w:pStyle w:val="BlockText"/>
      </w:pPr>
      <w:r>
        <w:t xml:space="preserve">ADSP = Enterprise Value ($425,000,000) + Assumed Liabilities / Funded Debt ($48,000,000) =</w:t>
      </w:r>
      <w:r>
        <w:t xml:space="preserve"> </w:t>
      </w:r>
      <w:r>
        <w:rPr>
          <w:b/>
          <w:bCs/>
        </w:rPr>
        <w:t xml:space="preserve">$473,000,000</w:t>
      </w:r>
    </w:p>
    <w:p>
      <w:pPr>
        <w:pStyle w:val="FirstParagraph"/>
      </w:pPr>
      <w:r>
        <w:t xml:space="preserve">This is incorrect. Enterprise value is, by definition, the value of the enterprise inclusive of debt (enterprise value = equity value + net debt). The Memo itself derives equity value by</w:t>
      </w:r>
      <w:r>
        <w:t xml:space="preserve"> </w:t>
      </w:r>
      <w:r>
        <w:rPr>
          <w:i/>
          <w:iCs/>
        </w:rPr>
        <w:t xml:space="preserve">subtracting</w:t>
      </w:r>
      <w:r>
        <w:t xml:space="preserve"> </w:t>
      </w:r>
      <w:r>
        <w:t xml:space="preserve">the funded debt and seller expenses from enterprise value ($425M − $48M − $7M = $370M). Adding the $48M funded debt back to enterprise value therefore double-counts the debt.</w:t>
      </w:r>
    </w:p>
    <w:p>
      <w:pPr>
        <w:pStyle w:val="BodyText"/>
      </w:pPr>
      <w:r>
        <w:t xml:space="preserve">Under Treas. Reg. 1.338-4, ADSP = the grossed-up amount realized on the disposition of the target stock + the liabilities of old target. The amount realized on the stock is the equity purchase price — $370,000,000 ($333M cash + $37M rollover equity) — not the enterprise value. The correct ADSP is therefore approximately:</w:t>
      </w:r>
    </w:p>
    <w:p>
      <w:pPr>
        <w:pStyle w:val="BlockText"/>
      </w:pPr>
      <w:r>
        <w:t xml:space="preserve">ADSP = $370,000,000 (amount realized on stock) + $48,000,000 (funded debt) [+$7,000,000 seller transaction expenses, if treated as target liabilities] =</w:t>
      </w:r>
      <w:r>
        <w:t xml:space="preserve"> </w:t>
      </w:r>
      <w:r>
        <w:rPr>
          <w:b/>
          <w:bCs/>
        </w:rPr>
        <w:t xml:space="preserve">~$418M–$425M</w:t>
      </w:r>
    </w:p>
    <w:p>
      <w:pPr>
        <w:pStyle w:val="FirstParagraph"/>
      </w:pPr>
      <w:r>
        <w:t xml:space="preserve">The Thornfield Asset Valuation (Allocation Summary tab) expressly flags this:</w:t>
      </w:r>
      <w:r>
        <w:t xml:space="preserve"> </w:t>
      </w:r>
      <w:r>
        <w:rPr>
          <w:i/>
          <w:iCs/>
        </w:rPr>
        <w:t xml:space="preserve">“</w:t>
      </w:r>
      <w:r>
        <w:rPr>
          <w:i/>
          <w:iCs/>
        </w:rPr>
        <w:t xml:space="preserve">The memorandum computes ADSP as $425M enterprise value + $48M liabilities = $473M. This double-counts the $48M funded debt, which was already subtracted to derive equity value … Under Treas. Reg. 1.338-4, ADSP should be computed starting from the amount realized on the stock ($370M) plus target liabilities.</w:t>
      </w:r>
      <w:r>
        <w:rPr>
          <w:i/>
          <w:iCs/>
        </w:rPr>
        <w:t xml:space="preserve">”</w:t>
      </w:r>
    </w:p>
    <w:p>
      <w:pPr>
        <w:pStyle w:val="BodyText"/>
      </w:pPr>
      <w:r>
        <w:rPr>
          <w:b/>
          <w:bCs/>
        </w:rPr>
        <w:t xml:space="preserve">Document Cross-References.</w:t>
      </w:r>
      <w:r>
        <w:t xml:space="preserve"> </w:t>
      </w:r>
      <w:r>
        <w:t xml:space="preserve">Memo §IV.B; Asset Valuation,</w:t>
      </w:r>
      <w:r>
        <w:t xml:space="preserve"> </w:t>
      </w:r>
      <w:r>
        <w:t xml:space="preserve">“</w:t>
      </w:r>
      <w:r>
        <w:t xml:space="preserve">Allocation Summary</w:t>
      </w:r>
      <w:r>
        <w:t xml:space="preserve">”</w:t>
      </w:r>
      <w:r>
        <w:t xml:space="preserve"> </w:t>
      </w:r>
      <w:r>
        <w:t xml:space="preserve">tab (Note 1); SPA §1.1 (defined terms: Enterprise Value $425M; Equity Value $370M; Funded Indebtedness $48M); SPA §2.6(a) (funded indebtedness repaid at closing).</w:t>
      </w:r>
    </w:p>
    <w:p>
      <w:pPr>
        <w:pStyle w:val="BodyText"/>
      </w:pPr>
      <w:r>
        <w:rPr>
          <w:b/>
          <w:bCs/>
        </w:rPr>
        <w:t xml:space="preserve">Impact.</w:t>
      </w:r>
      <w:r>
        <w:t xml:space="preserve"> </w:t>
      </w:r>
      <w:r>
        <w:t xml:space="preserve">The $48M overstatement propagates throughout the Memo:</w:t>
      </w:r>
      <w:r>
        <w:t xml:space="preserve"> </w:t>
      </w:r>
      <w:r>
        <w:t xml:space="preserve">-</w:t>
      </w:r>
      <w:r>
        <w:t xml:space="preserve"> </w:t>
      </w:r>
      <w:r>
        <w:rPr>
          <w:b/>
          <w:bCs/>
        </w:rPr>
        <w:t xml:space="preserve">Class VII goodwill</w:t>
      </w:r>
      <w:r>
        <w:t xml:space="preserve"> </w:t>
      </w:r>
      <w:r>
        <w:t xml:space="preserve">is overstated by $48M (and by $76.5M in total once the Class V understatement in C-5 is included): Memo $272.8M vs. Thornfield $196.3M.</w:t>
      </w:r>
      <w:r>
        <w:t xml:space="preserve"> </w:t>
      </w:r>
      <w:r>
        <w:t xml:space="preserve">-</w:t>
      </w:r>
      <w:r>
        <w:t xml:space="preserve"> </w:t>
      </w:r>
      <w:r>
        <w:rPr>
          <w:b/>
          <w:bCs/>
        </w:rPr>
        <w:t xml:space="preserve">Deemed sale gain</w:t>
      </w:r>
      <w:r>
        <w:t xml:space="preserve"> </w:t>
      </w:r>
      <w:r>
        <w:t xml:space="preserve">is overstated by $48M before considering the basis error in C-4.</w:t>
      </w:r>
      <w:r>
        <w:t xml:space="preserve"> </w:t>
      </w:r>
      <w:r>
        <w:t xml:space="preserve">-</w:t>
      </w:r>
      <w:r>
        <w:t xml:space="preserve"> </w:t>
      </w:r>
      <w:r>
        <w:rPr>
          <w:b/>
          <w:bCs/>
        </w:rPr>
        <w:t xml:space="preserve">Buyer’s Section 197 amortization</w:t>
      </w:r>
      <w:r>
        <w:t xml:space="preserve"> </w:t>
      </w:r>
      <w:r>
        <w:t xml:space="preserve">is overstated (~$3.2M/year of excess goodwill amortization over 15 years).</w:t>
      </w:r>
      <w:r>
        <w:t xml:space="preserve"> </w:t>
      </w:r>
      <w:r>
        <w:t xml:space="preserve">-</w:t>
      </w:r>
      <w:r>
        <w:t xml:space="preserve"> </w:t>
      </w:r>
      <w:r>
        <w:rPr>
          <w:b/>
          <w:bCs/>
        </w:rPr>
        <w:t xml:space="preserve">Selling shareholders’ K-1 gain and tax liability</w:t>
      </w:r>
      <w:r>
        <w:t xml:space="preserve"> </w:t>
      </w:r>
      <w:r>
        <w:t xml:space="preserve">are overstated.</w:t>
      </w:r>
    </w:p>
    <w:p>
      <w:pPr>
        <w:pStyle w:val="BodyText"/>
      </w:pPr>
      <w:r>
        <w:rPr>
          <w:b/>
          <w:bCs/>
        </w:rPr>
        <w:t xml:space="preserve">Recommendation.</w:t>
      </w:r>
      <w:r>
        <w:t xml:space="preserve"> </w:t>
      </w:r>
      <w:r>
        <w:t xml:space="preserve">Recompute ADSP from the amount realized on the stock ($370M) plus target liabilities. Reconcile with Thornfield before any Form 8883 is prepared. Confirm whether the $7M seller transaction expenses are properly treated as target liabilities for ADSP purposes.</w:t>
      </w:r>
    </w:p>
    <w:p>
      <w:r>
        <w:pict>
          <v:rect style="width:0;height:1.5pt" o:hralign="center" o:hrstd="t" o:hr="t"/>
        </w:pict>
      </w:r>
    </w:p>
    <w:bookmarkEnd w:id="26"/>
    <w:bookmarkStart w:id="27" w:name="X979f718d162b906fa368954ef7eddf306a99d44"/>
    <w:p>
      <w:pPr>
        <w:pStyle w:val="Heading4"/>
      </w:pPr>
      <w:r>
        <w:t xml:space="preserve">C-2. S Corporation Shareholder Eligibility Not Addressed — Threshold Risk to the 338(h)(10) Election</w:t>
      </w:r>
    </w:p>
    <w:p>
      <w:pPr>
        <w:pStyle w:val="FirstParagraph"/>
      </w:pPr>
      <w:r>
        <w:rPr>
          <w:b/>
          <w:bCs/>
        </w:rPr>
        <w:t xml:space="preserve">Severity:</w:t>
      </w:r>
      <w:r>
        <w:t xml:space="preserve"> </w:t>
      </w:r>
      <w:r>
        <w:t xml:space="preserve">Critical</w:t>
      </w:r>
    </w:p>
    <w:p>
      <w:pPr>
        <w:pStyle w:val="BodyText"/>
      </w:pPr>
      <w:r>
        <w:rPr>
          <w:b/>
          <w:bCs/>
        </w:rPr>
        <w:t xml:space="preserve">The Issue.</w:t>
      </w:r>
      <w:r>
        <w:t xml:space="preserve"> </w:t>
      </w:r>
      <w:r>
        <w:t xml:space="preserve">The validity of Prism’s S corporation election is a threshold requirement for the Section 338(h)(10) election. The TDD Report (Section III.B) flags this as a</w:t>
      </w:r>
      <w:r>
        <w:t xml:space="preserve"> </w:t>
      </w:r>
      <w:r>
        <w:rPr>
          <w:b/>
          <w:bCs/>
        </w:rPr>
        <w:t xml:space="preserve">Critical</w:t>
      </w:r>
      <w:r>
        <w:t xml:space="preserve"> </w:t>
      </w:r>
      <w:r>
        <w:t xml:space="preserve">open item: Thornfield could not confirm S corporation eligibility for two of the eight restricted-stock holders — (a) an H-1B visa holder whose substantial-presence-test compliance was not verified for all years, and (b) a holder whose shares may have been transferred to a</w:t>
      </w:r>
      <w:r>
        <w:t xml:space="preserve"> </w:t>
      </w:r>
      <w:r>
        <w:t xml:space="preserve">“</w:t>
      </w:r>
      <w:r>
        <w:t xml:space="preserve">Family Holdings, LLC,</w:t>
      </w:r>
      <w:r>
        <w:t xml:space="preserve">”</w:t>
      </w:r>
      <w:r>
        <w:t xml:space="preserve"> </w:t>
      </w:r>
      <w:r>
        <w:t xml:space="preserve">which would be an ineligible shareholder. If either condition existed in any year since the S election became effective (January 1, 2017), the S election would be retroactively terminated under Section 1362(d)(2), Prism would be a C corporation for all open years, and the Section 338(h)(10) election would be unavailable.</w:t>
      </w:r>
    </w:p>
    <w:p>
      <w:pPr>
        <w:pStyle w:val="BodyText"/>
      </w:pPr>
      <w:r>
        <w:t xml:space="preserve">The Cap Table independently identifies</w:t>
      </w:r>
      <w:r>
        <w:t xml:space="preserve"> </w:t>
      </w:r>
      <w:r>
        <w:rPr>
          <w:b/>
          <w:bCs/>
        </w:rPr>
        <w:t xml:space="preserve">three</w:t>
      </w:r>
      <w:r>
        <w:t xml:space="preserve"> </w:t>
      </w:r>
      <w:r>
        <w:t xml:space="preserve">holders with unconfirmed eligibility: Lin Wei Zhang (H-1B visa holder, PRC citizen), Yusuf Al-Rashidi (dual U.S./Jordan citizen; U.S. citizenship documentation not on file), and Nina Petrova (Bulgarian-born; green-card/lawful-permanent-resident status unconfirmed). The Cap Table notes these three holders collectively receive ~$2.775M in aggregate consideration.</w:t>
      </w:r>
    </w:p>
    <w:p>
      <w:pPr>
        <w:pStyle w:val="BodyText"/>
      </w:pPr>
      <w:r>
        <w:t xml:space="preserve">The Memo does not address this issue at all. To the contrary, the Memo affirmatively represents the opposite:</w:t>
      </w:r>
      <w:r>
        <w:t xml:space="preserve"> </w:t>
      </w:r>
      <w:r>
        <w:rPr>
          <w:i/>
          <w:iCs/>
        </w:rPr>
        <w:t xml:space="preserve">“</w:t>
      </w:r>
      <w:r>
        <w:rPr>
          <w:i/>
          <w:iCs/>
        </w:rPr>
        <w:t xml:space="preserve">All shareholders of Prism are U.S. individuals, and we are not aware of any ineligible shareholders</w:t>
      </w:r>
      <w:r>
        <w:rPr>
          <w:i/>
          <w:iCs/>
        </w:rPr>
        <w:t xml:space="preserve">”</w:t>
      </w:r>
      <w:r>
        <w:t xml:space="preserve"> </w:t>
      </w:r>
      <w:r>
        <w:t xml:space="preserve">(Section III.A), and states that Section 83(b) elections were timely filed and the holders are reflected in the share counts. The Memo’s blanket eligibility statement is contradicted by both the TDD Report and the Cap Table.</w:t>
      </w:r>
    </w:p>
    <w:p>
      <w:pPr>
        <w:pStyle w:val="BodyText"/>
      </w:pPr>
      <w:r>
        <w:t xml:space="preserve">The SPA compounds the exposure: Section 4.9(a) represents that</w:t>
      </w:r>
      <w:r>
        <w:t xml:space="preserve"> </w:t>
      </w:r>
      <w:r>
        <w:t xml:space="preserve">“</w:t>
      </w:r>
      <w:r>
        <w:t xml:space="preserve">each shareholder is an eligible S corporation shareholder,</w:t>
      </w:r>
      <w:r>
        <w:t xml:space="preserve">”</w:t>
      </w:r>
      <w:r>
        <w:t xml:space="preserve"> </w:t>
      </w:r>
      <w:r>
        <w:t xml:space="preserve">and Section 2.5 represents that each restricted-stock holder</w:t>
      </w:r>
      <w:r>
        <w:t xml:space="preserve"> </w:t>
      </w:r>
      <w:r>
        <w:t xml:space="preserve">“</w:t>
      </w:r>
      <w:r>
        <w:t xml:space="preserve">is an individual who is a citizen or resident of the United States.</w:t>
      </w:r>
      <w:r>
        <w:t xml:space="preserve">”</w:t>
      </w:r>
      <w:r>
        <w:t xml:space="preserve"> </w:t>
      </w:r>
      <w:r>
        <w:t xml:space="preserve">Section 8.2(c) makes maintenance of valid S corporation status through closing an express closing condition. If the eligibility concern is real, the Company’s reps would be inaccurate and a closing condition may fail.</w:t>
      </w:r>
    </w:p>
    <w:p>
      <w:pPr>
        <w:pStyle w:val="BodyText"/>
      </w:pPr>
      <w:r>
        <w:rPr>
          <w:b/>
          <w:bCs/>
        </w:rPr>
        <w:t xml:space="preserve">Document Cross-References.</w:t>
      </w:r>
      <w:r>
        <w:t xml:space="preserve"> </w:t>
      </w:r>
      <w:r>
        <w:t xml:space="preserve">Memo §III.A (no mention; affirmative contrary statement); TDD Report §III.B (Critical finding) and §XI (Finding 1); Cap Table (three</w:t>
      </w:r>
      <w:r>
        <w:t xml:space="preserve"> </w:t>
      </w:r>
      <w:r>
        <w:t xml:space="preserve">“</w:t>
      </w:r>
      <w:r>
        <w:t xml:space="preserve">Unconfirmed</w:t>
      </w:r>
      <w:r>
        <w:t xml:space="preserve">”</w:t>
      </w:r>
      <w:r>
        <w:t xml:space="preserve"> </w:t>
      </w:r>
      <w:r>
        <w:t xml:space="preserve">holders); SPA §4.9(a), §2.5, §8.2(c).</w:t>
      </w:r>
    </w:p>
    <w:p>
      <w:pPr>
        <w:pStyle w:val="BodyText"/>
      </w:pPr>
      <w:r>
        <w:rPr>
          <w:b/>
          <w:bCs/>
        </w:rPr>
        <w:t xml:space="preserve">Impact.</w:t>
      </w:r>
      <w:r>
        <w:t xml:space="preserve"> </w:t>
      </w:r>
      <w:r>
        <w:t xml:space="preserve">Potential invalidation of the S election; unavailability of the Section 338(h)(10) election; entity-level C corporation federal and state income tax for all open years (NC, VA, CA, NY); penalties and interest; potential breach of SPA representations and failure of a closing condition. This is the highest-consequence risk in the transaction.</w:t>
      </w:r>
    </w:p>
    <w:p>
      <w:pPr>
        <w:pStyle w:val="BodyText"/>
      </w:pPr>
      <w:r>
        <w:rPr>
          <w:b/>
          <w:bCs/>
        </w:rPr>
        <w:t xml:space="preserve">Recommendation.</w:t>
      </w:r>
      <w:r>
        <w:t xml:space="preserve"> </w:t>
      </w:r>
      <w:r>
        <w:t xml:space="preserve">Obtain definitive documentation of the eligibility of every shareholder — including every restricted-stock holder — for every year since January 1, 2017, before closing. Specifically: (i) immigration/residency records sufficient to confirm substantial-presence-test compliance for the H-1B holder for each year since grant; (ii) documentation of the alleged transfer to the family LLC (operating agreement, entity classification, member composition); and (iii) citizenship/permanent-resident documentation for Al-Rashidi and Petrova. The Memo should be revised to disclose this as an open condition and to withdraw the unqualified eligibility representation.</w:t>
      </w:r>
    </w:p>
    <w:p>
      <w:r>
        <w:pict>
          <v:rect style="width:0;height:1.5pt" o:hralign="center" o:hrstd="t" o:hr="t"/>
        </w:pict>
      </w:r>
    </w:p>
    <w:bookmarkEnd w:id="27"/>
    <w:bookmarkStart w:id="28" w:name="Xcde0af528e4410bc24ce233fe29d422b0e7acdf"/>
    <w:p>
      <w:pPr>
        <w:pStyle w:val="Heading4"/>
      </w:pPr>
      <w:r>
        <w:t xml:space="preserve">C-3. QSBS / Section 1202 Analysis Entirely Omitted</w:t>
      </w:r>
    </w:p>
    <w:p>
      <w:pPr>
        <w:pStyle w:val="FirstParagraph"/>
      </w:pPr>
      <w:r>
        <w:rPr>
          <w:b/>
          <w:bCs/>
        </w:rPr>
        <w:t xml:space="preserve">Severity:</w:t>
      </w:r>
      <w:r>
        <w:t xml:space="preserve"> </w:t>
      </w:r>
      <w:r>
        <w:t xml:space="preserve">Critical</w:t>
      </w:r>
    </w:p>
    <w:p>
      <w:pPr>
        <w:pStyle w:val="BodyText"/>
      </w:pPr>
      <w:r>
        <w:rPr>
          <w:b/>
          <w:bCs/>
        </w:rPr>
        <w:t xml:space="preserve">The Issue.</w:t>
      </w:r>
      <w:r>
        <w:t xml:space="preserve"> </w:t>
      </w:r>
      <w:r>
        <w:t xml:space="preserve">The Memo contains no Section 1202 (qualified small business stock) analysis. This omission is conspicuous because:</w:t>
      </w:r>
    </w:p>
    <w:p>
      <w:pPr>
        <w:pStyle w:val="Compact"/>
        <w:numPr>
          <w:ilvl w:val="0"/>
          <w:numId w:val="1002"/>
        </w:numPr>
      </w:pPr>
      <w:r>
        <w:t xml:space="preserve">The Linden Rock email thread contains a</w:t>
      </w:r>
      <w:r>
        <w:t xml:space="preserve"> </w:t>
      </w:r>
      <w:r>
        <w:rPr>
          <w:b/>
          <w:bCs/>
        </w:rPr>
        <w:t xml:space="preserve">formal written request</w:t>
      </w:r>
      <w:r>
        <w:t xml:space="preserve"> </w:t>
      </w:r>
      <w:r>
        <w:t xml:space="preserve">(November 2024) from the shareholders’ financial advisor asking CSW to analyze QSBS eligibility, with particular attention to whether the Section 338(h)(10) deemed-asset-sale recharacterization eliminates the exclusion.</w:t>
      </w:r>
    </w:p>
    <w:p>
      <w:pPr>
        <w:pStyle w:val="Compact"/>
        <w:numPr>
          <w:ilvl w:val="0"/>
          <w:numId w:val="1002"/>
        </w:numPr>
      </w:pPr>
      <w:r>
        <w:t xml:space="preserve">CSW</w:t>
      </w:r>
      <w:r>
        <w:t xml:space="preserve"> </w:t>
      </w:r>
      <w:r>
        <w:rPr>
          <w:b/>
          <w:bCs/>
        </w:rPr>
        <w:t xml:space="preserve">expressly committed</w:t>
      </w:r>
      <w:r>
        <w:t xml:space="preserve"> </w:t>
      </w:r>
      <w:r>
        <w:t xml:space="preserve">to include a QSBS section in the Memo (November 20, 2024 email:</w:t>
      </w:r>
      <w:r>
        <w:t xml:space="preserve"> </w:t>
      </w:r>
      <w:r>
        <w:rPr>
          <w:i/>
          <w:iCs/>
        </w:rPr>
        <w:t xml:space="preserve">“</w:t>
      </w:r>
      <w:r>
        <w:rPr>
          <w:i/>
          <w:iCs/>
        </w:rPr>
        <w:t xml:space="preserve">We intend to include a QSBS analysis as part of the transaction structure memorandum</w:t>
      </w:r>
      <w:r>
        <w:rPr>
          <w:i/>
          <w:iCs/>
        </w:rPr>
        <w:t xml:space="preserve">”</w:t>
      </w:r>
      <w:r>
        <w:t xml:space="preserve">).</w:t>
      </w:r>
    </w:p>
    <w:p>
      <w:pPr>
        <w:pStyle w:val="Compact"/>
        <w:numPr>
          <w:ilvl w:val="0"/>
          <w:numId w:val="1002"/>
        </w:numPr>
      </w:pPr>
      <w:r>
        <w:t xml:space="preserve">Linden Rock</w:t>
      </w:r>
      <w:r>
        <w:t xml:space="preserve"> </w:t>
      </w:r>
      <w:r>
        <w:rPr>
          <w:b/>
          <w:bCs/>
        </w:rPr>
        <w:t xml:space="preserve">followed up on January 6, 2025</w:t>
      </w:r>
      <w:r>
        <w:t xml:space="preserve"> </w:t>
      </w:r>
      <w:r>
        <w:t xml:space="preserve">stating that no analysis had been received and reiterating urgency, noting that</w:t>
      </w:r>
      <w:r>
        <w:t xml:space="preserve"> </w:t>
      </w:r>
      <w:r>
        <w:t xml:space="preserve">“</w:t>
      </w:r>
      <w:r>
        <w:t xml:space="preserve">at least four of the 14 shareholders</w:t>
      </w:r>
      <w:r>
        <w:t xml:space="preserve">”</w:t>
      </w:r>
      <w:r>
        <w:t xml:space="preserve"> </w:t>
      </w:r>
      <w:r>
        <w:t xml:space="preserve">had specifically asked and that the issue involves</w:t>
      </w:r>
      <w:r>
        <w:t xml:space="preserve"> </w:t>
      </w:r>
      <w:r>
        <w:t xml:space="preserve">“</w:t>
      </w:r>
      <w:r>
        <w:t xml:space="preserve">a seven-figure swing in after-tax proceeds.</w:t>
      </w:r>
      <w:r>
        <w:t xml:space="preserve">”</w:t>
      </w:r>
    </w:p>
    <w:p>
      <w:pPr>
        <w:pStyle w:val="Compact"/>
        <w:numPr>
          <w:ilvl w:val="0"/>
          <w:numId w:val="1002"/>
        </w:numPr>
      </w:pPr>
      <w:r>
        <w:t xml:space="preserve">The Memo is dated</w:t>
      </w:r>
      <w:r>
        <w:t xml:space="preserve"> </w:t>
      </w:r>
      <w:r>
        <w:rPr>
          <w:b/>
          <w:bCs/>
        </w:rPr>
        <w:t xml:space="preserve">February 10, 2025</w:t>
      </w:r>
      <w:r>
        <w:t xml:space="preserve"> </w:t>
      </w:r>
      <w:r>
        <w:t xml:space="preserve">— after the follow-up — yet still omits the analysis.</w:t>
      </w:r>
    </w:p>
    <w:p>
      <w:pPr>
        <w:pStyle w:val="Compact"/>
        <w:numPr>
          <w:ilvl w:val="0"/>
          <w:numId w:val="1002"/>
        </w:numPr>
      </w:pPr>
      <w:r>
        <w:t xml:space="preserve">The TDD Report (Section VIII.B; Finding 4) flags QSBS as a Moderate item requiring tax-counsel analysis and notes the unresolved interaction with Section 338(h)(10).</w:t>
      </w:r>
    </w:p>
    <w:p>
      <w:pPr>
        <w:pStyle w:val="FirstParagraph"/>
      </w:pPr>
      <w:r>
        <w:t xml:space="preserve">The substantive stakes are material. The Cap Table confirms that a number of shareholders acquired stock during Prism’s 2016 C corporation period (founders Chandra and Stowe on June 14, 2016; and several angel/early-employee investors on August 15, October 1, and November 1, 2016), when Prism’s aggregate gross assets were well below the $50M Section 1202(d) ceiling. For those holders, the &gt;5-year holding period is satisfied. The central question — whether the Section 338(h)(10) election, which recharacterizes the transaction as a deemed asset sale followed by a deemed liquidation (rather than a stock sale by the shareholders), forecloses the Section 1202</w:t>
      </w:r>
      <w:r>
        <w:t xml:space="preserve"> </w:t>
      </w:r>
      <w:r>
        <w:t xml:space="preserve">“</w:t>
      </w:r>
      <w:r>
        <w:t xml:space="preserve">sale or exchange</w:t>
      </w:r>
      <w:r>
        <w:t xml:space="preserve">”</w:t>
      </w:r>
      <w:r>
        <w:t xml:space="preserve"> </w:t>
      </w:r>
      <w:r>
        <w:t xml:space="preserve">exclusion — is exactly the question CSW preliminarily flagged as a</w:t>
      </w:r>
      <w:r>
        <w:t xml:space="preserve"> </w:t>
      </w:r>
      <w:r>
        <w:t xml:space="preserve">“</w:t>
      </w:r>
      <w:r>
        <w:t xml:space="preserve">real question</w:t>
      </w:r>
      <w:r>
        <w:t xml:space="preserve">”</w:t>
      </w:r>
      <w:r>
        <w:t xml:space="preserve"> </w:t>
      </w:r>
      <w:r>
        <w:t xml:space="preserve">in November and then never answered.</w:t>
      </w:r>
    </w:p>
    <w:p>
      <w:pPr>
        <w:pStyle w:val="BodyText"/>
      </w:pPr>
      <w:r>
        <w:rPr>
          <w:b/>
          <w:bCs/>
        </w:rPr>
        <w:t xml:space="preserve">Document Cross-References.</w:t>
      </w:r>
      <w:r>
        <w:t xml:space="preserve"> </w:t>
      </w:r>
      <w:r>
        <w:t xml:space="preserve">Memo (no QSBS section anywhere); QSBS email thread (Nov. 2024 and Jan. 6, 2025); TDD Report §VIII.B and §XI (Finding 4); Cap Table (</w:t>
      </w:r>
      <w:r>
        <w:t xml:space="preserve">“</w:t>
      </w:r>
      <w:r>
        <w:t xml:space="preserve">Acquired During C Corp Period?</w:t>
      </w:r>
      <w:r>
        <w:t xml:space="preserve">”</w:t>
      </w:r>
      <w:r>
        <w:t xml:space="preserve"> </w:t>
      </w:r>
      <w:r>
        <w:t xml:space="preserve">column).</w:t>
      </w:r>
    </w:p>
    <w:p>
      <w:pPr>
        <w:pStyle w:val="BodyText"/>
      </w:pPr>
      <w:r>
        <w:rPr>
          <w:b/>
          <w:bCs/>
        </w:rPr>
        <w:t xml:space="preserve">Impact.</w:t>
      </w:r>
      <w:r>
        <w:t xml:space="preserve"> </w:t>
      </w:r>
      <w:r>
        <w:t xml:space="preserve">Shareholders are making investment and personal financial-planning decisions, and deciding whether to consent to the 338(h)(10) election, without the analysis they were promised. If the election forecloses QSBS, affected shareholders may prefer an alternative structure (e.g., a straight stock sale), as Linden Rock expressly raised. The omission also creates a risk that shareholders consent to the election without informed understanding of the trade-off.</w:t>
      </w:r>
    </w:p>
    <w:p>
      <w:pPr>
        <w:pStyle w:val="BodyText"/>
      </w:pPr>
      <w:r>
        <w:rPr>
          <w:b/>
          <w:bCs/>
        </w:rPr>
        <w:t xml:space="preserve">Recommendation.</w:t>
      </w:r>
      <w:r>
        <w:t xml:space="preserve"> </w:t>
      </w:r>
      <w:r>
        <w:t xml:space="preserve">Add a dedicated QSBS section to the Memo addressing: (i) which shareholders’ shares were issued by a C corporation and meet the Section 1202(d) qualified-small-business requirements; (ii) whether the C-to-S conversion affects QSBS character; (iii) whether the Section 338(h)(10) deemed-asset-sale/deemed-liquidation framework permits the Section 1202 exclusion, or whether an alternative structure would preserve it; and (iv) the interaction with the escrow (per Linden Rock’s January 6 email). Note that California does not conform to the federal Section 1202 exclusion, which affects the two California-resident holders.</w:t>
      </w:r>
    </w:p>
    <w:p>
      <w:r>
        <w:pict>
          <v:rect style="width:0;height:1.5pt" o:hralign="center" o:hrstd="t" o:hr="t"/>
        </w:pict>
      </w:r>
    </w:p>
    <w:bookmarkEnd w:id="28"/>
    <w:bookmarkStart w:id="29" w:name="Xc60b1750dee6b4bd9812ac40039338a36d1d482"/>
    <w:p>
      <w:pPr>
        <w:pStyle w:val="Heading4"/>
      </w:pPr>
      <w:r>
        <w:t xml:space="preserve">C-4. Aggregate Adjusted Tax Basis Inconsistent with Asset Valuation by $21.5 Million</w:t>
      </w:r>
    </w:p>
    <w:p>
      <w:pPr>
        <w:pStyle w:val="FirstParagraph"/>
      </w:pPr>
      <w:r>
        <w:rPr>
          <w:b/>
          <w:bCs/>
        </w:rPr>
        <w:t xml:space="preserve">Severity:</w:t>
      </w:r>
      <w:r>
        <w:t xml:space="preserve"> </w:t>
      </w:r>
      <w:r>
        <w:t xml:space="preserve">Critical</w:t>
      </w:r>
    </w:p>
    <w:p>
      <w:pPr>
        <w:pStyle w:val="BodyText"/>
      </w:pPr>
      <w:r>
        <w:rPr>
          <w:b/>
          <w:bCs/>
        </w:rPr>
        <w:t xml:space="preserve">The Issue.</w:t>
      </w:r>
      <w:r>
        <w:t xml:space="preserve"> </w:t>
      </w:r>
      <w:r>
        <w:t xml:space="preserve">The Memo (Sections III.B and V.A) uses</w:t>
      </w:r>
      <w:r>
        <w:t xml:space="preserve"> </w:t>
      </w:r>
      <w:r>
        <w:rPr>
          <w:b/>
          <w:bCs/>
        </w:rPr>
        <w:t xml:space="preserve">$42,800,000</w:t>
      </w:r>
      <w:r>
        <w:t xml:space="preserve"> </w:t>
      </w:r>
      <w:r>
        <w:t xml:space="preserve">as Prism’s aggregate adjusted tax basis in its assets, and computes the total deemed sale gain as ADSP ($473M) − basis ($42.8M) =</w:t>
      </w:r>
      <w:r>
        <w:t xml:space="preserve"> </w:t>
      </w:r>
      <w:r>
        <w:rPr>
          <w:b/>
          <w:bCs/>
        </w:rPr>
        <w:t xml:space="preserve">$430,200,000</w:t>
      </w:r>
      <w:r>
        <w:t xml:space="preserve">.</w:t>
      </w:r>
    </w:p>
    <w:p>
      <w:pPr>
        <w:pStyle w:val="BodyText"/>
      </w:pPr>
      <w:r>
        <w:t xml:space="preserve">The Thornfield Asset Valuation (Asset Detail tab) lists an</w:t>
      </w:r>
      <w:r>
        <w:t xml:space="preserve"> </w:t>
      </w:r>
      <w:r>
        <w:t xml:space="preserve">“</w:t>
      </w:r>
      <w:r>
        <w:t xml:space="preserve">Adjusted Tax Basis (Book)</w:t>
      </w:r>
      <w:r>
        <w:t xml:space="preserve">”</w:t>
      </w:r>
      <w:r>
        <w:t xml:space="preserve"> </w:t>
      </w:r>
      <w:r>
        <w:t xml:space="preserve">for each asset that sums to</w:t>
      </w:r>
      <w:r>
        <w:t xml:space="preserve"> </w:t>
      </w:r>
      <w:r>
        <w:rPr>
          <w:b/>
          <w:bCs/>
        </w:rPr>
        <w:t xml:space="preserve">$64,300,000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w:t>
            </w:r>
          </w:p>
        </w:tc>
      </w:tr>
      <w:tr>
        <w:tc>
          <w:tcPr/>
          <w:p>
            <w:pPr>
              <w:pStyle w:val="Compact"/>
              <w:jc w:val="left"/>
            </w:pPr>
            <w:r>
              <w:t xml:space="preserve">Cash</w:t>
            </w:r>
          </w:p>
        </w:tc>
        <w:tc>
          <w:tcPr/>
          <w:p>
            <w:pPr>
              <w:pStyle w:val="Compact"/>
              <w:jc w:val="left"/>
            </w:pPr>
            <w:r>
              <w:t xml:space="preserve">$12,400,000</w:t>
            </w:r>
          </w:p>
        </w:tc>
      </w:tr>
      <w:tr>
        <w:tc>
          <w:tcPr/>
          <w:p>
            <w:pPr>
              <w:pStyle w:val="Compact"/>
              <w:jc w:val="left"/>
            </w:pPr>
            <w:r>
              <w:t xml:space="preserve">Accounts receivable — commercial</w:t>
            </w:r>
          </w:p>
        </w:tc>
        <w:tc>
          <w:tcPr/>
          <w:p>
            <w:pPr>
              <w:pStyle w:val="Compact"/>
              <w:jc w:val="left"/>
            </w:pPr>
            <w:r>
              <w:t xml:space="preserve">$18,700,000</w:t>
            </w:r>
          </w:p>
        </w:tc>
      </w:tr>
      <w:tr>
        <w:tc>
          <w:tcPr/>
          <w:p>
            <w:pPr>
              <w:pStyle w:val="Compact"/>
              <w:jc w:val="left"/>
            </w:pPr>
            <w:r>
              <w:t xml:space="preserve">Accounts receivable — government</w:t>
            </w:r>
          </w:p>
        </w:tc>
        <w:tc>
          <w:tcPr/>
          <w:p>
            <w:pPr>
              <w:pStyle w:val="Compact"/>
              <w:jc w:val="left"/>
            </w:pPr>
            <w:r>
              <w:t xml:space="preserve">$6,400,000</w:t>
            </w:r>
          </w:p>
        </w:tc>
      </w:tr>
      <w:tr>
        <w:tc>
          <w:tcPr/>
          <w:p>
            <w:pPr>
              <w:pStyle w:val="Compact"/>
              <w:jc w:val="left"/>
            </w:pPr>
            <w:r>
              <w:t xml:space="preserve">Real property — Raleigh office</w:t>
            </w:r>
          </w:p>
        </w:tc>
        <w:tc>
          <w:tcPr/>
          <w:p>
            <w:pPr>
              <w:pStyle w:val="Compact"/>
              <w:jc w:val="left"/>
            </w:pPr>
            <w:r>
              <w:t xml:space="preserve">$9,100,000</w:t>
            </w:r>
          </w:p>
        </w:tc>
      </w:tr>
      <w:tr>
        <w:tc>
          <w:tcPr/>
          <w:p>
            <w:pPr>
              <w:pStyle w:val="Compact"/>
              <w:jc w:val="left"/>
            </w:pPr>
            <w:r>
              <w:t xml:space="preserve">Furniture, fixtures &amp; equipment</w:t>
            </w:r>
          </w:p>
        </w:tc>
        <w:tc>
          <w:tcPr/>
          <w:p>
            <w:pPr>
              <w:pStyle w:val="Compact"/>
              <w:jc w:val="left"/>
            </w:pPr>
            <w:r>
              <w:t xml:space="preserve">$3,200,000</w:t>
            </w:r>
          </w:p>
        </w:tc>
      </w:tr>
      <w:tr>
        <w:tc>
          <w:tcPr/>
          <w:p>
            <w:pPr>
              <w:pStyle w:val="Compact"/>
              <w:jc w:val="left"/>
            </w:pPr>
            <w:r>
              <w:t xml:space="preserve">Developed technology</w:t>
            </w:r>
          </w:p>
        </w:tc>
        <w:tc>
          <w:tcPr/>
          <w:p>
            <w:pPr>
              <w:pStyle w:val="Compact"/>
              <w:jc w:val="left"/>
            </w:pPr>
            <w:r>
              <w:t xml:space="preserve">$4,800,000</w:t>
            </w:r>
          </w:p>
        </w:tc>
      </w:tr>
      <w:tr>
        <w:tc>
          <w:tcPr/>
          <w:p>
            <w:pPr>
              <w:pStyle w:val="Compact"/>
              <w:jc w:val="left"/>
            </w:pPr>
            <w:r>
              <w:t xml:space="preserve">Government software licenses</w:t>
            </w:r>
          </w:p>
        </w:tc>
        <w:tc>
          <w:tcPr/>
          <w:p>
            <w:pPr>
              <w:pStyle w:val="Compact"/>
              <w:jc w:val="left"/>
            </w:pPr>
            <w:r>
              <w:t xml:space="preserve">$1,200,000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80.5% Beacon Insights interest</w:t>
            </w:r>
          </w:p>
        </w:tc>
        <w:tc>
          <w:tcPr/>
          <w:p>
            <w:pPr>
              <w:pStyle w:val="Compact"/>
              <w:jc w:val="left"/>
            </w:pPr>
            <w:r>
              <w:t xml:space="preserve">$6,400,000</w:t>
            </w:r>
          </w:p>
        </w:tc>
      </w:tr>
      <w:tr>
        <w:tc>
          <w:tcPr/>
          <w:p>
            <w:pPr>
              <w:pStyle w:val="Compact"/>
              <w:jc w:val="left"/>
            </w:pPr>
            <w:r>
              <w:t xml:space="preserve">Customer relationships (hospital + insurer)</w:t>
            </w:r>
          </w:p>
        </w:tc>
        <w:tc>
          <w:tcPr/>
          <w:p>
            <w:pPr>
              <w:pStyle w:val="Compact"/>
              <w:jc w:val="left"/>
            </w:pPr>
            <w:r>
              <w:t xml:space="preserve">$0</w:t>
            </w:r>
          </w:p>
        </w:tc>
      </w:tr>
      <w:tr>
        <w:tc>
          <w:tcPr/>
          <w:p>
            <w:pPr>
              <w:pStyle w:val="Compact"/>
              <w:jc w:val="left"/>
            </w:pPr>
            <w:r>
              <w:t xml:space="preserve">Proprietary data sets</w:t>
            </w:r>
          </w:p>
        </w:tc>
        <w:tc>
          <w:tcPr/>
          <w:p>
            <w:pPr>
              <w:pStyle w:val="Compact"/>
              <w:jc w:val="left"/>
            </w:pPr>
            <w:r>
              <w:t xml:space="preserve">$2,100,000</w:t>
            </w:r>
          </w:p>
        </w:tc>
      </w:tr>
      <w:tr>
        <w:tc>
          <w:tcPr/>
          <w:p>
            <w:pPr>
              <w:pStyle w:val="Compact"/>
              <w:jc w:val="left"/>
            </w:pPr>
            <w:r>
              <w:t xml:space="preserve">Non-compete / workforce / 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t xml:space="preserve">The $21.5M discrepancy is unexplained. The Memo describes its $42.8M figure only as</w:t>
      </w:r>
      <w:r>
        <w:t xml:space="preserve"> </w:t>
      </w:r>
      <w:r>
        <w:t xml:space="preserve">“</w:t>
      </w:r>
      <w:r>
        <w:t xml:space="preserve">as of the most recent available date … reflecting additions, dispositions, and depreciation deductions,</w:t>
      </w:r>
      <w:r>
        <w:t xml:space="preserve">”</w:t>
      </w:r>
      <w:r>
        <w:t xml:space="preserve"> </w:t>
      </w:r>
      <w:r>
        <w:t xml:space="preserve">with no reconciliation to the Asset Valuation. No obvious subset of the Asset Valuation’s line items produces $42.8M.</w:t>
      </w:r>
    </w:p>
    <w:p>
      <w:pPr>
        <w:pStyle w:val="BodyText"/>
      </w:pPr>
      <w:r>
        <w:rPr>
          <w:b/>
          <w:bCs/>
        </w:rPr>
        <w:t xml:space="preserve">Document Cross-References.</w:t>
      </w:r>
      <w:r>
        <w:t xml:space="preserve"> </w:t>
      </w:r>
      <w:r>
        <w:t xml:space="preserve">Memo §III.B and §V.A ($42.8M); Asset Valuation,</w:t>
      </w:r>
      <w:r>
        <w:t xml:space="preserve"> </w:t>
      </w:r>
      <w:r>
        <w:t xml:space="preserve">“</w:t>
      </w:r>
      <w:r>
        <w:t xml:space="preserve">Asset Detail</w:t>
      </w:r>
      <w:r>
        <w:t xml:space="preserve">”</w:t>
      </w:r>
      <w:r>
        <w:t xml:space="preserve"> </w:t>
      </w:r>
      <w:r>
        <w:t xml:space="preserve">tab ($64.3M aggregate).</w:t>
      </w:r>
    </w:p>
    <w:p>
      <w:pPr>
        <w:pStyle w:val="BodyText"/>
      </w:pPr>
      <w:r>
        <w:rPr>
          <w:b/>
          <w:bCs/>
        </w:rPr>
        <w:t xml:space="preserve">Impact.</w:t>
      </w:r>
      <w:r>
        <w:t xml:space="preserve"> </w:t>
      </w:r>
      <w:r>
        <w:t xml:space="preserve">The deemed sale gain is directly affected. Using the corrected ADSP (~$425M per C-1) and the Asset Valuation basis ($64.3M), the deemed sale gain would be approximately</w:t>
      </w:r>
      <w:r>
        <w:t xml:space="preserve"> </w:t>
      </w:r>
      <w:r>
        <w:rPr>
          <w:b/>
          <w:bCs/>
        </w:rPr>
        <w:t xml:space="preserve">$360.7M</w:t>
      </w:r>
      <w:r>
        <w:t xml:space="preserve">, versus the Memo’s</w:t>
      </w:r>
      <w:r>
        <w:t xml:space="preserve"> </w:t>
      </w:r>
      <w:r>
        <w:rPr>
          <w:b/>
          <w:bCs/>
        </w:rPr>
        <w:t xml:space="preserve">$430.2M</w:t>
      </w:r>
      <w:r>
        <w:t xml:space="preserve"> </w:t>
      </w:r>
      <w:r>
        <w:t xml:space="preserve">— an overstatement of up to</w:t>
      </w:r>
      <w:r>
        <w:t xml:space="preserve"> </w:t>
      </w:r>
      <w:r>
        <w:rPr>
          <w:b/>
          <w:bCs/>
        </w:rPr>
        <w:t xml:space="preserve">~$69.5M</w:t>
      </w:r>
      <w:r>
        <w:t xml:space="preserve"> </w:t>
      </w:r>
      <w:r>
        <w:t xml:space="preserve">when both the ADSP and basis errors are considered together. This gain passes through to the shareholders’ K-1s and drives their federal and state tax liability. The Memo’s per-shareholder gain figures (e.g., Chandra $223.7M; Stowe $120.5M; others $86.0M) are all overstated accordingly.</w:t>
      </w:r>
    </w:p>
    <w:p>
      <w:pPr>
        <w:pStyle w:val="BodyText"/>
      </w:pPr>
      <w:r>
        <w:rPr>
          <w:b/>
          <w:bCs/>
        </w:rPr>
        <w:t xml:space="preserve">Recommendation.</w:t>
      </w:r>
      <w:r>
        <w:t xml:space="preserve"> </w:t>
      </w:r>
      <w:r>
        <w:t xml:space="preserve">Reconcile the aggregate adjusted tax basis to the Asset Valuation detail. If a different basis figure is intended, document the reconciliation line-by-line. Recompute the deemed sale gain and all per-shareholder allocations on a corrected basis.</w:t>
      </w:r>
    </w:p>
    <w:p>
      <w:r>
        <w:pict>
          <v:rect style="width:0;height:1.5pt" o:hralign="center" o:hrstd="t" o:hr="t"/>
        </w:pict>
      </w:r>
    </w:p>
    <w:bookmarkEnd w:id="29"/>
    <w:bookmarkEnd w:id="30"/>
    <w:bookmarkStart w:id="36" w:name="b.-high-severity-findings"/>
    <w:p>
      <w:pPr>
        <w:pStyle w:val="Heading3"/>
      </w:pPr>
      <w:r>
        <w:t xml:space="preserve">B. High-Severity Findings</w:t>
      </w:r>
    </w:p>
    <w:p>
      <w:r>
        <w:pict>
          <v:rect style="width:0;height:1.5pt" o:hralign="center" o:hrstd="t" o:hr="t"/>
        </w:pict>
      </w:r>
    </w:p>
    <w:bookmarkStart w:id="31" w:name="Xf7ffbdd51fb84d9922e83ea2325135f10f4402d"/>
    <w:p>
      <w:pPr>
        <w:pStyle w:val="Heading4"/>
      </w:pPr>
      <w:r>
        <w:t xml:space="preserve">H-1. Class V Allocation Understated by $28.5 Million (Developed Technology and Government Software Licenses)</w:t>
      </w:r>
    </w:p>
    <w:p>
      <w:pPr>
        <w:pStyle w:val="FirstParagraph"/>
      </w:pPr>
      <w:r>
        <w:rPr>
          <w:b/>
          <w:bCs/>
        </w:rPr>
        <w:t xml:space="preserve">Severity:</w:t>
      </w:r>
      <w:r>
        <w:t xml:space="preserve"> </w:t>
      </w:r>
      <w:r>
        <w:t xml:space="preserve">High</w:t>
      </w:r>
    </w:p>
    <w:p>
      <w:pPr>
        <w:pStyle w:val="BodyText"/>
      </w:pPr>
      <w:r>
        <w:rPr>
          <w:b/>
          <w:bCs/>
        </w:rPr>
        <w:t xml:space="preserve">The Issue.</w:t>
      </w:r>
      <w:r>
        <w:t xml:space="preserve"> </w:t>
      </w:r>
      <w:r>
        <w:t xml:space="preserve">The Memo’s Class V allocation is $68,500,000 (real property $14.2M + FF&amp;E $6.8M +</w:t>
      </w:r>
      <w:r>
        <w:t xml:space="preserve"> </w:t>
      </w:r>
      <w:r>
        <w:t xml:space="preserve">“</w:t>
      </w:r>
      <w:r>
        <w:t xml:space="preserve">Software / Developed Technology</w:t>
      </w:r>
      <w:r>
        <w:t xml:space="preserve">”</w:t>
      </w:r>
      <w:r>
        <w:t xml:space="preserve"> </w:t>
      </w:r>
      <w:r>
        <w:t xml:space="preserve">$19.0M + Beacon 80.5% interest $28.5M). The Thornfield Asset Valuation supports Class V of</w:t>
      </w:r>
      <w:r>
        <w:t xml:space="preserve"> </w:t>
      </w:r>
      <w:r>
        <w:rPr>
          <w:b/>
          <w:bCs/>
        </w:rPr>
        <w:t xml:space="preserve">$97,000,000</w:t>
      </w:r>
      <w:r>
        <w:t xml:space="preserve">, with the $28.5M difference attributable to two items:</w:t>
      </w:r>
    </w:p>
    <w:p>
      <w:pPr>
        <w:pStyle w:val="Compact"/>
        <w:numPr>
          <w:ilvl w:val="0"/>
          <w:numId w:val="1003"/>
        </w:numPr>
      </w:pPr>
      <w:r>
        <w:rPr>
          <w:b/>
          <w:bCs/>
        </w:rPr>
        <w:t xml:space="preserve">Developed technology:</w:t>
      </w:r>
      <w:r>
        <w:t xml:space="preserve"> </w:t>
      </w:r>
      <w:r>
        <w:t xml:space="preserve">Memo $19.0M vs. Thornfield $41.8M — a</w:t>
      </w:r>
      <w:r>
        <w:t xml:space="preserve"> </w:t>
      </w:r>
      <w:r>
        <w:rPr>
          <w:b/>
          <w:bCs/>
        </w:rPr>
        <w:t xml:space="preserve">$22.8M understatement</w:t>
      </w:r>
      <w:r>
        <w:t xml:space="preserve"> </w:t>
      </w:r>
      <w:r>
        <w:t xml:space="preserve">(relief-from-royalty method).</w:t>
      </w:r>
    </w:p>
    <w:p>
      <w:pPr>
        <w:pStyle w:val="Compact"/>
        <w:numPr>
          <w:ilvl w:val="0"/>
          <w:numId w:val="1003"/>
        </w:numPr>
      </w:pPr>
      <w:r>
        <w:rPr>
          <w:b/>
          <w:bCs/>
        </w:rPr>
        <w:t xml:space="preserve">Government software licenses (Prism Data Services):</w:t>
      </w:r>
      <w:r>
        <w:t xml:space="preserve"> </w:t>
      </w:r>
      <w:r>
        <w:t xml:space="preserve">Memo $0 (omitted entirely) vs. Thornfield $5.7M — a</w:t>
      </w:r>
      <w:r>
        <w:t xml:space="preserve"> </w:t>
      </w:r>
      <w:r>
        <w:rPr>
          <w:b/>
          <w:bCs/>
        </w:rPr>
        <w:t xml:space="preserve">$5.7M omission</w:t>
      </w:r>
      <w:r>
        <w:t xml:space="preserve"> </w:t>
      </w:r>
      <w:r>
        <w:t xml:space="preserve">(income/DCF approach).</w:t>
      </w:r>
    </w:p>
    <w:p>
      <w:pPr>
        <w:pStyle w:val="FirstParagraph"/>
      </w:pPr>
      <w:r>
        <w:t xml:space="preserve">(The Beacon 80.5% interest of $28.5M is included in both the Memo and Thornfield; contrary to Thornfield’s Note 2, the Memo does</w:t>
      </w:r>
      <w:r>
        <w:t xml:space="preserve"> </w:t>
      </w:r>
      <w:r>
        <w:rPr>
          <w:i/>
          <w:iCs/>
        </w:rPr>
        <w:t xml:space="preserve">not</w:t>
      </w:r>
      <w:r>
        <w:t xml:space="preserve"> </w:t>
      </w:r>
      <w:r>
        <w:t xml:space="preserve">omit the Beacon interest — the actual variance is the developed-technology and government-license items.)</w:t>
      </w:r>
    </w:p>
    <w:p>
      <w:pPr>
        <w:pStyle w:val="BodyText"/>
      </w:pPr>
      <w:r>
        <w:t xml:space="preserve">The understated Class V, combined with the overstated ADSP (C-1), inflates the Class VII goodwill residual by</w:t>
      </w:r>
      <w:r>
        <w:t xml:space="preserve"> </w:t>
      </w:r>
      <w:r>
        <w:rPr>
          <w:b/>
          <w:bCs/>
        </w:rPr>
        <w:t xml:space="preserve">$76.5M in aggregate</w:t>
      </w:r>
      <w:r>
        <w:t xml:space="preserve"> </w:t>
      </w:r>
      <w:r>
        <w:t xml:space="preserve">(Memo $272.8M vs. Thornfield $196.3M).</w:t>
      </w:r>
    </w:p>
    <w:p>
      <w:pPr>
        <w:pStyle w:val="BodyText"/>
      </w:pPr>
      <w:r>
        <w:rPr>
          <w:b/>
          <w:bCs/>
        </w:rPr>
        <w:t xml:space="preserve">Document Cross-References.</w:t>
      </w:r>
      <w:r>
        <w:t xml:space="preserve"> </w:t>
      </w:r>
      <w:r>
        <w:t xml:space="preserve">Memo §IV.C (Class V table); Asset Valuation,</w:t>
      </w:r>
      <w:r>
        <w:t xml:space="preserve"> </w:t>
      </w:r>
      <w:r>
        <w:t xml:space="preserve">“</w:t>
      </w:r>
      <w:r>
        <w:t xml:space="preserve">Asset Detail</w:t>
      </w:r>
      <w:r>
        <w:t xml:space="preserve">”</w:t>
      </w:r>
      <w:r>
        <w:t xml:space="preserve"> </w:t>
      </w:r>
      <w:r>
        <w:t xml:space="preserve">(A-006 developed technology $41.8M; A-007 government software licenses $5.7M) and</w:t>
      </w:r>
      <w:r>
        <w:t xml:space="preserve"> </w:t>
      </w:r>
      <w:r>
        <w:t xml:space="preserve">“</w:t>
      </w:r>
      <w:r>
        <w:t xml:space="preserve">Allocation Summary</w:t>
      </w:r>
      <w:r>
        <w:t xml:space="preserve">”</w:t>
      </w:r>
      <w:r>
        <w:t xml:space="preserve"> </w:t>
      </w:r>
      <w:r>
        <w:t xml:space="preserve">(Class V variance $28.5M).</w:t>
      </w:r>
    </w:p>
    <w:p>
      <w:pPr>
        <w:pStyle w:val="BodyText"/>
      </w:pPr>
      <w:r>
        <w:rPr>
          <w:b/>
          <w:bCs/>
        </w:rPr>
        <w:t xml:space="preserve">Impact.</w:t>
      </w:r>
      <w:r>
        <w:t xml:space="preserve"> </w:t>
      </w:r>
      <w:r>
        <w:t xml:space="preserve">Misallocation between Class V (developed technology, amortizable under Section 167 over ~5 years) and Class VII goodwill (amortizable under Section 197 over 15 years) distorts the timing of the Buyer’s tax deductions — front-loading value into a 15-year recovery category that should be in a 5-year category — and overstates total goodwill. The government-software-license omission also understates the value attributable to the Prism Data Services government business.</w:t>
      </w:r>
    </w:p>
    <w:p>
      <w:pPr>
        <w:pStyle w:val="BodyText"/>
      </w:pPr>
      <w:r>
        <w:rPr>
          <w:b/>
          <w:bCs/>
        </w:rPr>
        <w:t xml:space="preserve">Recommendation.</w:t>
      </w:r>
      <w:r>
        <w:t xml:space="preserve"> </w:t>
      </w:r>
      <w:r>
        <w:t xml:space="preserve">Revise Class V to reflect developed technology at $41.8M and add government software licenses at $5.7M. Reconcile the</w:t>
      </w:r>
      <w:r>
        <w:t xml:space="preserve"> </w:t>
      </w:r>
      <w:r>
        <w:t xml:space="preserve">“</w:t>
      </w:r>
      <w:r>
        <w:t xml:space="preserve">Software / Developed Technology</w:t>
      </w:r>
      <w:r>
        <w:t xml:space="preserve">”</w:t>
      </w:r>
      <w:r>
        <w:t xml:space="preserve"> </w:t>
      </w:r>
      <w:r>
        <w:t xml:space="preserve">line to the Asset Valuation. Recompute the Class VII residual.</w:t>
      </w:r>
    </w:p>
    <w:p>
      <w:r>
        <w:pict>
          <v:rect style="width:0;height:1.5pt" o:hralign="center" o:hrstd="t" o:hr="t"/>
        </w:pict>
      </w:r>
    </w:p>
    <w:bookmarkEnd w:id="31"/>
    <w:bookmarkStart w:id="32" w:name="Xd3f627c3a63449fc2ebc43d8c7a8d589fe129d9"/>
    <w:p>
      <w:pPr>
        <w:pStyle w:val="Heading4"/>
      </w:pPr>
      <w:r>
        <w:t xml:space="preserve">H-2. North Carolina Data Processing License Is Non-Transferable — Potential Impairment of ~$19M Government Revenue</w:t>
      </w:r>
    </w:p>
    <w:p>
      <w:pPr>
        <w:pStyle w:val="FirstParagraph"/>
      </w:pPr>
      <w:r>
        <w:rPr>
          <w:b/>
          <w:bCs/>
        </w:rPr>
        <w:t xml:space="preserve">Severity:</w:t>
      </w:r>
      <w:r>
        <w:t xml:space="preserve"> </w:t>
      </w:r>
      <w:r>
        <w:t xml:space="preserve">High</w:t>
      </w:r>
    </w:p>
    <w:p>
      <w:pPr>
        <w:pStyle w:val="BodyText"/>
      </w:pPr>
      <w:r>
        <w:rPr>
          <w:b/>
          <w:bCs/>
        </w:rPr>
        <w:t xml:space="preserve">The Issue.</w:t>
      </w:r>
      <w:r>
        <w:t xml:space="preserve"> </w:t>
      </w:r>
      <w:r>
        <w:t xml:space="preserve">The NC Data Processing License (No. DIT-2019-04821), held by Prism Data Services, LLC, is</w:t>
      </w:r>
      <w:r>
        <w:t xml:space="preserve"> </w:t>
      </w:r>
      <w:r>
        <w:rPr>
          <w:b/>
          <w:bCs/>
        </w:rPr>
        <w:t xml:space="preserve">non-transferable and non-assignable</w:t>
      </w:r>
      <w:r>
        <w:t xml:space="preserve"> </w:t>
      </w:r>
      <w:r>
        <w:t xml:space="preserve">per its terms — a fact confirmed in both the Asset Valuation (A-008) and the SPA (Section 4.9(i)). The Asset Valuation assigns the license $0 FMV and warns:</w:t>
      </w:r>
      <w:r>
        <w:t xml:space="preserve"> </w:t>
      </w:r>
      <w:r>
        <w:rPr>
          <w:i/>
          <w:iCs/>
        </w:rPr>
        <w:t xml:space="preserve">“</w:t>
      </w:r>
      <w:r>
        <w:rPr>
          <w:i/>
          <w:iCs/>
        </w:rPr>
        <w:t xml:space="preserve">In a deemed asset sale under §338(h)(10), this license cannot be transferred and may need to be re-obtained by the surviving entity … If terminated, value associated with the government business line should be reassigned to goodwill or reduced … the ongoing government-sector revenue (~$19M) attributable to the license may be impaired, affecting the overall enterprise value and PPA.</w:t>
      </w:r>
      <w:r>
        <w:rPr>
          <w:i/>
          <w:iCs/>
        </w:rPr>
        <w:t xml:space="preserve">”</w:t>
      </w:r>
    </w:p>
    <w:p>
      <w:pPr>
        <w:pStyle w:val="BodyText"/>
      </w:pPr>
      <w:r>
        <w:t xml:space="preserve">The Memo mentions the license in four separate places (Sections II.A, III.C, VI.A, IX.A) but each time dismisses it as a</w:t>
      </w:r>
      <w:r>
        <w:t xml:space="preserve"> </w:t>
      </w:r>
      <w:r>
        <w:t xml:space="preserve">“</w:t>
      </w:r>
      <w:r>
        <w:t xml:space="preserve">commercial matter to be addressed by deal counsel,</w:t>
      </w:r>
      <w:r>
        <w:t xml:space="preserve">”</w:t>
      </w:r>
      <w:r>
        <w:t xml:space="preserve"> </w:t>
      </w:r>
      <w:r>
        <w:t xml:space="preserve">and asserts that</w:t>
      </w:r>
      <w:r>
        <w:t xml:space="preserve"> </w:t>
      </w:r>
      <w:r>
        <w:t xml:space="preserve">“</w:t>
      </w:r>
      <w:r>
        <w:t xml:space="preserve">we expect that the existing license should remain valid post-closing, subject to confirmation.</w:t>
      </w:r>
      <w:r>
        <w:t xml:space="preserve">”</w:t>
      </w:r>
      <w:r>
        <w:t xml:space="preserve"> </w:t>
      </w:r>
      <w:r>
        <w:t xml:space="preserve">The Memo does not analyze the tension between (i) the Section 338(h)(10) deemed asset sale (which treats the license as a deemed-transferred asset) and (ii) the license’s non-transferability, nor the consequences for the ~$19M government-sector revenue stream that depends on it.</w:t>
      </w:r>
    </w:p>
    <w:p>
      <w:pPr>
        <w:pStyle w:val="BodyText"/>
      </w:pPr>
      <w:r>
        <w:rPr>
          <w:b/>
          <w:bCs/>
        </w:rPr>
        <w:t xml:space="preserve">Document Cross-References.</w:t>
      </w:r>
      <w:r>
        <w:t xml:space="preserve"> </w:t>
      </w:r>
      <w:r>
        <w:t xml:space="preserve">Memo §II.A, §III.C, §VI.A, §IX.A; Asset Valuation A-008; SPA §4.9(i).</w:t>
      </w:r>
    </w:p>
    <w:p>
      <w:pPr>
        <w:pStyle w:val="BodyText"/>
      </w:pPr>
      <w:r>
        <w:rPr>
          <w:b/>
          <w:bCs/>
        </w:rPr>
        <w:t xml:space="preserve">Impact.</w:t>
      </w:r>
      <w:r>
        <w:t xml:space="preserve"> </w:t>
      </w:r>
      <w:r>
        <w:t xml:space="preserve">If the license is deemed terminated upon the change of control / deemed asset sale, the government business (≈$19M annual revenue) may be impaired, which would affect enterprise value, the PPA, and the going-concern assumptions underlying the goodwill allocation. This is not merely a</w:t>
      </w:r>
      <w:r>
        <w:t xml:space="preserve"> </w:t>
      </w:r>
      <w:r>
        <w:t xml:space="preserve">“</w:t>
      </w:r>
      <w:r>
        <w:t xml:space="preserve">commercial matter</w:t>
      </w:r>
      <w:r>
        <w:t xml:space="preserve">”</w:t>
      </w:r>
      <w:r>
        <w:t xml:space="preserve"> </w:t>
      </w:r>
      <w:r>
        <w:t xml:space="preserve">— it has direct tax-valuation consequences for the deemed sale.</w:t>
      </w:r>
    </w:p>
    <w:p>
      <w:pPr>
        <w:pStyle w:val="BodyText"/>
      </w:pPr>
      <w:r>
        <w:rPr>
          <w:b/>
          <w:bCs/>
        </w:rPr>
        <w:t xml:space="preserve">Recommendation.</w:t>
      </w:r>
      <w:r>
        <w:t xml:space="preserve"> </w:t>
      </w:r>
      <w:r>
        <w:t xml:space="preserve">Obtain a definitive legal opinion on whether the license survives the reverse triangular merger and/or the Section 338(h)(10) deemed asset sale. If it does not survive, re-evaluate the government-business value in the PPA and the enterprise-value support. Reflect the outcome in the Memo rather than deferring it generically to</w:t>
      </w:r>
      <w:r>
        <w:t xml:space="preserve"> </w:t>
      </w:r>
      <w:r>
        <w:t xml:space="preserve">“</w:t>
      </w:r>
      <w:r>
        <w:t xml:space="preserve">deal counsel.</w:t>
      </w:r>
      <w:r>
        <w:t xml:space="preserve">”</w:t>
      </w:r>
    </w:p>
    <w:p>
      <w:r>
        <w:pict>
          <v:rect style="width:0;height:1.5pt" o:hralign="center" o:hrstd="t" o:hr="t"/>
        </w:pict>
      </w:r>
    </w:p>
    <w:bookmarkEnd w:id="32"/>
    <w:bookmarkStart w:id="33" w:name="X43ff82469fd31452a9180058fd2ec7b88a29a2d"/>
    <w:p>
      <w:pPr>
        <w:pStyle w:val="Heading4"/>
      </w:pPr>
      <w:r>
        <w:t xml:space="preserve">H-3. Beacon Insights — Section 754 Election, Section 751</w:t>
      </w:r>
      <w:r>
        <w:t xml:space="preserve"> </w:t>
      </w:r>
      <w:r>
        <w:t xml:space="preserve">“</w:t>
      </w:r>
      <w:r>
        <w:t xml:space="preserve">Hot Assets,</w:t>
      </w:r>
      <w:r>
        <w:t xml:space="preserve">”</w:t>
      </w:r>
      <w:r>
        <w:t xml:space="preserve"> </w:t>
      </w:r>
      <w:r>
        <w:t xml:space="preserve">and Look-Through Analysis Omitted</w:t>
      </w:r>
    </w:p>
    <w:p>
      <w:pPr>
        <w:pStyle w:val="FirstParagraph"/>
      </w:pPr>
      <w:r>
        <w:rPr>
          <w:b/>
          <w:bCs/>
        </w:rPr>
        <w:t xml:space="preserve">Severity:</w:t>
      </w:r>
      <w:r>
        <w:t xml:space="preserve"> </w:t>
      </w:r>
      <w:r>
        <w:t xml:space="preserve">High</w:t>
      </w:r>
    </w:p>
    <w:p>
      <w:pPr>
        <w:pStyle w:val="BodyText"/>
      </w:pPr>
      <w:r>
        <w:rPr>
          <w:b/>
          <w:bCs/>
        </w:rPr>
        <w:t xml:space="preserve">The Issue.</w:t>
      </w:r>
      <w:r>
        <w:t xml:space="preserve"> </w:t>
      </w:r>
      <w:r>
        <w:t xml:space="preserve">The Memo (Section VIII) treats the deemed disposition of Prism’s 80.5% Beacon interest as generating</w:t>
      </w:r>
      <w:r>
        <w:t xml:space="preserve"> </w:t>
      </w:r>
      <w:r>
        <w:rPr>
          <w:b/>
          <w:bCs/>
        </w:rPr>
        <w:t xml:space="preserve">$22.1M of long-term capital gain</w:t>
      </w:r>
      <w:r>
        <w:t xml:space="preserve"> </w:t>
      </w:r>
      <w:r>
        <w:t xml:space="preserve">($28.5M FMV − $6.4M outside basis) and states the gain</w:t>
      </w:r>
      <w:r>
        <w:t xml:space="preserve"> </w:t>
      </w:r>
      <w:r>
        <w:t xml:space="preserve">“</w:t>
      </w:r>
      <w:r>
        <w:t xml:space="preserve">is expected to be long-term capital gain, given that Prism has held its membership interest in Beacon for more than one year.</w:t>
      </w:r>
      <w:r>
        <w:t xml:space="preserve">”</w:t>
      </w:r>
      <w:r>
        <w:t xml:space="preserve"> </w:t>
      </w:r>
      <w:r>
        <w:t xml:space="preserve">This conclusion is incomplete in three respects flagged by the due diligence record:</w:t>
      </w:r>
    </w:p>
    <w:p>
      <w:pPr>
        <w:numPr>
          <w:ilvl w:val="0"/>
          <w:numId w:val="1004"/>
        </w:numPr>
      </w:pPr>
      <w:r>
        <w:rPr>
          <w:b/>
          <w:bCs/>
        </w:rPr>
        <w:t xml:space="preserve">Section 751</w:t>
      </w:r>
      <w:r>
        <w:rPr>
          <w:b/>
          <w:bCs/>
        </w:rPr>
        <w:t xml:space="preserve"> </w:t>
      </w:r>
      <w:r>
        <w:rPr>
          <w:b/>
          <w:bCs/>
        </w:rPr>
        <w:t xml:space="preserve">“</w:t>
      </w:r>
      <w:r>
        <w:rPr>
          <w:b/>
          <w:bCs/>
        </w:rPr>
        <w:t xml:space="preserve">hot assets.</w:t>
      </w:r>
      <w:r>
        <w:rPr>
          <w:b/>
          <w:bCs/>
        </w:rPr>
        <w:t xml:space="preserve">”</w:t>
      </w:r>
      <w:r>
        <w:t xml:space="preserve"> </w:t>
      </w:r>
      <w:r>
        <w:t xml:space="preserve">The TDD Report (Section VI.B) notes that Beacon’s underlying assets include accounts receivable (~$2.1M) and accrued unbilled revenue (~$1.8M), which are</w:t>
      </w:r>
      <w:r>
        <w:t xml:space="preserve"> </w:t>
      </w:r>
      <w:r>
        <w:t xml:space="preserve">“</w:t>
      </w:r>
      <w:r>
        <w:t xml:space="preserve">hot assets</w:t>
      </w:r>
      <w:r>
        <w:t xml:space="preserve">”</w:t>
      </w:r>
      <w:r>
        <w:t xml:space="preserve"> </w:t>
      </w:r>
      <w:r>
        <w:t xml:space="preserve">under Section 751. Under Section 751, the portion of the gain attributable to unrealized receivables and substantially appreciated inventory items is recharacterized as</w:t>
      </w:r>
      <w:r>
        <w:t xml:space="preserve"> </w:t>
      </w:r>
      <w:r>
        <w:rPr>
          <w:b/>
          <w:bCs/>
        </w:rPr>
        <w:t xml:space="preserve">ordinary income</w:t>
      </w:r>
      <w:r>
        <w:t xml:space="preserve">, not capital gain. The Memo does not address Section 751 at all; its unqualified</w:t>
      </w:r>
      <w:r>
        <w:t xml:space="preserve"> </w:t>
      </w:r>
      <w:r>
        <w:t xml:space="preserve">“</w:t>
      </w:r>
      <w:r>
        <w:t xml:space="preserve">long-term capital gain</w:t>
      </w:r>
      <w:r>
        <w:t xml:space="preserve">”</w:t>
      </w:r>
      <w:r>
        <w:t xml:space="preserve"> </w:t>
      </w:r>
      <w:r>
        <w:t xml:space="preserve">characterization is therefore potentially wrong as to ~$3.9M of the gain.</w:t>
      </w:r>
    </w:p>
    <w:p>
      <w:pPr>
        <w:numPr>
          <w:ilvl w:val="0"/>
          <w:numId w:val="1004"/>
        </w:numPr>
      </w:pPr>
      <w:r>
        <w:rPr>
          <w:b/>
          <w:bCs/>
        </w:rPr>
        <w:t xml:space="preserve">Section 754 election.</w:t>
      </w:r>
      <w:r>
        <w:t xml:space="preserve"> </w:t>
      </w:r>
      <w:r>
        <w:t xml:space="preserve">The Beacon OA (Section 11.05) states that</w:t>
      </w:r>
      <w:r>
        <w:t xml:space="preserve"> </w:t>
      </w:r>
      <w:r>
        <w:rPr>
          <w:b/>
          <w:bCs/>
        </w:rPr>
        <w:t xml:space="preserve">no Section 754 election is currently in effect</w:t>
      </w:r>
      <w:r>
        <w:t xml:space="preserve">, and that such an election would be made only at the Partnership Representative’s (i.e., Prism’s) discretion. The Asset Valuation (A-009) warns that</w:t>
      </w:r>
      <w:r>
        <w:t xml:space="preserve"> </w:t>
      </w:r>
      <w:r>
        <w:t xml:space="preserve">“</w:t>
      </w:r>
      <w:r>
        <w:t xml:space="preserve">the amortization and depreciation treatment of the step-up allocated to this interest will depend on the nature of Beacon’s underlying assets and whether a §754 election is made by Beacon.</w:t>
      </w:r>
      <w:r>
        <w:t xml:space="preserve">”</w:t>
      </w:r>
      <w:r>
        <w:t xml:space="preserve"> </w:t>
      </w:r>
      <w:r>
        <w:t xml:space="preserve">A Section 754 election (producing a Section 743(b) special basis adjustment) would allow the Buyer to step up the inside basis in Beacon’s assets, materially affecting the Buyer’s post-closing deductions. The Memo does not address whether a 754 election should be made.</w:t>
      </w:r>
    </w:p>
    <w:p>
      <w:pPr>
        <w:numPr>
          <w:ilvl w:val="0"/>
          <w:numId w:val="1004"/>
        </w:numPr>
      </w:pPr>
      <w:r>
        <w:rPr>
          <w:b/>
          <w:bCs/>
        </w:rPr>
        <w:t xml:space="preserve">Look-through analysis.</w:t>
      </w:r>
      <w:r>
        <w:t xml:space="preserve"> </w:t>
      </w:r>
      <w:r>
        <w:t xml:space="preserve">Thornfield expressly states it</w:t>
      </w:r>
      <w:r>
        <w:t xml:space="preserve"> </w:t>
      </w:r>
      <w:r>
        <w:t xml:space="preserve">“</w:t>
      </w:r>
      <w:r>
        <w:t xml:space="preserve">has not performed a look-through analysis of Beacon’s underlying assets.</w:t>
      </w:r>
      <w:r>
        <w:t xml:space="preserve">”</w:t>
      </w:r>
      <w:r>
        <w:t xml:space="preserve"> </w:t>
      </w:r>
      <w:r>
        <w:t xml:space="preserve">The Memo likewise does not look through to Beacon’s assets, yet classifies the partnership interest wholesale as a Class V asset and characterizes the gain as capital. The proper treatment of the step-up allocated to the Beacon interest requires understanding Beacon’s underlying asset mix.</w:t>
      </w:r>
    </w:p>
    <w:p>
      <w:pPr>
        <w:pStyle w:val="FirstParagraph"/>
      </w:pPr>
      <w:r>
        <w:rPr>
          <w:b/>
          <w:bCs/>
        </w:rPr>
        <w:t xml:space="preserve">Document Cross-References.</w:t>
      </w:r>
      <w:r>
        <w:t xml:space="preserve"> </w:t>
      </w:r>
      <w:r>
        <w:t xml:space="preserve">Memo §VIII (and §III.C, §IV.C); TDD Report §VI.B (hot assets); Beacon OA §11.05 (no 754 election); Asset Valuation A-009.</w:t>
      </w:r>
    </w:p>
    <w:p>
      <w:pPr>
        <w:pStyle w:val="BodyText"/>
      </w:pPr>
      <w:r>
        <w:rPr>
          <w:b/>
          <w:bCs/>
        </w:rPr>
        <w:t xml:space="preserve">Impact.</w:t>
      </w:r>
      <w:r>
        <w:t xml:space="preserve"> </w:t>
      </w:r>
      <w:r>
        <w:t xml:space="preserve">(i) Mischaracterization of a portion of the gain as capital rather than ordinary (affecting shareholder tax rates — up to 37% + 3.8% NIIT vs. 23.8%); (ii) potential loss of Buyer inside-basis step-up in Beacon absent a 754 election; (iii) incomplete PPA for a $28.5M asset.</w:t>
      </w:r>
    </w:p>
    <w:p>
      <w:pPr>
        <w:pStyle w:val="BodyText"/>
      </w:pPr>
      <w:r>
        <w:rPr>
          <w:b/>
          <w:bCs/>
        </w:rPr>
        <w:t xml:space="preserve">Recommendation.</w:t>
      </w:r>
      <w:r>
        <w:t xml:space="preserve"> </w:t>
      </w:r>
      <w:r>
        <w:t xml:space="preserve">Perform the Section 751 hot-asset analysis and recharacterize the ordinary-income portion of the Beacon gain. Analyze whether a Beacon Section 754 election is advisable and, if so, prepare the Section 743(b) basis-adjustment computations. Conduct (or commission) the Beacon look-through analysis.</w:t>
      </w:r>
    </w:p>
    <w:p>
      <w:r>
        <w:pict>
          <v:rect style="width:0;height:1.5pt" o:hralign="center" o:hrstd="t" o:hr="t"/>
        </w:pict>
      </w:r>
    </w:p>
    <w:bookmarkEnd w:id="33"/>
    <w:bookmarkStart w:id="34" w:name="X48c2de07aca9228c9a0efc7349efb0c61a94713"/>
    <w:p>
      <w:pPr>
        <w:pStyle w:val="Heading4"/>
      </w:pPr>
      <w:r>
        <w:t xml:space="preserve">H-4. Beacon Change-of-Control Triggers (ROFR and IP-License Termination) Not Analyzed — Express Closing Condition</w:t>
      </w:r>
    </w:p>
    <w:p>
      <w:pPr>
        <w:pStyle w:val="FirstParagraph"/>
      </w:pPr>
      <w:r>
        <w:rPr>
          <w:b/>
          <w:bCs/>
        </w:rPr>
        <w:t xml:space="preserve">Severity:</w:t>
      </w:r>
      <w:r>
        <w:t xml:space="preserve"> </w:t>
      </w:r>
      <w:r>
        <w:t xml:space="preserve">High</w:t>
      </w:r>
    </w:p>
    <w:p>
      <w:pPr>
        <w:pStyle w:val="BodyText"/>
      </w:pPr>
      <w:r>
        <w:rPr>
          <w:b/>
          <w:bCs/>
        </w:rPr>
        <w:t xml:space="preserve">The Issue.</w:t>
      </w:r>
      <w:r>
        <w:t xml:space="preserve"> </w:t>
      </w:r>
      <w:r>
        <w:t xml:space="preserve">The Beacon OA contains two change-of-control provisions directly implicated by the transaction that the Memo does not analyze:</w:t>
      </w:r>
    </w:p>
    <w:p>
      <w:pPr>
        <w:numPr>
          <w:ilvl w:val="0"/>
          <w:numId w:val="1005"/>
        </w:numPr>
      </w:pPr>
      <w:r>
        <w:rPr>
          <w:b/>
          <w:bCs/>
        </w:rPr>
        <w:t xml:space="preserve">Right of First Refusal (Section 8.03).</w:t>
      </w:r>
      <w:r>
        <w:t xml:space="preserve"> </w:t>
      </w:r>
      <w:r>
        <w:t xml:space="preserve">A</w:t>
      </w:r>
      <w:r>
        <w:t xml:space="preserve"> </w:t>
      </w:r>
      <w:r>
        <w:t xml:space="preserve">“</w:t>
      </w:r>
      <w:r>
        <w:t xml:space="preserve">Change of Control</w:t>
      </w:r>
      <w:r>
        <w:t xml:space="preserve">”</w:t>
      </w:r>
      <w:r>
        <w:t xml:space="preserve"> </w:t>
      </w:r>
      <w:r>
        <w:t xml:space="preserve">of a member that is an entity is an express ROFR triggering event (Section 8.03(a)(ii)). The Section 338(h)(10) deemed sale / reverse triangular merger results in a change of control of Prism (Beacon’s 80.5% managing member). The ROFR gives the non-transferring members (Delano and Avesta) 45 days to purchase Prism’s interest at fair market value. The Memo mentions</w:t>
      </w:r>
      <w:r>
        <w:t xml:space="preserve"> </w:t>
      </w:r>
      <w:r>
        <w:t xml:space="preserve">“</w:t>
      </w:r>
      <w:r>
        <w:t xml:space="preserve">customary transfer restrictions, including a right of first refusal</w:t>
      </w:r>
      <w:r>
        <w:t xml:space="preserve">”</w:t>
      </w:r>
      <w:r>
        <w:t xml:space="preserve"> </w:t>
      </w:r>
      <w:r>
        <w:t xml:space="preserve">only in passing and does not analyze whether the deemed sale triggers it or the consequences.</w:t>
      </w:r>
    </w:p>
    <w:p>
      <w:pPr>
        <w:numPr>
          <w:ilvl w:val="0"/>
          <w:numId w:val="1005"/>
        </w:numPr>
      </w:pPr>
      <w:r>
        <w:rPr>
          <w:b/>
          <w:bCs/>
        </w:rPr>
        <w:t xml:space="preserve">Automatic IP-License Termination (Section 9.02).</w:t>
      </w:r>
      <w:r>
        <w:t xml:space="preserve"> </w:t>
      </w:r>
      <w:r>
        <w:t xml:space="preserve">The IP License Agreement between Prism and Beacon</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Beacon generates ~$11M in annual revenue using this licensed IP. The Memo does not mention this automatic-termination provision at all.</w:t>
      </w:r>
    </w:p>
    <w:p>
      <w:pPr>
        <w:pStyle w:val="FirstParagraph"/>
      </w:pPr>
      <w:r>
        <w:t xml:space="preserve">Critically, the SPA makes the Beacon consents an</w:t>
      </w:r>
      <w:r>
        <w:t xml:space="preserve"> </w:t>
      </w:r>
      <w:r>
        <w:rPr>
          <w:b/>
          <w:bCs/>
        </w:rPr>
        <w:t xml:space="preserve">express closing condition</w:t>
      </w:r>
      <w:r>
        <w:t xml:space="preserve">: Section 8.2(g) requires</w:t>
      </w:r>
      <w:r>
        <w:t xml:space="preserve"> </w:t>
      </w:r>
      <w:r>
        <w:t xml:space="preserve">“</w:t>
      </w:r>
      <w:r>
        <w:t xml:space="preserve">any required consents under the operating agreement of Beacon Insights, LLC</w:t>
      </w:r>
      <w:r>
        <w:t xml:space="preserve">”</w:t>
      </w:r>
      <w:r>
        <w:t xml:space="preserve"> </w:t>
      </w:r>
      <w:r>
        <w:t xml:space="preserve">as a condition to Buyer’s obligation to close. The Memo’s statement that the impact on Beacon’s minority members is</w:t>
      </w:r>
      <w:r>
        <w:t xml:space="preserve"> </w:t>
      </w:r>
      <w:r>
        <w:t xml:space="preserve">“</w:t>
      </w:r>
      <w:r>
        <w:t xml:space="preserve">outside the scope of this memorandum</w:t>
      </w:r>
      <w:r>
        <w:t xml:space="preserve">”</w:t>
      </w:r>
      <w:r>
        <w:t xml:space="preserve"> </w:t>
      </w:r>
      <w:r>
        <w:t xml:space="preserve">is untenable given that (a) it is a closing condition and (b) the Beacon interest is a $28.5M asset in the PPA whose value depends on Beacon’s continuing operations (which depend on the IP license).</w:t>
      </w:r>
    </w:p>
    <w:p>
      <w:pPr>
        <w:pStyle w:val="BodyText"/>
      </w:pPr>
      <w:r>
        <w:rPr>
          <w:b/>
          <w:bCs/>
        </w:rPr>
        <w:t xml:space="preserve">Document Cross-References.</w:t>
      </w:r>
      <w:r>
        <w:t xml:space="preserve"> </w:t>
      </w:r>
      <w:r>
        <w:t xml:space="preserve">Memo §III.C, §VIII (passing mention of ROFR; no IP-license analysis;</w:t>
      </w:r>
      <w:r>
        <w:t xml:space="preserve"> </w:t>
      </w:r>
      <w:r>
        <w:t xml:space="preserve">“</w:t>
      </w:r>
      <w:r>
        <w:t xml:space="preserve">outside the scope</w:t>
      </w:r>
      <w:r>
        <w:t xml:space="preserve">”</w:t>
      </w:r>
      <w:r>
        <w:t xml:space="preserve">); Beacon OA §8.03 (ROFR), §9.02 (IP-license auto-termination); SPA §8.2(g) (closing condition).</w:t>
      </w:r>
    </w:p>
    <w:p>
      <w:pPr>
        <w:pStyle w:val="BodyText"/>
      </w:pPr>
      <w:r>
        <w:rPr>
          <w:b/>
          <w:bCs/>
        </w:rPr>
        <w:t xml:space="preserve">Impact.</w:t>
      </w:r>
      <w:r>
        <w:t xml:space="preserve"> </w:t>
      </w:r>
      <w:r>
        <w:t xml:space="preserve">(i) Closing-condition risk — if the ROFR is triggered and exercised, or the consents are not obtained, Buyer’s obligation to close could fail; (ii) potential impairment of Beacon’s $11M revenue stream (and thus the $28.5M asset value) if the IP license terminates automatically and is not renewed; (iii) the deemed-sale gain on the Beacon interest could be affected if the interest is in fact purchased by the minority members under the ROFR rather than deemed sold.</w:t>
      </w:r>
    </w:p>
    <w:p>
      <w:pPr>
        <w:pStyle w:val="BodyText"/>
      </w:pPr>
      <w:r>
        <w:rPr>
          <w:b/>
          <w:bCs/>
        </w:rPr>
        <w:t xml:space="preserve">Recommendation.</w:t>
      </w:r>
      <w:r>
        <w:t xml:space="preserve"> </w:t>
      </w:r>
      <w:r>
        <w:t xml:space="preserve">Analyze whether the Section 338(h)(10) deemed sale / change of control triggers the Beacon ROFR and the IP-license automatic termination. Obtain the Beacon member consents and any IP-license continuation agreement as a pre-closing deliverable. Address the consequences in the Memo rather than excluding them from scope.</w:t>
      </w:r>
    </w:p>
    <w:p>
      <w:r>
        <w:pict>
          <v:rect style="width:0;height:1.5pt" o:hralign="center" o:hrstd="t" o:hr="t"/>
        </w:pict>
      </w:r>
    </w:p>
    <w:bookmarkEnd w:id="34"/>
    <w:bookmarkStart w:id="35" w:name="X8dff9a1a431b0301835b5262b246ee944983559"/>
    <w:p>
      <w:pPr>
        <w:pStyle w:val="Heading4"/>
      </w:pPr>
      <w:r>
        <w:t xml:space="preserve">H-5. Escrow / Installment-Sale Treatment Conflicts with the SPA and Is Questionable Under 338(h)(10) Mechanics</w:t>
      </w:r>
    </w:p>
    <w:p>
      <w:pPr>
        <w:pStyle w:val="FirstParagraph"/>
      </w:pPr>
      <w:r>
        <w:rPr>
          <w:b/>
          <w:bCs/>
        </w:rPr>
        <w:t xml:space="preserve">Severity:</w:t>
      </w:r>
      <w:r>
        <w:t xml:space="preserve"> </w:t>
      </w:r>
      <w:r>
        <w:t xml:space="preserve">High</w:t>
      </w:r>
    </w:p>
    <w:p>
      <w:pPr>
        <w:pStyle w:val="BodyText"/>
      </w:pPr>
      <w:r>
        <w:rPr>
          <w:b/>
          <w:bCs/>
        </w:rPr>
        <w:t xml:space="preserve">The Issue.</w:t>
      </w:r>
      <w:r>
        <w:t xml:space="preserve"> </w:t>
      </w:r>
      <w:r>
        <w:t xml:space="preserve">The Memo (Section V.C) advises that the $22M escrow</w:t>
      </w:r>
      <w:r>
        <w:t xml:space="preserve"> </w:t>
      </w:r>
      <w:r>
        <w:t xml:space="preserve">“</w:t>
      </w:r>
      <w:r>
        <w:t xml:space="preserve">constitutes contingent consideration</w:t>
      </w:r>
      <w:r>
        <w:t xml:space="preserve">”</w:t>
      </w:r>
      <w:r>
        <w:t xml:space="preserve"> </w:t>
      </w:r>
      <w:r>
        <w:t xml:space="preserve">and that shareholders</w:t>
      </w:r>
      <w:r>
        <w:t xml:space="preserve"> </w:t>
      </w:r>
      <w:r>
        <w:t xml:space="preserve">“</w:t>
      </w:r>
      <w:r>
        <w:t xml:space="preserve">may elect installment sale treatment under Section 453, deferring recognition of a proportionate share of gain until the escrow is released</w:t>
      </w:r>
      <w:r>
        <w:t xml:space="preserve">”</w:t>
      </w:r>
      <w:r>
        <w:t xml:space="preserve"> </w:t>
      </w:r>
      <w:r>
        <w:t xml:space="preserve">(i.e., until September 15, 2026).</w:t>
      </w:r>
    </w:p>
    <w:p>
      <w:pPr>
        <w:pStyle w:val="BodyText"/>
      </w:pPr>
      <w:r>
        <w:t xml:space="preserve">This is inconsistent with the SPA and questionable on the merits:</w:t>
      </w:r>
    </w:p>
    <w:p>
      <w:pPr>
        <w:numPr>
          <w:ilvl w:val="0"/>
          <w:numId w:val="1006"/>
        </w:numPr>
      </w:pPr>
      <w:r>
        <w:rPr>
          <w:b/>
          <w:bCs/>
        </w:rPr>
        <w:t xml:space="preserve">Conflict with the SPA.</w:t>
      </w:r>
      <w:r>
        <w:t xml:space="preserve"> </w:t>
      </w:r>
      <w:r>
        <w:t xml:space="preserve">SPA Section 7.4 (</w:t>
      </w:r>
      <w:r>
        <w:t xml:space="preserve">“</w:t>
      </w:r>
      <w:r>
        <w:t xml:space="preserve">Tax Treatment</w:t>
      </w:r>
      <w:r>
        <w:t xml:space="preserve">”</w:t>
      </w:r>
      <w:r>
        <w:t xml:space="preserve">) expressly provides:</w:t>
      </w:r>
      <w:r>
        <w:t xml:space="preserve"> </w:t>
      </w:r>
      <w:r>
        <w:rPr>
          <w:i/>
          <w:iCs/>
        </w:rPr>
        <w:t xml:space="preserve">“</w:t>
      </w:r>
      <w:r>
        <w:rPr>
          <w:i/>
          <w:iCs/>
        </w:rP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rPr>
          <w:i/>
          <w:iCs/>
        </w:rPr>
        <w:t xml:space="preserve">”</w:t>
      </w:r>
      <w:r>
        <w:t xml:space="preserve"> </w:t>
      </w:r>
      <w:r>
        <w:t xml:space="preserve">The SPA thus intends</w:t>
      </w:r>
      <w:r>
        <w:t xml:space="preserve"> </w:t>
      </w:r>
      <w:r>
        <w:rPr>
          <w:b/>
          <w:bCs/>
        </w:rPr>
        <w:t xml:space="preserve">current-year recognition</w:t>
      </w:r>
      <w:r>
        <w:t xml:space="preserve">, not deferral — the opposite of the Memo’s advice.</w:t>
      </w:r>
    </w:p>
    <w:p>
      <w:pPr>
        <w:numPr>
          <w:ilvl w:val="0"/>
          <w:numId w:val="1006"/>
        </w:numPr>
      </w:pPr>
      <w:r>
        <w:rPr>
          <w:b/>
          <w:bCs/>
        </w:rPr>
        <w:t xml:space="preserve">Tension with 338(h)(10) mechanics.</w:t>
      </w:r>
      <w:r>
        <w:t xml:space="preserve"> </w:t>
      </w:r>
      <w:r>
        <w:t xml:space="preserve">Under a Section 338(h)(10) election, the gain is recognized at the</w:t>
      </w:r>
      <w:r>
        <w:t xml:space="preserve"> </w:t>
      </w:r>
      <w:r>
        <w:rPr>
          <w:b/>
          <w:bCs/>
        </w:rPr>
        <w:t xml:space="preserve">entity level</w:t>
      </w:r>
      <w:r>
        <w:t xml:space="preserve"> </w:t>
      </w:r>
      <w:r>
        <w:t xml:space="preserve">through the deemed asset sale occurring at the close of the acquisition date, and passes through to shareholders on the final S corporation K-1. The escrow is part of the amount realized / ADSP and is therefore embedded in the deemed sale gain recognized at closing. Shareholder-level installment deferral under Section 453 is generally unavailable where the gain is recognized through an entity-level deemed sale rather than a direct installment sale of stock by the shareholders. The Memo’s analysis does not grapple with this structural point.</w:t>
      </w:r>
    </w:p>
    <w:p>
      <w:pPr>
        <w:numPr>
          <w:ilvl w:val="0"/>
          <w:numId w:val="1006"/>
        </w:numPr>
      </w:pPr>
      <w:r>
        <w:rPr>
          <w:b/>
          <w:bCs/>
        </w:rPr>
        <w:t xml:space="preserve">QSBS/escrow interaction.</w:t>
      </w:r>
      <w:r>
        <w:t xml:space="preserve"> </w:t>
      </w:r>
      <w:r>
        <w:t xml:space="preserve">Linden Rock’s January 6 email specifically asked that the (still-omitted) QSBS analysis address the escrow component. The Memo addresses neither.</w:t>
      </w:r>
    </w:p>
    <w:p>
      <w:pPr>
        <w:pStyle w:val="FirstParagraph"/>
      </w:pPr>
      <w:r>
        <w:rPr>
          <w:b/>
          <w:bCs/>
        </w:rPr>
        <w:t xml:space="preserve">Document Cross-References.</w:t>
      </w:r>
      <w:r>
        <w:t xml:space="preserve"> </w:t>
      </w:r>
      <w:r>
        <w:t xml:space="preserve">Memo §V.C; SPA §7.4 (Tax Treatment of Escrow Amounts), §7.3(c); QSBS email thread (Jan. 6, 2025).</w:t>
      </w:r>
    </w:p>
    <w:p>
      <w:pPr>
        <w:pStyle w:val="BodyText"/>
      </w:pPr>
      <w:r>
        <w:rPr>
          <w:b/>
          <w:bCs/>
        </w:rPr>
        <w:t xml:space="preserve">Impact.</w:t>
      </w:r>
      <w:r>
        <w:t xml:space="preserve"> </w:t>
      </w:r>
      <w:r>
        <w:t xml:space="preserve">Shareholders may be advised to take a deferral position (and make estimated-tax / cash-flow decisions accordingly) that conflicts with the SPA’s intended treatment and that may not be sustainable under the 338(h)(10) framework, creating underpayment exposure and inconsistency between the parties’ filed positions.</w:t>
      </w:r>
    </w:p>
    <w:p>
      <w:pPr>
        <w:pStyle w:val="BodyText"/>
      </w:pPr>
      <w:r>
        <w:rPr>
          <w:b/>
          <w:bCs/>
        </w:rPr>
        <w:t xml:space="preserve">Recommendation.</w:t>
      </w:r>
      <w:r>
        <w:t xml:space="preserve"> </w:t>
      </w:r>
      <w:r>
        <w:t xml:space="preserve">Revise the escrow discussion to align with the SPA’s current-year-recognition treatment, or expressly reconcile the conflict. Analyze whether any deferral is in fact available given the entity-level deemed-sale mechanics. Coordinate the escrow treatment with the (to-be-added) QSBS analysis.</w:t>
      </w:r>
    </w:p>
    <w:p>
      <w:r>
        <w:pict>
          <v:rect style="width:0;height:1.5pt" o:hralign="center" o:hrstd="t" o:hr="t"/>
        </w:pict>
      </w:r>
    </w:p>
    <w:bookmarkEnd w:id="35"/>
    <w:bookmarkEnd w:id="36"/>
    <w:bookmarkStart w:id="48" w:name="c.-moderate-severity-findings"/>
    <w:p>
      <w:pPr>
        <w:pStyle w:val="Heading3"/>
      </w:pPr>
      <w:r>
        <w:t xml:space="preserve">C. Moderate-Severity Findings</w:t>
      </w:r>
    </w:p>
    <w:p>
      <w:r>
        <w:pict>
          <v:rect style="width:0;height:1.5pt" o:hralign="center" o:hrstd="t" o:hr="t"/>
        </w:pict>
      </w:r>
    </w:p>
    <w:bookmarkStart w:id="37" w:name="X17f0b964e30198f5e160bfee5041c55def50009"/>
    <w:p>
      <w:pPr>
        <w:pStyle w:val="Heading4"/>
      </w:pPr>
      <w:r>
        <w:t xml:space="preserve">M-1. Section 482 Transfer-Pricing Exposure (~$6.3M) Omitted; SPA Arm’s-Length Representation May Be Inaccurate</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TDD Report (Section VII; Finding 3) identifies ~$6.3M of cumulative Section 482 exposure over 2019–2024 from below-arm’s-length intercompany fees between Prism and Beacon: the $850K/year management fee (Thornfield estimates actual cost ~$1.1M–$1.25M) and the $400K/year IP license fee (industry benchmarks 8–15% of Beacon’s ~$11M revenue vs. the current 3.6%). The Beacon OA (Sections 9.01, 9.02) confirms neither fee has ever been benchmarked or supported by a transfer-pricing study. The TDD Report further notes the cross-entity impact: a Section 482 reallocation would increase income to all Prism shareholders (including those with no direct Beacon interest) while decreasing income to Beacon’s minority members (Delano 12%, Avesta 7.5%).</w:t>
      </w:r>
    </w:p>
    <w:p>
      <w:pPr>
        <w:pStyle w:val="BodyText"/>
      </w:pPr>
      <w:r>
        <w:t xml:space="preserve">The Memo mentions the intercompany fees (Sections III.C, VIII) but does not address the Section 482 exposure, the absence of transfer-pricing documentation, or the cross-entity allocation consequences. Meanwhile, SPA Section 4.9(h) represents that the fees</w:t>
      </w:r>
      <w:r>
        <w:t xml:space="preserve"> </w:t>
      </w:r>
      <w:r>
        <w:t xml:space="preserve">“</w:t>
      </w:r>
      <w:r>
        <w:t xml:space="preserve">are at arm’s length</w:t>
      </w:r>
      <w:r>
        <w:t xml:space="preserve">”</w:t>
      </w:r>
      <w:r>
        <w:t xml:space="preserve"> </w:t>
      </w:r>
      <w:r>
        <w:t xml:space="preserve">while disclosing that</w:t>
      </w:r>
      <w:r>
        <w:t xml:space="preserve"> </w:t>
      </w:r>
      <w:r>
        <w:t xml:space="preserve">“</w:t>
      </w:r>
      <w:r>
        <w:t xml:space="preserve">[n]o formal transfer pricing study has been prepared</w:t>
      </w:r>
      <w:r>
        <w:t xml:space="preserve">”</w:t>
      </w:r>
      <w:r>
        <w:t xml:space="preserve"> </w:t>
      </w:r>
      <w:r>
        <w:t xml:space="preserve">— a representation that Thornfield’s analysis suggests is inaccurate.</w:t>
      </w:r>
    </w:p>
    <w:p>
      <w:pPr>
        <w:pStyle w:val="BodyText"/>
      </w:pPr>
      <w:r>
        <w:rPr>
          <w:b/>
          <w:bCs/>
        </w:rPr>
        <w:t xml:space="preserve">Document Cross-References.</w:t>
      </w:r>
      <w:r>
        <w:t xml:space="preserve"> </w:t>
      </w:r>
      <w:r>
        <w:t xml:space="preserve">Memo §III.C, §VIII; TDD Report §VII, §XI (Finding 3); Beacon OA §9.01, §9.02; SPA §4.9(h).</w:t>
      </w:r>
    </w:p>
    <w:p>
      <w:pPr>
        <w:pStyle w:val="BodyText"/>
      </w:pPr>
      <w:r>
        <w:rPr>
          <w:b/>
          <w:bCs/>
        </w:rPr>
        <w:t xml:space="preserve">Impact.</w:t>
      </w:r>
      <w:r>
        <w:t xml:space="preserve"> </w:t>
      </w:r>
      <w:r>
        <w:t xml:space="preserve">~$6.3M of potential reallocated income (plus interest/penalties); potential inaccuracy in the SPA arm’s-length representation; cross-party economic effects not reflected in the transaction’s risk allocation.</w:t>
      </w:r>
    </w:p>
    <w:p>
      <w:pPr>
        <w:pStyle w:val="BodyText"/>
      </w:pPr>
      <w:r>
        <w:rPr>
          <w:b/>
          <w:bCs/>
        </w:rPr>
        <w:t xml:space="preserve">Recommendation.</w:t>
      </w:r>
      <w:r>
        <w:t xml:space="preserve"> </w:t>
      </w:r>
      <w:r>
        <w:t xml:space="preserve">Add a transfer-pricing section to the Memo. Commission a formal transfer-pricing study; consider a true-up or amended returns for prior years; reflect the exposure in the indemnification/risk-allocation provisions. Reconcile the SPA arm’s-length representation.</w:t>
      </w:r>
    </w:p>
    <w:p>
      <w:r>
        <w:pict>
          <v:rect style="width:0;height:1.5pt" o:hralign="center" o:hrstd="t" o:hr="t"/>
        </w:pict>
      </w:r>
    </w:p>
    <w:bookmarkEnd w:id="37"/>
    <w:bookmarkStart w:id="38" w:name="Xcc1121684b9c5888bc98d3b695d4cd98776a5b0"/>
    <w:p>
      <w:pPr>
        <w:pStyle w:val="Heading4"/>
      </w:pPr>
      <w:r>
        <w:t xml:space="preserve">M-2. Suspended C-Corporation R&amp;D Credits ($3.8M) — Analysis Deferred That TDD Specifically Requested</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TDD Report (Sections IV.B, IX.A; Finding 2) identifies $3.8M in unused federal R&amp;D credits from Prism’s 2016 C corporation year, suspended at the corporate level under Section 1371(b)(1) during the S corporation years, and at</w:t>
      </w:r>
      <w:r>
        <w:t xml:space="preserve"> </w:t>
      </w:r>
      <w:r>
        <w:t xml:space="preserve">“</w:t>
      </w:r>
      <w:r>
        <w:t xml:space="preserve">significant risk of permanent expiration</w:t>
      </w:r>
      <w:r>
        <w:t xml:space="preserve">”</w:t>
      </w:r>
      <w:r>
        <w:t xml:space="preserve"> </w:t>
      </w:r>
      <w:r>
        <w:t xml:space="preserve">in the 338(h)(10) transaction (the credits can offset only C corporation tax or Section 1374 built-in-gains tax; no BIG tax applies here because the recognition period expired). The TDD Report expressly recommends that</w:t>
      </w:r>
      <w:r>
        <w:t xml:space="preserve"> </w:t>
      </w:r>
      <w:r>
        <w:t xml:space="preserve">“</w:t>
      </w:r>
      <w:r>
        <w:t xml:space="preserve">tax counsel should analyze the interaction of Sections 1371(b), 1371(e), 1374, and 338(h)(10) to determine whether any portion of these credits can be salvaged.</w:t>
      </w:r>
      <w:r>
        <w:t xml:space="preserve">”</w:t>
      </w:r>
    </w:p>
    <w:p>
      <w:pPr>
        <w:pStyle w:val="BodyText"/>
      </w:pPr>
      <w:r>
        <w:t xml:space="preserve">The Memo (Section III.D) mentions the credits but states only that they</w:t>
      </w:r>
      <w:r>
        <w:t xml:space="preserve"> </w:t>
      </w:r>
      <w:r>
        <w:t xml:space="preserve">“</w:t>
      </w:r>
      <w:r>
        <w:t xml:space="preserve">are noted and will be addressed in the post-closing tax planning.</w:t>
      </w:r>
      <w:r>
        <w:t xml:space="preserve">”</w:t>
      </w:r>
      <w:r>
        <w:t xml:space="preserve"> </w:t>
      </w:r>
      <w:r>
        <w:t xml:space="preserve">The Memo does not perform the interaction analysis the TDD Report requested, does not address the post-termination transition period (Section 1371(e)) or the deemed-liquidation mechanics, and does not flag the risk of permanent loss.</w:t>
      </w:r>
    </w:p>
    <w:p>
      <w:pPr>
        <w:pStyle w:val="BodyText"/>
      </w:pPr>
      <w:r>
        <w:rPr>
          <w:b/>
          <w:bCs/>
        </w:rPr>
        <w:t xml:space="preserve">Document Cross-References.</w:t>
      </w:r>
      <w:r>
        <w:t xml:space="preserve"> </w:t>
      </w:r>
      <w:r>
        <w:t xml:space="preserve">Memo §III.D; TDD Report §IV.B, §IX.A, §XI (Finding 2); SPA §4.9(g).</w:t>
      </w:r>
    </w:p>
    <w:p>
      <w:pPr>
        <w:pStyle w:val="BodyText"/>
      </w:pPr>
      <w:r>
        <w:rPr>
          <w:b/>
          <w:bCs/>
        </w:rPr>
        <w:t xml:space="preserve">Impact.</w:t>
      </w:r>
      <w:r>
        <w:t xml:space="preserve"> </w:t>
      </w:r>
      <w:r>
        <w:t xml:space="preserve">Potential permanent loss of $3.8M in tax credits; missed structuring opportunity to preserve value.</w:t>
      </w:r>
    </w:p>
    <w:p>
      <w:pPr>
        <w:pStyle w:val="BodyText"/>
      </w:pPr>
      <w:r>
        <w:rPr>
          <w:b/>
          <w:bCs/>
        </w:rPr>
        <w:t xml:space="preserve">Recommendation.</w:t>
      </w:r>
      <w:r>
        <w:t xml:space="preserve"> </w:t>
      </w:r>
      <w:r>
        <w:t xml:space="preserve">Perform the Section 1371(b)/1371(e)/1374/338(h)(10) interaction analysis. Determine whether any portion of the credits can be utilized (e.g., during a post-termination transition period or via a final-return mechanism) and whether any structuring modification could preserve them.</w:t>
      </w:r>
    </w:p>
    <w:p>
      <w:r>
        <w:pict>
          <v:rect style="width:0;height:1.5pt" o:hralign="center" o:hrstd="t" o:hr="t"/>
        </w:pict>
      </w:r>
    </w:p>
    <w:bookmarkEnd w:id="38"/>
    <w:bookmarkStart w:id="39" w:name="Xd33219f3f946ca1674ea247bc703a9ec51a52ca"/>
    <w:p>
      <w:pPr>
        <w:pStyle w:val="Heading4"/>
      </w:pPr>
      <w:r>
        <w:t xml:space="preserve">M-3. Rollover Equity Tax Treatment Not Analyzed (Section 351 / 721 / Basis)</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 (Section V.B) states that Dr. Chandra’s $37M rollover</w:t>
      </w:r>
      <w:r>
        <w:t xml:space="preserve"> </w:t>
      </w:r>
      <w:r>
        <w:t xml:space="preserve">“</w:t>
      </w:r>
      <w:r>
        <w:t xml:space="preserve">is treated as a separate transaction from the deemed sale</w:t>
      </w:r>
      <w:r>
        <w:t xml:space="preserve">”</w:t>
      </w:r>
      <w:r>
        <w:t xml:space="preserve"> </w:t>
      </w:r>
      <w:r>
        <w:t xml:space="preserve">and that</w:t>
      </w:r>
      <w:r>
        <w:t xml:space="preserve"> </w:t>
      </w:r>
      <w:r>
        <w:t xml:space="preserve">“</w:t>
      </w:r>
      <w:r>
        <w:t xml:space="preserve">the rollover does not reduce or defer Dr. Chandra’s recognition of deemed sale gain,</w:t>
      </w:r>
      <w:r>
        <w:t xml:space="preserve">”</w:t>
      </w:r>
      <w:r>
        <w:t xml:space="preserve"> </w:t>
      </w:r>
      <w:r>
        <w:t xml:space="preserve">and that he will</w:t>
      </w:r>
      <w:r>
        <w:t xml:space="preserve"> </w:t>
      </w:r>
      <w:r>
        <w:t xml:space="preserve">“</w:t>
      </w:r>
      <w:r>
        <w:t xml:space="preserve">contribute a portion of his after-tax proceeds to the new entity in exchange for equity.</w:t>
      </w:r>
      <w:r>
        <w:t xml:space="preserve">”</w:t>
      </w:r>
      <w:r>
        <w:t xml:space="preserve"> </w:t>
      </w:r>
      <w:r>
        <w:t xml:space="preserve">The Memo does not analyze the tax treatment of the rollover contribution itself. The Cap Table notes flag that the</w:t>
      </w:r>
      <w:r>
        <w:t xml:space="preserve"> </w:t>
      </w:r>
      <w:r>
        <w:t xml:space="preserve">“</w:t>
      </w:r>
      <w:r>
        <w:t xml:space="preserve">Memo does not address interaction of rollover with 338(h)(10) deemed sale.</w:t>
      </w:r>
      <w:r>
        <w:t xml:space="preserve">”</w:t>
      </w:r>
    </w:p>
    <w:p>
      <w:pPr>
        <w:pStyle w:val="BodyText"/>
      </w:pPr>
      <w:r>
        <w:t xml:space="preserve">The SPA (Section 2.4(b),(e); defined term</w:t>
      </w:r>
      <w:r>
        <w:t xml:space="preserve"> </w:t>
      </w:r>
      <w:r>
        <w:t xml:space="preserve">“</w:t>
      </w:r>
      <w:r>
        <w:t xml:space="preserve">Rollover Equity</w:t>
      </w:r>
      <w:r>
        <w:t xml:space="preserve">”</w:t>
      </w:r>
      <w:r>
        <w:t xml:space="preserve">) provides for</w:t>
      </w:r>
      <w:r>
        <w:t xml:space="preserve"> </w:t>
      </w:r>
      <w:r>
        <w:t xml:space="preserve">“</w:t>
      </w:r>
      <w:r>
        <w:t xml:space="preserve">equity interests in Parent (or its designated acquisition vehicle thereof).</w:t>
      </w:r>
      <w:r>
        <w:t xml:space="preserve">”</w:t>
      </w:r>
      <w:r>
        <w:t xml:space="preserve"> </w:t>
      </w:r>
      <w:r>
        <w:t xml:space="preserve">The tax treatment of Chandra’s contribution depends on the entity type of the acquisition vehicle: a contribution to a corporation could qualify under Section 351 (tax-free); a contribution to a partnership could qualify under Section 721 (tax-free). The Memo does not identify the vehicle’s entity type, does not confirm tax-free treatment of the contribution, and does not address Chandra’s basis in the rollover equity or the holding-period tacking implications. The</w:t>
      </w:r>
      <w:r>
        <w:t xml:space="preserve"> </w:t>
      </w:r>
      <w:r>
        <w:t xml:space="preserve">“</w:t>
      </w:r>
      <w:r>
        <w:t xml:space="preserve">after-tax proceeds</w:t>
      </w:r>
      <w:r>
        <w:t xml:space="preserve">”</w:t>
      </w:r>
      <w:r>
        <w:t xml:space="preserve"> </w:t>
      </w:r>
      <w:r>
        <w:t xml:space="preserve">framing, while correct that the deemed-sale gain is recognized first, leaves the contribution’s own tax treatment unaddressed.</w:t>
      </w:r>
    </w:p>
    <w:p>
      <w:pPr>
        <w:pStyle w:val="BodyText"/>
      </w:pPr>
      <w:r>
        <w:rPr>
          <w:b/>
          <w:bCs/>
        </w:rPr>
        <w:t xml:space="preserve">Document Cross-References.</w:t>
      </w:r>
      <w:r>
        <w:t xml:space="preserve"> </w:t>
      </w:r>
      <w:r>
        <w:t xml:space="preserve">Memo §V.B, §II.B; SPA §2.4(b),(e), §1.1 (</w:t>
      </w:r>
      <w:r>
        <w:t xml:space="preserve">“</w:t>
      </w:r>
      <w:r>
        <w:t xml:space="preserve">Rollover Equity</w:t>
      </w:r>
      <w:r>
        <w:t xml:space="preserve">”</w:t>
      </w:r>
      <w:r>
        <w:t xml:space="preserve">); Cap Table (Chandra notes).</w:t>
      </w:r>
    </w:p>
    <w:p>
      <w:pPr>
        <w:pStyle w:val="BodyText"/>
      </w:pPr>
      <w:r>
        <w:rPr>
          <w:b/>
          <w:bCs/>
        </w:rPr>
        <w:t xml:space="preserve">Impact.</w:t>
      </w:r>
      <w:r>
        <w:t xml:space="preserve"> </w:t>
      </w:r>
      <w:r>
        <w:t xml:space="preserve">Incomplete advice on a $37M component of the consideration; potential basis and holding-period uncertainties for Chandra’s post-closing equity.</w:t>
      </w:r>
    </w:p>
    <w:p>
      <w:pPr>
        <w:pStyle w:val="BodyText"/>
      </w:pPr>
      <w:r>
        <w:rPr>
          <w:b/>
          <w:bCs/>
        </w:rPr>
        <w:t xml:space="preserve">Recommendation.</w:t>
      </w:r>
      <w:r>
        <w:t xml:space="preserve"> </w:t>
      </w:r>
      <w:r>
        <w:t xml:space="preserve">Identify the acquisition vehicle’s entity type and analyze the rollover under Section 351 or Section 721, as applicable. Address Chandra’s basis and holding period in the rollover equity.</w:t>
      </w:r>
    </w:p>
    <w:p>
      <w:r>
        <w:pict>
          <v:rect style="width:0;height:1.5pt" o:hralign="center" o:hrstd="t" o:hr="t"/>
        </w:pict>
      </w:r>
    </w:p>
    <w:bookmarkEnd w:id="39"/>
    <w:bookmarkStart w:id="40" w:name="X62dcb2ed9fec221063efe52419d6117afa6d470"/>
    <w:p>
      <w:pPr>
        <w:pStyle w:val="Heading4"/>
      </w:pPr>
      <w:r>
        <w:t xml:space="preserve">M-4. Section 280G Golden-Parachute Rules Not Addressed</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Dr. Chandra (52% holder, CEO) and Rachel Stowe (28% holder, CTO) are both greater-than-1% shareholders and therefore</w:t>
      </w:r>
      <w:r>
        <w:t xml:space="preserve"> </w:t>
      </w:r>
      <w:r>
        <w:t xml:space="preserve">“</w:t>
      </w:r>
      <w:r>
        <w:t xml:space="preserve">disqualified individuals</w:t>
      </w:r>
      <w:r>
        <w:t xml:space="preserve">”</w:t>
      </w:r>
      <w:r>
        <w:t xml:space="preserve"> </w:t>
      </w:r>
      <w:r>
        <w:t xml:space="preserve">for purposes of Section 280G. The transaction involves change-of-control payments to both — Chandra’s four-year employment agreement (with the Asset Valuation allocating $10.5M to his non-compete) and Stowe’s two-year consulting agreement ($4.5M non-compete allocation), plus their merger consideration. The aggregate change-of-control benefits to each could exceed the Section 280G safe-harbor thresholds, triggering (i) a 20% excise tax on the excess parachute payments (Section 4999) and (ii) disallowance of the excess as a deduction by the employer (Section 280G). The Memo does not mention Section 280G at all.</w:t>
      </w:r>
    </w:p>
    <w:p>
      <w:pPr>
        <w:pStyle w:val="BodyText"/>
      </w:pPr>
      <w:r>
        <w:rPr>
          <w:b/>
          <w:bCs/>
        </w:rPr>
        <w:t xml:space="preserve">Document Cross-References.</w:t>
      </w:r>
      <w:r>
        <w:t xml:space="preserve"> </w:t>
      </w:r>
      <w:r>
        <w:t xml:space="preserve">Memo §V.B (Chandra employment; Stowe consulting); Asset Valuation A-013 (non-compete allocations); SPA §8.2(e),(f) (employment/consulting agreements as closing conditions).</w:t>
      </w:r>
    </w:p>
    <w:p>
      <w:pPr>
        <w:pStyle w:val="BodyText"/>
      </w:pPr>
      <w:r>
        <w:rPr>
          <w:b/>
          <w:bCs/>
        </w:rPr>
        <w:t xml:space="preserve">Impact.</w:t>
      </w:r>
      <w:r>
        <w:t xml:space="preserve"> </w:t>
      </w:r>
      <w:r>
        <w:t xml:space="preserve">Potential excise tax on Chandra and Stowe and deduction disallowance for the Surviving Corporation; the non-compete valuation may also be scrutinized as compensatory.</w:t>
      </w:r>
    </w:p>
    <w:p>
      <w:pPr>
        <w:pStyle w:val="BodyText"/>
      </w:pPr>
      <w:r>
        <w:rPr>
          <w:b/>
          <w:bCs/>
        </w:rPr>
        <w:t xml:space="preserve">Recommendation.</w:t>
      </w:r>
      <w:r>
        <w:t xml:space="preserve"> </w:t>
      </w:r>
      <w:r>
        <w:t xml:space="preserve">Perform a Section 280G analysis, including the</w:t>
      </w:r>
      <w:r>
        <w:t xml:space="preserve"> </w:t>
      </w:r>
      <w:r>
        <w:t xml:space="preserve">“</w:t>
      </w:r>
      <w:r>
        <w:t xml:space="preserve">best-pay</w:t>
      </w:r>
      <w:r>
        <w:t xml:space="preserve">”</w:t>
      </w:r>
      <w:r>
        <w:t xml:space="preserve"> </w:t>
      </w:r>
      <w:r>
        <w:t xml:space="preserve">/ shareholder-approval (Section 280G(b)(5)) mitigation analysis. Confirm the non-compete allocations are properly valued as amortizable Section 197 intangibles rather than compensatory.</w:t>
      </w:r>
    </w:p>
    <w:p>
      <w:r>
        <w:pict>
          <v:rect style="width:0;height:1.5pt" o:hralign="center" o:hrstd="t" o:hr="t"/>
        </w:pict>
      </w:r>
    </w:p>
    <w:bookmarkEnd w:id="40"/>
    <w:bookmarkStart w:id="41" w:name="X0bdadd0c1a4a1c25404416be880e24af564fd1f"/>
    <w:p>
      <w:pPr>
        <w:pStyle w:val="Heading4"/>
      </w:pPr>
      <w:r>
        <w:t xml:space="preserve">M-5. State Tax Omissions — New York Sales Tax, VA/NY 338(h)(10) Conformity, and State S-Election Cascade</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Memo’s state-tax analysis (Section VI) covers North Carolina and California in detail and addresses Virginia and New York only in a brief</w:t>
      </w:r>
      <w:r>
        <w:t xml:space="preserve"> </w:t>
      </w:r>
      <w:r>
        <w:t xml:space="preserve">“</w:t>
      </w:r>
      <w:r>
        <w:t xml:space="preserve">Other States</w:t>
      </w:r>
      <w:r>
        <w:t xml:space="preserve">”</w:t>
      </w:r>
      <w:r>
        <w:t xml:space="preserve"> </w:t>
      </w:r>
      <w:r>
        <w:t xml:space="preserve">paragraph. Several state-tax items in the due diligence record are not addressed:</w:t>
      </w:r>
    </w:p>
    <w:p>
      <w:pPr>
        <w:pStyle w:val="Compact"/>
        <w:numPr>
          <w:ilvl w:val="0"/>
          <w:numId w:val="1007"/>
        </w:numPr>
      </w:pPr>
      <w:r>
        <w:rPr>
          <w:b/>
          <w:bCs/>
        </w:rPr>
        <w:t xml:space="preserve">New York sales-tax exposure.</w:t>
      </w:r>
      <w:r>
        <w:t xml:space="preserve"> </w:t>
      </w:r>
      <w:r>
        <w:t xml:space="preserve">The TDD Report (Section X.A; Finding 5) identifies $150K–$300K of exposure from Prism’s failure to collect New York sales tax on SaaS subscription revenue sourced to New York customers, and recommends a voluntary disclosure agreement. The Memo does not mention this exposure.</w:t>
      </w:r>
    </w:p>
    <w:p>
      <w:pPr>
        <w:pStyle w:val="Compact"/>
        <w:numPr>
          <w:ilvl w:val="0"/>
          <w:numId w:val="1007"/>
        </w:numPr>
      </w:pPr>
      <w:r>
        <w:rPr>
          <w:b/>
          <w:bCs/>
        </w:rPr>
        <w:t xml:space="preserve">VA/NY 338(h)(10) conformity.</w:t>
      </w:r>
      <w:r>
        <w:t xml:space="preserve"> </w:t>
      </w:r>
      <w:r>
        <w:t xml:space="preserve">The Memo does not confirm whether Virginia and New York conform to the federal Section 338(h)(10) election (and, for New York, whether the separate Form CT-6 state S election interacts properly with the deemed sale). North Carolina and California conformity is addressed; the other two states are not.</w:t>
      </w:r>
    </w:p>
    <w:p>
      <w:pPr>
        <w:pStyle w:val="Compact"/>
        <w:numPr>
          <w:ilvl w:val="0"/>
          <w:numId w:val="1007"/>
        </w:numPr>
      </w:pPr>
      <w:r>
        <w:rPr>
          <w:b/>
          <w:bCs/>
        </w:rPr>
        <w:t xml:space="preserve">State S-election invalidity cascade.</w:t>
      </w:r>
      <w:r>
        <w:t xml:space="preserve"> </w:t>
      </w:r>
      <w:r>
        <w:t xml:space="preserve">The TDD Report (Section V.B) warns that if the federal S election is invalid (per C-2), the state-level S elections would also be invalid, producing retroactive entity-level C corporation tax in all four states (NC, VA, CA, NY) plus penalties and interest. The Memo does not connect the (unaddressed) federal eligibility issue to its state-tax consequences.</w:t>
      </w:r>
    </w:p>
    <w:p>
      <w:pPr>
        <w:pStyle w:val="FirstParagraph"/>
      </w:pPr>
      <w:r>
        <w:rPr>
          <w:b/>
          <w:bCs/>
        </w:rPr>
        <w:t xml:space="preserve">Document Cross-References.</w:t>
      </w:r>
      <w:r>
        <w:t xml:space="preserve"> </w:t>
      </w:r>
      <w:r>
        <w:t xml:space="preserve">Memo §VI; TDD Report §V.A, §V.B, §X.A, §XI (Finding 5).</w:t>
      </w:r>
    </w:p>
    <w:p>
      <w:pPr>
        <w:pStyle w:val="BodyText"/>
      </w:pPr>
      <w:r>
        <w:rPr>
          <w:b/>
          <w:bCs/>
        </w:rPr>
        <w:t xml:space="preserve">Impact.</w:t>
      </w:r>
      <w:r>
        <w:t xml:space="preserve"> </w:t>
      </w:r>
      <w:r>
        <w:t xml:space="preserve">Unaddressed ~$150K–$300K NY exposure; incomplete state-tax guidance for VA/NY shareholders; the state-level cascade of the federal eligibility risk is invisible to the reader.</w:t>
      </w:r>
    </w:p>
    <w:p>
      <w:pPr>
        <w:pStyle w:val="BodyText"/>
      </w:pPr>
      <w:r>
        <w:rPr>
          <w:b/>
          <w:bCs/>
        </w:rPr>
        <w:t xml:space="preserve">Recommendation.</w:t>
      </w:r>
      <w:r>
        <w:t xml:space="preserve"> </w:t>
      </w:r>
      <w:r>
        <w:t xml:space="preserve">Add the NY sales-tax exposure and the VA/NY 338(h)(10) conformity analysis. Cross-reference the federal S-election eligibility risk (C-2) to its state-level consequences.</w:t>
      </w:r>
    </w:p>
    <w:p>
      <w:r>
        <w:pict>
          <v:rect style="width:0;height:1.5pt" o:hralign="center" o:hrstd="t" o:hr="t"/>
        </w:pict>
      </w:r>
    </w:p>
    <w:bookmarkEnd w:id="41"/>
    <w:bookmarkStart w:id="42" w:name="X7e9d1b141caeb2741e0cd720ce383ecf25329e4"/>
    <w:p>
      <w:pPr>
        <w:pStyle w:val="Heading4"/>
      </w:pPr>
      <w:r>
        <w:t xml:space="preserve">M-6. Shareholder Count and State Residency Inconsistent with the Cap Table</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 (Section II.A) states that the</w:t>
      </w:r>
      <w:r>
        <w:t xml:space="preserve"> </w:t>
      </w:r>
      <w:r>
        <w:t xml:space="preserve">“</w:t>
      </w:r>
      <w:r>
        <w:t xml:space="preserve">Other Shareholders</w:t>
      </w:r>
      <w:r>
        <w:t xml:space="preserve">”</w:t>
      </w:r>
      <w:r>
        <w:t xml:space="preserve"> </w:t>
      </w:r>
      <w:r>
        <w:t xml:space="preserve">group comprises</w:t>
      </w:r>
      <w:r>
        <w:t xml:space="preserve"> </w:t>
      </w:r>
      <w:r>
        <w:t xml:space="preserve">“</w:t>
      </w:r>
      <w:r>
        <w:t xml:space="preserve">Fourteen (14) angel investors and early employees,</w:t>
      </w:r>
      <w:r>
        <w:t xml:space="preserve">”</w:t>
      </w:r>
      <w:r>
        <w:t xml:space="preserve"> </w:t>
      </w:r>
      <w:r>
        <w:t xml:space="preserve">with residency of</w:t>
      </w:r>
      <w:r>
        <w:t xml:space="preserve"> </w:t>
      </w:r>
      <w:r>
        <w:t xml:space="preserve">“</w:t>
      </w:r>
      <w:r>
        <w:t xml:space="preserve">eleven (11) in North Carolina, two (2) in California, and one (1) in New York.</w:t>
      </w:r>
      <w:r>
        <w:t xml:space="preserve">”</w:t>
      </w:r>
      <w:r>
        <w:t xml:space="preserve"> </w:t>
      </w:r>
      <w:r>
        <w:t xml:space="preserve">The TDD Report repeats the same figures. The Cap Table, however, identifies</w:t>
      </w:r>
      <w:r>
        <w:t xml:space="preserve"> </w:t>
      </w:r>
      <w:r>
        <w:rPr>
          <w:b/>
          <w:bCs/>
        </w:rPr>
        <w:t xml:space="preserve">sixteen (16) unique individuals</w:t>
      </w:r>
      <w:r>
        <w:t xml:space="preserve"> </w:t>
      </w:r>
      <w:r>
        <w:t xml:space="preserve">in the minority group (excluding the two founders), with residency of</w:t>
      </w:r>
      <w:r>
        <w:t xml:space="preserve"> </w:t>
      </w:r>
      <w:r>
        <w:rPr>
          <w:b/>
          <w:bCs/>
        </w:rPr>
        <w:t xml:space="preserve">fourteen (14) in North Carolina, two (2) in California, and one (1) in New York</w:t>
      </w:r>
      <w:r>
        <w:t xml:space="preserve">.</w:t>
      </w:r>
    </w:p>
    <w:p>
      <w:pPr>
        <w:pStyle w:val="BodyText"/>
      </w:pPr>
      <w:r>
        <w:t xml:space="preserve">The NC-resident count is understated by three (11 vs. 14) and the total count by two (14 vs. 16). This affects the state-tax analysis (more NC-resident shareholders than the Memo accounts for) and the logistics of obtaining the unanimous shareholder consents required for the Section 338(h)(10) election (SPA Sections 7.3(a), 8.2(d)).</w:t>
      </w:r>
    </w:p>
    <w:p>
      <w:pPr>
        <w:pStyle w:val="BodyText"/>
      </w:pPr>
      <w:r>
        <w:rPr>
          <w:b/>
          <w:bCs/>
        </w:rPr>
        <w:t xml:space="preserve">Document Cross-References.</w:t>
      </w:r>
      <w:r>
        <w:t xml:space="preserve"> </w:t>
      </w:r>
      <w:r>
        <w:t xml:space="preserve">Memo §II.A; TDD Report §III.B; Cap Table (Shareholder Details tab).</w:t>
      </w:r>
    </w:p>
    <w:p>
      <w:pPr>
        <w:pStyle w:val="BodyText"/>
      </w:pPr>
      <w:r>
        <w:rPr>
          <w:b/>
          <w:bCs/>
        </w:rPr>
        <w:t xml:space="preserve">Impact.</w:t>
      </w:r>
      <w:r>
        <w:t xml:space="preserve"> </w:t>
      </w:r>
      <w:r>
        <w:t xml:space="preserve">Inaccurate state-tax residency distribution; potential under-identification of shareholders whose consents must be collected.</w:t>
      </w:r>
    </w:p>
    <w:p>
      <w:pPr>
        <w:pStyle w:val="BodyText"/>
      </w:pPr>
      <w:r>
        <w:rPr>
          <w:b/>
          <w:bCs/>
        </w:rPr>
        <w:t xml:space="preserve">Recommendation.</w:t>
      </w:r>
      <w:r>
        <w:t xml:space="preserve"> </w:t>
      </w:r>
      <w:r>
        <w:t xml:space="preserve">Reconcile the shareholder count and residency to the Cap Table. Update the state-tax analysis accordingly.</w:t>
      </w:r>
    </w:p>
    <w:p>
      <w:r>
        <w:pict>
          <v:rect style="width:0;height:1.5pt" o:hralign="center" o:hrstd="t" o:hr="t"/>
        </w:pict>
      </w:r>
    </w:p>
    <w:bookmarkEnd w:id="42"/>
    <w:bookmarkStart w:id="43" w:name="X2c5462092572af273e6fdb06c699eb3255ad8e2"/>
    <w:p>
      <w:pPr>
        <w:pStyle w:val="Heading4"/>
      </w:pPr>
      <w:r>
        <w:t xml:space="preserve">M-7. Basic vs. Fully Diluted Ownership Used for Gain and Consideration Allocation</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 allocates the deemed sale gain and the equity consideration using</w:t>
      </w:r>
      <w:r>
        <w:t xml:space="preserve"> </w:t>
      </w:r>
      <w:r>
        <w:rPr>
          <w:b/>
          <w:bCs/>
        </w:rPr>
        <w:t xml:space="preserve">basic</w:t>
      </w:r>
      <w:r>
        <w:t xml:space="preserve"> </w:t>
      </w:r>
      <w:r>
        <w:t xml:space="preserve">ownership percentages (Chandra 52% / Stowe 28% / Others 20%). The SPA (Section 2.5) provides that all unvested restricted stock accelerates and is</w:t>
      </w:r>
      <w:r>
        <w:t xml:space="preserve"> </w:t>
      </w:r>
      <w:r>
        <w:t xml:space="preserve">“</w:t>
      </w:r>
      <w:r>
        <w:t xml:space="preserve">treated as an outstanding share of Company Common Stock for all purposes under Section 2.4</w:t>
      </w:r>
      <w:r>
        <w:t xml:space="preserve">”</w:t>
      </w:r>
      <w:r>
        <w:t xml:space="preserve"> </w:t>
      </w:r>
      <w:r>
        <w:t xml:space="preserve">at the Effective Time. The Cap Table shows that on a</w:t>
      </w:r>
      <w:r>
        <w:t xml:space="preserve"> </w:t>
      </w:r>
      <w:r>
        <w:rPr>
          <w:b/>
          <w:bCs/>
        </w:rPr>
        <w:t xml:space="preserve">fully diluted</w:t>
      </w:r>
      <w:r>
        <w:t xml:space="preserve"> </w:t>
      </w:r>
      <w:r>
        <w:t xml:space="preserve">basis (1,995,000 shares, including the 45,000 accelerated restricted shares), ownership is Chandra 50.83% / Stowe 27.37% / Others 21.80%.</w:t>
      </w:r>
    </w:p>
    <w:p>
      <w:pPr>
        <w:pStyle w:val="BodyText"/>
      </w:pPr>
      <w:r>
        <w:t xml:space="preserve">Because the restricted stock vests and becomes outstanding at closing, the gain pass-through and the consideration allocation should arguably reflect fully diluted ownership. The Memo’s use of basic percentages over-allocates gain and consideration to the founders and under-allocates to the minority/restricted-stock holders. The Cap Table’s own Consideration Waterfall is internally inconsistent on this point (it uses basic shares for the founders but fully diluted shares for the minority, such that its subtotals do not foot to the $370M grand total), which itself warrants reconciliation.</w:t>
      </w:r>
    </w:p>
    <w:p>
      <w:pPr>
        <w:pStyle w:val="BodyText"/>
      </w:pPr>
      <w:r>
        <w:rPr>
          <w:b/>
          <w:bCs/>
        </w:rPr>
        <w:t xml:space="preserve">Document Cross-References.</w:t>
      </w:r>
      <w:r>
        <w:t xml:space="preserve"> </w:t>
      </w:r>
      <w:r>
        <w:t xml:space="preserve">Memo §II.C, §V.B; SPA §2.4, §2.5, §2.6(d); Cap Table (Consideration Waterfall tab).</w:t>
      </w:r>
    </w:p>
    <w:p>
      <w:pPr>
        <w:pStyle w:val="BodyText"/>
      </w:pPr>
      <w:r>
        <w:rPr>
          <w:b/>
          <w:bCs/>
        </w:rPr>
        <w:t xml:space="preserve">Impact.</w:t>
      </w:r>
      <w:r>
        <w:t xml:space="preserve"> </w:t>
      </w:r>
      <w:r>
        <w:t xml:space="preserve">Misallocation of ~$6.5M of consideration and a corresponding amount of deemed-sale gain between the founders and the minority/restricted-stock holders; inconsistent treatment of accelerated restricted stock.</w:t>
      </w:r>
    </w:p>
    <w:p>
      <w:pPr>
        <w:pStyle w:val="BodyText"/>
      </w:pPr>
      <w:r>
        <w:rPr>
          <w:b/>
          <w:bCs/>
        </w:rPr>
        <w:t xml:space="preserve">Recommendation.</w:t>
      </w:r>
      <w:r>
        <w:t xml:space="preserve"> </w:t>
      </w:r>
      <w:r>
        <w:t xml:space="preserve">Confirm whether gain and consideration should be allocated on a basic or fully diluted basis given the acceleration, and apply consistently. Reconcile the Cap Table waterfall so that subtotals foot to the $370M equity value.</w:t>
      </w:r>
    </w:p>
    <w:p>
      <w:r>
        <w:pict>
          <v:rect style="width:0;height:1.5pt" o:hralign="center" o:hrstd="t" o:hr="t"/>
        </w:pict>
      </w:r>
    </w:p>
    <w:bookmarkEnd w:id="43"/>
    <w:bookmarkStart w:id="44" w:name="X414fc479d2091f96bc685a15ccd933701dcd4c5"/>
    <w:p>
      <w:pPr>
        <w:pStyle w:val="Heading4"/>
      </w:pPr>
      <w:r>
        <w:t xml:space="preserve">M-8. AAA / AE&amp;P / PTI Deemed-Liquidation Characterization Omitted</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TDD Report (Section IX.C) reports Prism’s tax-attribute balances as of December 31, 2023: Accumulated Adjustments Account (AAA) $64.2M; Accumulated Earnings &amp; Profits (AE&amp;P) $792,000; Previously Taxed Income (PTI) $792,000. In the Section 338(h)(10) deemed liquidation, the deemed liquidating distributions to shareholders are characterized first against AAA (tax-free to the extent of stock basis), then against AE&amp;P (taxable as a dividend), then as return of capital / capital gain. The $792K of AE&amp;P could therefore produce dividend income to the shareholders. The Memo does not address AAA, AE&amp;P, PTI, or the characterization of the deemed liquidating distributions at all; its shareholder-gain analysis jumps straight to the deemed-sale gain without the deemed-liquidation distribution mechanics.</w:t>
      </w:r>
    </w:p>
    <w:p>
      <w:pPr>
        <w:pStyle w:val="BodyText"/>
      </w:pPr>
      <w:r>
        <w:rPr>
          <w:b/>
          <w:bCs/>
        </w:rPr>
        <w:t xml:space="preserve">Document Cross-References.</w:t>
      </w:r>
      <w:r>
        <w:t xml:space="preserve"> </w:t>
      </w:r>
      <w:r>
        <w:t xml:space="preserve">Memo §V (no AAA/AE&amp;P discussion); TDD Report §IX.C.</w:t>
      </w:r>
    </w:p>
    <w:p>
      <w:pPr>
        <w:pStyle w:val="BodyText"/>
      </w:pPr>
      <w:r>
        <w:rPr>
          <w:b/>
          <w:bCs/>
        </w:rPr>
        <w:t xml:space="preserve">Impact.</w:t>
      </w:r>
      <w:r>
        <w:t xml:space="preserve"> </w:t>
      </w:r>
      <w:r>
        <w:t xml:space="preserve">Incomplete characterization of the shareholder-level tax consequences; the $792K AE&amp;P dividend layer is not addressed.</w:t>
      </w:r>
    </w:p>
    <w:p>
      <w:pPr>
        <w:pStyle w:val="BodyText"/>
      </w:pPr>
      <w:r>
        <w:rPr>
          <w:b/>
          <w:bCs/>
        </w:rPr>
        <w:t xml:space="preserve">Recommendation.</w:t>
      </w:r>
      <w:r>
        <w:t xml:space="preserve"> </w:t>
      </w:r>
      <w:r>
        <w:t xml:space="preserve">Add the deemed-liquidation distribution characterization (AAA → AE&amp;P → return of capital → capital gain) to the shareholder-consequences section, incorporating the AAA/AE&amp;P/PTI balances.</w:t>
      </w:r>
    </w:p>
    <w:p>
      <w:r>
        <w:pict>
          <v:rect style="width:0;height:1.5pt" o:hralign="center" o:hrstd="t" o:hr="t"/>
        </w:pict>
      </w:r>
    </w:p>
    <w:bookmarkEnd w:id="44"/>
    <w:bookmarkStart w:id="45" w:name="Xa501da4c179fb72e83adef779726e7e89866934"/>
    <w:p>
      <w:pPr>
        <w:pStyle w:val="Heading4"/>
      </w:pPr>
      <w:r>
        <w:t xml:space="preserve">M-9. Post-Closing Entity-Conversion Recommendation Analytically Incomplete</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 (Section VII.B) recommends that Buyer</w:t>
      </w:r>
      <w:r>
        <w:t xml:space="preserve"> </w:t>
      </w:r>
      <w:r>
        <w:t xml:space="preserve">“</w:t>
      </w:r>
      <w:r>
        <w:t xml:space="preserve">consider converting Prism from a C corporation to a disregarded entity or partnership for federal income tax purposes following the closing, by making a check-the-box election.</w:t>
      </w:r>
      <w:r>
        <w:t xml:space="preserve">”</w:t>
      </w:r>
      <w:r>
        <w:t xml:space="preserve"> </w:t>
      </w:r>
      <w:r>
        <w:t xml:space="preserve">After the Section 338(h)(10) election, new Target (Prism) is a C corporation. Converting a C corporation to a partnership or disregarded entity is generally a</w:t>
      </w:r>
      <w:r>
        <w:t xml:space="preserve"> </w:t>
      </w:r>
      <w:r>
        <w:rPr>
          <w:b/>
          <w:bCs/>
        </w:rPr>
        <w:t xml:space="preserve">taxable liquidation</w:t>
      </w:r>
      <w:r>
        <w:t xml:space="preserve"> </w:t>
      </w:r>
      <w:r>
        <w:t xml:space="preserve">(Section 331) at the entity level (deemed liquidation followed by contribution to the new entity), which can trigger corporate-level tax and shareholder-level gain — the very cost the 338(h)(10) step-up was intended to optimize. The Memo presents the conversion as a simple, costless</w:t>
      </w:r>
      <w:r>
        <w:t xml:space="preserve"> </w:t>
      </w:r>
      <w:r>
        <w:t xml:space="preserve">“</w:t>
      </w:r>
      <w:r>
        <w:t xml:space="preserve">recommendation</w:t>
      </w:r>
      <w:r>
        <w:t xml:space="preserve">”</w:t>
      </w:r>
      <w:r>
        <w:t xml:space="preserve"> </w:t>
      </w:r>
      <w:r>
        <w:t xml:space="preserve">without analyzing the tax cost of the conversion itself or the conditions under which it would be efficient.</w:t>
      </w:r>
    </w:p>
    <w:p>
      <w:pPr>
        <w:pStyle w:val="BodyText"/>
      </w:pPr>
      <w:r>
        <w:rPr>
          <w:b/>
          <w:bCs/>
        </w:rPr>
        <w:t xml:space="preserve">Document Cross-References.</w:t>
      </w:r>
      <w:r>
        <w:t xml:space="preserve"> </w:t>
      </w:r>
      <w:r>
        <w:t xml:space="preserve">Memo §VII.B.</w:t>
      </w:r>
    </w:p>
    <w:p>
      <w:pPr>
        <w:pStyle w:val="BodyText"/>
      </w:pPr>
      <w:r>
        <w:rPr>
          <w:b/>
          <w:bCs/>
        </w:rPr>
        <w:t xml:space="preserve">Impact.</w:t>
      </w:r>
      <w:r>
        <w:t xml:space="preserve"> </w:t>
      </w:r>
      <w:r>
        <w:t xml:space="preserve">The recommendation, if acted upon without further analysis, could trigger unintended tax cost; the Memo overstates the ease and tax efficiency of the conversion.</w:t>
      </w:r>
    </w:p>
    <w:p>
      <w:pPr>
        <w:pStyle w:val="BodyText"/>
      </w:pPr>
      <w:r>
        <w:rPr>
          <w:b/>
          <w:bCs/>
        </w:rPr>
        <w:t xml:space="preserve">Recommendation.</w:t>
      </w:r>
      <w:r>
        <w:t xml:space="preserve"> </w:t>
      </w:r>
      <w:r>
        <w:t xml:space="preserve">Either analyze the tax cost of the post-closing C-to-partnership conversion (including any Section 331/1001 gain) and the conditions under which it is net-beneficial, or qualify the recommendation to make clear that the conversion is itself a taxable event requiring separate analysis.</w:t>
      </w:r>
    </w:p>
    <w:p>
      <w:r>
        <w:pict>
          <v:rect style="width:0;height:1.5pt" o:hralign="center" o:hrstd="t" o:hr="t"/>
        </w:pict>
      </w:r>
    </w:p>
    <w:bookmarkEnd w:id="45"/>
    <w:bookmarkStart w:id="46" w:name="X43302c5a31645185de00a0de991bf3c75073d74"/>
    <w:p>
      <w:pPr>
        <w:pStyle w:val="Heading4"/>
      </w:pPr>
      <w:r>
        <w:t xml:space="preserve">M-10. Developed-Technology Amortization (Section 167) Omitted from Buyer D&amp;A Analysis</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The Memo’s Buyer tax-benefit analysis (Section VII.A) quantifies amortization for Class VI Section 197 intangibles ($95M / 15 years) and Class VII goodwill ($272.8M / 15 years), and depreciation for Class V tangible assets (real property 39 years; FF&amp;E 5–7 years). It does</w:t>
      </w:r>
      <w:r>
        <w:t xml:space="preserve"> </w:t>
      </w:r>
      <w:r>
        <w:rPr>
          <w:b/>
          <w:bCs/>
        </w:rPr>
        <w:t xml:space="preserve">not</w:t>
      </w:r>
      <w:r>
        <w:t xml:space="preserve"> </w:t>
      </w:r>
      <w:r>
        <w:t xml:space="preserve">address the amortization of the</w:t>
      </w:r>
      <w:r>
        <w:t xml:space="preserve"> </w:t>
      </w:r>
      <w:r>
        <w:rPr>
          <w:b/>
          <w:bCs/>
        </w:rPr>
        <w:t xml:space="preserve">developed technology / proprietary software</w:t>
      </w:r>
      <w:r>
        <w:t xml:space="preserve"> </w:t>
      </w:r>
      <w:r>
        <w:t xml:space="preserve">intangible, which the Asset Valuation (A-006) classifies as a Class V asset amortizable under</w:t>
      </w:r>
      <w:r>
        <w:t xml:space="preserve"> </w:t>
      </w:r>
      <w:r>
        <w:rPr>
          <w:b/>
          <w:bCs/>
        </w:rPr>
        <w:t xml:space="preserve">Section 167 over 5 years</w:t>
      </w:r>
      <w:r>
        <w:t xml:space="preserve"> </w:t>
      </w:r>
      <w:r>
        <w:t xml:space="preserve">(not Section 197). At Thornfield’s $41.8M value, this would generate ~$8.36M/year of amortization for 5 years — a material, shorter-lived deduction that the Memo’s</w:t>
      </w:r>
      <w:r>
        <w:t xml:space="preserve"> </w:t>
      </w:r>
      <w:r>
        <w:t xml:space="preserve">“</w:t>
      </w:r>
      <w:r>
        <w:t xml:space="preserve">$24.5M or more</w:t>
      </w:r>
      <w:r>
        <w:t xml:space="preserve">”</w:t>
      </w:r>
      <w:r>
        <w:t xml:space="preserve"> </w:t>
      </w:r>
      <w:r>
        <w:t xml:space="preserve">annual D&amp;A estimate omits entirely. (The Memo’s D&amp;A estimate is also distorted by the inflated goodwill from C-1/H-1.)</w:t>
      </w:r>
    </w:p>
    <w:p>
      <w:pPr>
        <w:pStyle w:val="BodyText"/>
      </w:pPr>
      <w:r>
        <w:rPr>
          <w:b/>
          <w:bCs/>
        </w:rPr>
        <w:t xml:space="preserve">Document Cross-References.</w:t>
      </w:r>
      <w:r>
        <w:t xml:space="preserve"> </w:t>
      </w:r>
      <w:r>
        <w:t xml:space="preserve">Memo §VII.A; Asset Valuation A-006 (Section 167, 5-year life).</w:t>
      </w:r>
    </w:p>
    <w:p>
      <w:pPr>
        <w:pStyle w:val="BodyText"/>
      </w:pPr>
      <w:r>
        <w:rPr>
          <w:b/>
          <w:bCs/>
        </w:rPr>
        <w:t xml:space="preserve">Impact.</w:t>
      </w:r>
      <w:r>
        <w:t xml:space="preserve"> </w:t>
      </w:r>
      <w:r>
        <w:t xml:space="preserve">The Buyer’s tax-benefit analysis omits a material, front-loaded deduction and misstates the timing/magnitude of the tax shields.</w:t>
      </w:r>
    </w:p>
    <w:p>
      <w:pPr>
        <w:pStyle w:val="BodyText"/>
      </w:pPr>
      <w:r>
        <w:rPr>
          <w:b/>
          <w:bCs/>
        </w:rPr>
        <w:t xml:space="preserve">Recommendation.</w:t>
      </w:r>
      <w:r>
        <w:t xml:space="preserve"> </w:t>
      </w:r>
      <w:r>
        <w:t xml:space="preserve">Add the developed-technology Section 167 amortization to the Buyer D&amp;A schedule, using the corrected Class V value. Recompute the annual and present-value tax benefits.</w:t>
      </w:r>
    </w:p>
    <w:p>
      <w:r>
        <w:pict>
          <v:rect style="width:0;height:1.5pt" o:hralign="center" o:hrstd="t" o:hr="t"/>
        </w:pict>
      </w:r>
    </w:p>
    <w:bookmarkEnd w:id="46"/>
    <w:bookmarkStart w:id="47" w:name="X20de854633fe4f5dbdef9ee03d3c52e8bccc9e7"/>
    <w:p>
      <w:pPr>
        <w:pStyle w:val="Heading4"/>
      </w:pPr>
      <w:r>
        <w:t xml:space="preserve">M-11. Buyer Equity-Contribution Computation Arithmetically Flawed; EBITDA Figure Uncorroborated</w:t>
      </w:r>
    </w:p>
    <w:p>
      <w:pPr>
        <w:pStyle w:val="FirstParagraph"/>
      </w:pPr>
      <w:r>
        <w:rPr>
          <w:b/>
          <w:bCs/>
        </w:rPr>
        <w:t xml:space="preserve">Severity:</w:t>
      </w:r>
      <w:r>
        <w:t xml:space="preserve"> </w:t>
      </w:r>
      <w:r>
        <w:t xml:space="preserve">Moderate</w:t>
      </w:r>
    </w:p>
    <w:p>
      <w:pPr>
        <w:pStyle w:val="BodyText"/>
      </w:pPr>
      <w:r>
        <w:rPr>
          <w:b/>
          <w:bCs/>
        </w:rPr>
        <w:t xml:space="preserve">The Issue.</w:t>
      </w:r>
      <w:r>
        <w:t xml:space="preserve"> </w:t>
      </w:r>
      <w:r>
        <w:t xml:space="preserve">Two related items in the Memo’s financing/Section 163(j) discussion:</w:t>
      </w:r>
    </w:p>
    <w:p>
      <w:pPr>
        <w:numPr>
          <w:ilvl w:val="0"/>
          <w:numId w:val="1008"/>
        </w:numPr>
      </w:pPr>
      <w:r>
        <w:rPr>
          <w:b/>
          <w:bCs/>
        </w:rPr>
        <w:t xml:space="preserve">Equity-contribution math.</w:t>
      </w:r>
      <w:r>
        <w:t xml:space="preserve"> </w:t>
      </w:r>
      <w:r>
        <w:t xml:space="preserve">The Memo (Section II.C) computes Fund III’s equity contribution as</w:t>
      </w:r>
      <w:r>
        <w:t xml:space="preserve"> </w:t>
      </w:r>
      <w:r>
        <w:t xml:space="preserve">“</w:t>
      </w:r>
      <w:r>
        <w:t xml:space="preserve">$370M (total equity consideration) less $37M (rollover) less $190M (funded debt) = $143M.</w:t>
      </w:r>
      <w:r>
        <w:t xml:space="preserve">”</w:t>
      </w:r>
      <w:r>
        <w:t xml:space="preserve"> </w:t>
      </w:r>
      <w:r>
        <w:t xml:space="preserve">This is incorrect. The $190M Term Loan A is a</w:t>
      </w:r>
      <w:r>
        <w:t xml:space="preserve"> </w:t>
      </w:r>
      <w:r>
        <w:rPr>
          <w:i/>
          <w:iCs/>
        </w:rPr>
        <w:t xml:space="preserve">source</w:t>
      </w:r>
      <w:r>
        <w:t xml:space="preserve"> </w:t>
      </w:r>
      <w:r>
        <w:t xml:space="preserve">of funds that, together with Fund III equity, must cover all closing uses: $333M cash to shareholders + $48M existing-debt payoff + $7M seller expenses = $388M. With $190M of Term Loan A, Fund III’s cash equity contribution is ~$198M, not $143M. The Memo’s calculation omits the $48M debt payoff and $7M seller expenses from the uses of funds (a $55M understatement), and conflates the new Term Loan A with the existing funded debt.</w:t>
      </w:r>
    </w:p>
    <w:p>
      <w:pPr>
        <w:numPr>
          <w:ilvl w:val="0"/>
          <w:numId w:val="1008"/>
        </w:numPr>
      </w:pPr>
      <w:r>
        <w:rPr>
          <w:b/>
          <w:bCs/>
        </w:rPr>
        <w:t xml:space="preserve">Uncorroborated EBITDA.</w:t>
      </w:r>
      <w:r>
        <w:t xml:space="preserve"> </w:t>
      </w:r>
      <w:r>
        <w:t xml:space="preserve">The Memo (Section VII.B) relies on</w:t>
      </w:r>
      <w:r>
        <w:t xml:space="preserve"> </w:t>
      </w:r>
      <w:r>
        <w:t xml:space="preserve">“</w:t>
      </w:r>
      <w:r>
        <w:t xml:space="preserve">Prism’s historical EBITDA of approximately $58,000,000 (2024 estimate)</w:t>
      </w:r>
      <w:r>
        <w:t xml:space="preserve">”</w:t>
      </w:r>
      <w:r>
        <w:t xml:space="preserve"> </w:t>
      </w:r>
      <w:r>
        <w:t xml:space="preserve">for the Section 163(j) interest-capacity analysis. No supporting document corroborates a $58M figure. On ~$87M of revenue, a 67% EBITDA margin is unusually high and inconsistent with Beacon’s ~29% margin. The Section 163(j) conclusion (that interest is fully deductible) is sensitive to this figure: at $190M of Term Loan A at ~SOFR+350 bps, annual interest is ~$16M; 30% of $58M ATI = $17.4M (deductible), but 30% of a materially lower EBITDA could constrain the deduction.</w:t>
      </w:r>
    </w:p>
    <w:p>
      <w:pPr>
        <w:pStyle w:val="FirstParagraph"/>
      </w:pPr>
      <w:r>
        <w:rPr>
          <w:b/>
          <w:bCs/>
        </w:rPr>
        <w:t xml:space="preserve">Document Cross-References.</w:t>
      </w:r>
      <w:r>
        <w:t xml:space="preserve"> </w:t>
      </w:r>
      <w:r>
        <w:t xml:space="preserve">Memo §II.C (equity contribution), §VII.B (Section 163(j)); SPA §8.2(h) (financing); TDD Report (no consolidated EBITDA stated).</w:t>
      </w:r>
    </w:p>
    <w:p>
      <w:pPr>
        <w:pStyle w:val="BodyText"/>
      </w:pPr>
      <w:r>
        <w:rPr>
          <w:b/>
          <w:bCs/>
        </w:rPr>
        <w:t xml:space="preserve">Impact.</w:t>
      </w:r>
      <w:r>
        <w:t xml:space="preserve"> </w:t>
      </w:r>
      <w:r>
        <w:t xml:space="preserve">Misstated capital structure / leverage presentation; the 163(j) conclusion rests on an uncorroborated and apparently aggressive EBITDA assumption.</w:t>
      </w:r>
    </w:p>
    <w:p>
      <w:pPr>
        <w:pStyle w:val="BodyText"/>
      </w:pPr>
      <w:r>
        <w:rPr>
          <w:b/>
          <w:bCs/>
        </w:rPr>
        <w:t xml:space="preserve">Recommendation.</w:t>
      </w:r>
      <w:r>
        <w:t xml:space="preserve"> </w:t>
      </w:r>
      <w:r>
        <w:t xml:space="preserve">Correct the sources-and-uses / equity-contribution computation. Corroborate the EBITDA figure against the quality-of-earnings analysis and stress-test the Section 163(j) conclusion at a lower EBITDA.</w:t>
      </w:r>
    </w:p>
    <w:p>
      <w:r>
        <w:pict>
          <v:rect style="width:0;height:1.5pt" o:hralign="center" o:hrstd="t" o:hr="t"/>
        </w:pict>
      </w:r>
    </w:p>
    <w:bookmarkEnd w:id="47"/>
    <w:bookmarkEnd w:id="48"/>
    <w:bookmarkStart w:id="55" w:name="d.-low-severity-findings"/>
    <w:p>
      <w:pPr>
        <w:pStyle w:val="Heading3"/>
      </w:pPr>
      <w:r>
        <w:t xml:space="preserve">D. Low-Severity Findings</w:t>
      </w:r>
    </w:p>
    <w:p>
      <w:r>
        <w:pict>
          <v:rect style="width:0;height:1.5pt" o:hralign="center" o:hrstd="t" o:hr="t"/>
        </w:pict>
      </w:r>
    </w:p>
    <w:bookmarkStart w:id="49" w:name="Xfbe1023b3553a1ffd9cc53c93d275460fe471c6"/>
    <w:p>
      <w:pPr>
        <w:pStyle w:val="Heading4"/>
      </w:pPr>
      <w:r>
        <w:t xml:space="preserve">L-1. Incorrect SPA Cross-Reference for the 338(h)(10) Consent Condition</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The Memo (Section II.B) states that the requirement that all shareholders consent to the Section 338(h)(10) election</w:t>
      </w:r>
      <w:r>
        <w:t xml:space="preserve"> </w:t>
      </w:r>
      <w:r>
        <w:t xml:space="preserve">“</w:t>
      </w:r>
      <w:r>
        <w:t xml:space="preserve">is reflected in Section 7.04 of the Stock Purchase Agreement.</w:t>
      </w:r>
      <w:r>
        <w:t xml:space="preserve">”</w:t>
      </w:r>
      <w:r>
        <w:t xml:space="preserve"> </w:t>
      </w:r>
      <w:r>
        <w:t xml:space="preserve">The consent requirement is actually in SPA Section 7.3(a) (and the corresponding closing condition in Section 8.2(d)). SPA Section 7.4 governs the</w:t>
      </w:r>
      <w:r>
        <w:t xml:space="preserve"> </w:t>
      </w:r>
      <w:r>
        <w:rPr>
          <w:b/>
          <w:bCs/>
        </w:rPr>
        <w:t xml:space="preserve">escrow</w:t>
      </w:r>
      <w:r>
        <w:t xml:space="preserve">, not the 338(h)(10) consent.</w:t>
      </w:r>
    </w:p>
    <w:p>
      <w:pPr>
        <w:pStyle w:val="BodyText"/>
      </w:pPr>
      <w:r>
        <w:rPr>
          <w:b/>
          <w:bCs/>
        </w:rPr>
        <w:t xml:space="preserve">Document Cross-References.</w:t>
      </w:r>
      <w:r>
        <w:t xml:space="preserve"> </w:t>
      </w:r>
      <w:r>
        <w:t xml:space="preserve">Memo §II.B; SPA §7.3(a), §8.2(d), §7.4.</w:t>
      </w:r>
    </w:p>
    <w:p>
      <w:pPr>
        <w:pStyle w:val="BodyText"/>
      </w:pPr>
      <w:r>
        <w:rPr>
          <w:b/>
          <w:bCs/>
        </w:rPr>
        <w:t xml:space="preserve">Recommendation.</w:t>
      </w:r>
      <w:r>
        <w:t xml:space="preserve"> </w:t>
      </w:r>
      <w:r>
        <w:t xml:space="preserve">Correct the cross-reference to Section 7.3(a) / 8.2(d).</w:t>
      </w:r>
    </w:p>
    <w:p>
      <w:r>
        <w:pict>
          <v:rect style="width:0;height:1.5pt" o:hralign="center" o:hrstd="t" o:hr="t"/>
        </w:pict>
      </w:r>
    </w:p>
    <w:bookmarkEnd w:id="49"/>
    <w:bookmarkStart w:id="50" w:name="X9fea53dd708ee53fa5e8834c4dd7e911187589b"/>
    <w:p>
      <w:pPr>
        <w:pStyle w:val="Heading4"/>
      </w:pPr>
      <w:r>
        <w:t xml:space="preserve">L-2. Document Title and TDD Report Date Inaccuracies</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(a) The Memo repeatedly refers to the</w:t>
      </w:r>
      <w:r>
        <w:t xml:space="preserve"> </w:t>
      </w:r>
      <w:r>
        <w:t xml:space="preserve">“</w:t>
      </w:r>
      <w:r>
        <w:t xml:space="preserve">Stock Purchase Agreement dated January 28, 2025,</w:t>
      </w:r>
      <w:r>
        <w:t xml:space="preserve">”</w:t>
      </w:r>
      <w:r>
        <w:t xml:space="preserve"> </w:t>
      </w:r>
      <w:r>
        <w:t xml:space="preserve">but the operative agreement is titled</w:t>
      </w:r>
      <w:r>
        <w:t xml:space="preserve"> </w:t>
      </w:r>
      <w:r>
        <w:t xml:space="preserve">“</w:t>
      </w:r>
      <w:r>
        <w:t xml:space="preserve">Agreement and Plan of Merger</w:t>
      </w:r>
      <w:r>
        <w:t xml:space="preserve">”</w:t>
      </w:r>
      <w:r>
        <w:t xml:space="preserve"> </w:t>
      </w:r>
      <w:r>
        <w:t xml:space="preserve">(dated January 28, 2025). (b) The Memo’s scope statement cites</w:t>
      </w:r>
      <w:r>
        <w:t xml:space="preserve"> </w:t>
      </w:r>
      <w:r>
        <w:t xml:space="preserve">“</w:t>
      </w:r>
      <w:r>
        <w:t xml:space="preserve">the quality of earnings and tax due diligence report prepared by Thornfield Accounting Group, LLP dated January 10, 2025,</w:t>
      </w:r>
      <w:r>
        <w:t xml:space="preserve">”</w:t>
      </w:r>
      <w:r>
        <w:t xml:space="preserve"> </w:t>
      </w:r>
      <w:r>
        <w:t xml:space="preserve">but the TDD Report is dated</w:t>
      </w:r>
      <w:r>
        <w:t xml:space="preserve"> </w:t>
      </w:r>
      <w:r>
        <w:rPr>
          <w:b/>
          <w:bCs/>
        </w:rPr>
        <w:t xml:space="preserve">January 15, 2025</w:t>
      </w:r>
      <w:r>
        <w:t xml:space="preserve"> </w:t>
      </w:r>
      <w:r>
        <w:t xml:space="preserve">(January 10 is the</w:t>
      </w:r>
      <w:r>
        <w:t xml:space="preserve"> </w:t>
      </w:r>
      <w:r>
        <w:t xml:space="preserve">“</w:t>
      </w:r>
      <w:r>
        <w:t xml:space="preserve">through</w:t>
      </w:r>
      <w:r>
        <w:t xml:space="preserve">”</w:t>
      </w:r>
      <w:r>
        <w:t xml:space="preserve"> </w:t>
      </w:r>
      <w:r>
        <w:t xml:space="preserve">date for information received, not the report date), and the TDD Report is titled</w:t>
      </w:r>
      <w:r>
        <w:t xml:space="preserve"> </w:t>
      </w:r>
      <w:r>
        <w:t xml:space="preserve">“</w:t>
      </w:r>
      <w:r>
        <w:t xml:space="preserve">Tax Due Diligence Report</w:t>
      </w:r>
      <w:r>
        <w:t xml:space="preserve">”</w:t>
      </w:r>
      <w:r>
        <w:t xml:space="preserve"> </w:t>
      </w:r>
      <w:r>
        <w:t xml:space="preserve">(the Memo elsewhere refers to it correctly as the</w:t>
      </w:r>
      <w:r>
        <w:t xml:space="preserve"> </w:t>
      </w:r>
      <w:r>
        <w:t xml:space="preserve">“</w:t>
      </w:r>
      <w:r>
        <w:t xml:space="preserve">tax due diligence report,</w:t>
      </w:r>
      <w:r>
        <w:t xml:space="preserve">”</w:t>
      </w:r>
      <w:r>
        <w:t xml:space="preserve"> </w:t>
      </w:r>
      <w:r>
        <w:t xml:space="preserve">indicating an internal inconsistency).</w:t>
      </w:r>
    </w:p>
    <w:p>
      <w:pPr>
        <w:pStyle w:val="BodyText"/>
      </w:pPr>
      <w:r>
        <w:rPr>
          <w:b/>
          <w:bCs/>
        </w:rPr>
        <w:t xml:space="preserve">Document Cross-References.</w:t>
      </w:r>
      <w:r>
        <w:t xml:space="preserve"> </w:t>
      </w:r>
      <w:r>
        <w:t xml:space="preserve">Memo (scope statement; §III.D; §IX.C); TDD Report cover page (Jan. 15, 2025); SPA title page.</w:t>
      </w:r>
    </w:p>
    <w:p>
      <w:pPr>
        <w:pStyle w:val="BodyText"/>
      </w:pPr>
      <w:r>
        <w:rPr>
          <w:b/>
          <w:bCs/>
        </w:rPr>
        <w:t xml:space="preserve">Recommendation.</w:t>
      </w:r>
      <w:r>
        <w:t xml:space="preserve"> </w:t>
      </w:r>
      <w:r>
        <w:t xml:space="preserve">Correct the agreement title and the TDD Report date.</w:t>
      </w:r>
    </w:p>
    <w:p>
      <w:r>
        <w:pict>
          <v:rect style="width:0;height:1.5pt" o:hralign="center" o:hrstd="t" o:hr="t"/>
        </w:pict>
      </w:r>
    </w:p>
    <w:bookmarkEnd w:id="50"/>
    <w:bookmarkStart w:id="51" w:name="X9d6f5d7dd90028c1792f2d7a61ddbc1a725676f"/>
    <w:p>
      <w:pPr>
        <w:pStyle w:val="Heading4"/>
      </w:pPr>
      <w:r>
        <w:t xml:space="preserve">L-3. Section 197 Anti-Churning Analysis Is Thin (Likely Correct but Undersupported)</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The Memo (Section VII.B) concludes the Section 197(f)(9) anti-churning rules</w:t>
      </w:r>
      <w:r>
        <w:t xml:space="preserve"> </w:t>
      </w:r>
      <w:r>
        <w:t xml:space="preserve">“</w:t>
      </w:r>
      <w:r>
        <w:t xml:space="preserve">should not apply</w:t>
      </w:r>
      <w:r>
        <w:t xml:space="preserve">”</w:t>
      </w:r>
      <w:r>
        <w:t xml:space="preserve"> </w:t>
      </w:r>
      <w:r>
        <w:t xml:space="preserve">because Buyer is unrelated to old Target’s shareholders and Chandra will not</w:t>
      </w:r>
      <w:r>
        <w:t xml:space="preserve"> </w:t>
      </w:r>
      <w:r>
        <w:t xml:space="preserve">“</w:t>
      </w:r>
      <w:r>
        <w:t xml:space="preserve">control</w:t>
      </w:r>
      <w:r>
        <w:t xml:space="preserve">”</w:t>
      </w:r>
      <w:r>
        <w:t xml:space="preserve"> </w:t>
      </w:r>
      <w:r>
        <w:t xml:space="preserve">Buyer post-closing. The conclusion is likely correct — Prism was incorporated in 2016, so all of its intangibles were acquired/created after the August 10, 1993 effective date and are not</w:t>
      </w:r>
      <w:r>
        <w:t xml:space="preserve"> </w:t>
      </w:r>
      <w:r>
        <w:t xml:space="preserve">“</w:t>
      </w:r>
      <w:r>
        <w:t xml:space="preserve">non-15-year amortizable</w:t>
      </w:r>
      <w:r>
        <w:t xml:space="preserve">”</w:t>
      </w:r>
      <w:r>
        <w:t xml:space="preserve"> </w:t>
      </w:r>
      <w:r>
        <w:t xml:space="preserve">pre-1993 intangibles that the anti-churning rules protect. However, the Memo does not articulate this basis and does not address the Section 197(f)(9)(B)</w:t>
      </w:r>
      <w:r>
        <w:t xml:space="preserve"> </w:t>
      </w:r>
      <w:r>
        <w:t xml:space="preserve">“</w:t>
      </w:r>
      <w:r>
        <w:t xml:space="preserve">related party</w:t>
      </w:r>
      <w:r>
        <w:t xml:space="preserve">”</w:t>
      </w:r>
      <w:r>
        <w:t xml:space="preserve"> </w:t>
      </w:r>
      <w:r>
        <w:t xml:space="preserve">constructive-ownership analysis in light of Chandra’s 52% pre-closing ownership and his post-closing rollover interest.</w:t>
      </w:r>
    </w:p>
    <w:p>
      <w:pPr>
        <w:pStyle w:val="BodyText"/>
      </w:pPr>
      <w:r>
        <w:rPr>
          <w:b/>
          <w:bCs/>
        </w:rPr>
        <w:t xml:space="preserve">Document Cross-References.</w:t>
      </w:r>
      <w:r>
        <w:t xml:space="preserve"> </w:t>
      </w:r>
      <w:r>
        <w:t xml:space="preserve">Memo §VII.B.</w:t>
      </w:r>
    </w:p>
    <w:p>
      <w:pPr>
        <w:pStyle w:val="BodyText"/>
      </w:pPr>
      <w:r>
        <w:rPr>
          <w:b/>
          <w:bCs/>
        </w:rPr>
        <w:t xml:space="preserve">Recommendation.</w:t>
      </w:r>
      <w:r>
        <w:t xml:space="preserve"> </w:t>
      </w:r>
      <w:r>
        <w:t xml:space="preserve">Briefly articulate the post-1993 origin basis for the anti-churning conclusion and confirm the related-party analysis given Chandra’s pre/post ownership.</w:t>
      </w:r>
    </w:p>
    <w:p>
      <w:r>
        <w:pict>
          <v:rect style="width:0;height:1.5pt" o:hralign="center" o:hrstd="t" o:hr="t"/>
        </w:pict>
      </w:r>
    </w:p>
    <w:bookmarkEnd w:id="51"/>
    <w:bookmarkStart w:id="52" w:name="X7820e980a5908b59e50655f24400ca568c2ab9b"/>
    <w:p>
      <w:pPr>
        <w:pStyle w:val="Heading4"/>
      </w:pPr>
      <w:r>
        <w:t xml:space="preserve">L-4. Non-Compete Characterization and Contract-Life vs. Amortization Mismatch Noted</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The Asset Valuation (A-013) allocates $15M to non-compete agreements (Chandra $10.5M tied to a 4-year employment agreement; Stowe $4.5M tied to a 2-year consulting agreement), amortized over 15 years under Section 197. The 15-year amortization is statutorily required regardless of the actual restrictive period, so the amortization period is correct. However, the Memo does not address (a) the risk that the non-compete value could be recharacterized as compensatory (related to M-4), or (b) the renewal assumptions (e.g., 92% hospital-client renewal rate per A-010) that support the customer-relationship values.</w:t>
      </w:r>
    </w:p>
    <w:p>
      <w:pPr>
        <w:pStyle w:val="BodyText"/>
      </w:pPr>
      <w:r>
        <w:rPr>
          <w:b/>
          <w:bCs/>
        </w:rPr>
        <w:t xml:space="preserve">Document Cross-References.</w:t>
      </w:r>
      <w:r>
        <w:t xml:space="preserve"> </w:t>
      </w:r>
      <w:r>
        <w:t xml:space="preserve">Memo §IV.C; Asset Valuation A-010, A-011, A-013.</w:t>
      </w:r>
    </w:p>
    <w:p>
      <w:pPr>
        <w:pStyle w:val="BodyText"/>
      </w:pPr>
      <w:r>
        <w:rPr>
          <w:b/>
          <w:bCs/>
        </w:rPr>
        <w:t xml:space="preserve">Recommendation.</w:t>
      </w:r>
      <w:r>
        <w:t xml:space="preserve"> </w:t>
      </w:r>
      <w:r>
        <w:t xml:space="preserve">Add a brief note on non-compete characterization and the renewal assumptions supporting customer-relationship values.</w:t>
      </w:r>
    </w:p>
    <w:p>
      <w:r>
        <w:pict>
          <v:rect style="width:0;height:1.5pt" o:hralign="center" o:hrstd="t" o:hr="t"/>
        </w:pict>
      </w:r>
    </w:p>
    <w:bookmarkEnd w:id="52"/>
    <w:bookmarkStart w:id="53" w:name="X6f6d4a199f01cf4504e8ccfe5953a3bd40f4915"/>
    <w:p>
      <w:pPr>
        <w:pStyle w:val="Heading4"/>
      </w:pPr>
      <w:r>
        <w:t xml:space="preserve">L-5. 2024 Form 1120-S Filing / Closing-Date Timing Conflict Not Addressed</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The TDD Report (Section IV.A) notes that the 2024 Form 1120-S is due March 15, 2025 — the same date as the expected closing — and that an extension will likely be required. The Memo (Section IX.B) addresses the final short-period return (January 1 – March 15, 2025) but does not address the timing of the 2024 full-year return or the need for an extension to avoid a filing conflict with closing.</w:t>
      </w:r>
    </w:p>
    <w:p>
      <w:pPr>
        <w:pStyle w:val="BodyText"/>
      </w:pPr>
      <w:r>
        <w:rPr>
          <w:b/>
          <w:bCs/>
        </w:rPr>
        <w:t xml:space="preserve">Document Cross-References.</w:t>
      </w:r>
      <w:r>
        <w:t xml:space="preserve"> </w:t>
      </w:r>
      <w:r>
        <w:t xml:space="preserve">Memo §IX.B; TDD Report §IV.A.</w:t>
      </w:r>
    </w:p>
    <w:p>
      <w:pPr>
        <w:pStyle w:val="BodyText"/>
      </w:pPr>
      <w:r>
        <w:rPr>
          <w:b/>
          <w:bCs/>
        </w:rPr>
        <w:t xml:space="preserve">Recommendation.</w:t>
      </w:r>
      <w:r>
        <w:t xml:space="preserve"> </w:t>
      </w:r>
      <w:r>
        <w:t xml:space="preserve">Add a note on the 2024 return due date / extension to the post-closing filings list.</w:t>
      </w:r>
    </w:p>
    <w:p>
      <w:r>
        <w:pict>
          <v:rect style="width:0;height:1.5pt" o:hralign="center" o:hrstd="t" o:hr="t"/>
        </w:pict>
      </w:r>
    </w:p>
    <w:bookmarkEnd w:id="53"/>
    <w:bookmarkStart w:id="54" w:name="Xe31b0893bb012a00e5a2eef40aa4ec932ebebf6"/>
    <w:p>
      <w:pPr>
        <w:pStyle w:val="Heading4"/>
      </w:pPr>
      <w:r>
        <w:t xml:space="preserve">L-6. Annual D&amp;A Estimate Components Misstated</w:t>
      </w:r>
    </w:p>
    <w:p>
      <w:pPr>
        <w:pStyle w:val="FirstParagraph"/>
      </w:pPr>
      <w:r>
        <w:rPr>
          <w:b/>
          <w:bCs/>
        </w:rPr>
        <w:t xml:space="preserve">Severity:</w:t>
      </w:r>
      <w:r>
        <w:t xml:space="preserve"> </w:t>
      </w:r>
      <w:r>
        <w:t xml:space="preserve">Low</w:t>
      </w:r>
    </w:p>
    <w:p>
      <w:pPr>
        <w:pStyle w:val="BodyText"/>
      </w:pPr>
      <w:r>
        <w:rPr>
          <w:b/>
          <w:bCs/>
        </w:rPr>
        <w:t xml:space="preserve">The Issue.</w:t>
      </w:r>
      <w:r>
        <w:t xml:space="preserve"> </w:t>
      </w:r>
      <w:r>
        <w:t xml:space="preserve">The Memo (Section VII.A) estimates</w:t>
      </w:r>
      <w:r>
        <w:t xml:space="preserve"> </w:t>
      </w:r>
      <w:r>
        <w:t xml:space="preserve">“</w:t>
      </w:r>
      <w:r>
        <w:t xml:space="preserve">approximately $24,500,000 or more</w:t>
      </w:r>
      <w:r>
        <w:t xml:space="preserve">”</w:t>
      </w:r>
      <w:r>
        <w:t xml:space="preserve"> </w:t>
      </w:r>
      <w:r>
        <w:t xml:space="preserve">in annual D&amp;A. This figure effectively captures only Class VI ($6.33M) + Class VII ($18.19M) amortization (~$24.5M), and omits Class V tangible depreciation (~$1.5M) and, more significantly, the developed-technology Section 167 amortization (~$8.36M/year for 5 years per M-10). The estimate is simultaneously inflated (by the overstated goodwill from C-1/H-1) and understated (by the omitted developed-technology amortization). The</w:t>
      </w:r>
      <w:r>
        <w:t xml:space="preserve"> </w:t>
      </w:r>
      <w:r>
        <w:t xml:space="preserve">“</w:t>
      </w:r>
      <w:r>
        <w:t xml:space="preserve">or more</w:t>
      </w:r>
      <w:r>
        <w:t xml:space="preserve">”</w:t>
      </w:r>
      <w:r>
        <w:t xml:space="preserve"> </w:t>
      </w:r>
      <w:r>
        <w:t xml:space="preserve">qualifier softens the understatement but does not cure the mischaracterization.</w:t>
      </w:r>
    </w:p>
    <w:p>
      <w:pPr>
        <w:pStyle w:val="BodyText"/>
      </w:pPr>
      <w:r>
        <w:rPr>
          <w:b/>
          <w:bCs/>
        </w:rPr>
        <w:t xml:space="preserve">Document Cross-References.</w:t>
      </w:r>
      <w:r>
        <w:t xml:space="preserve"> </w:t>
      </w:r>
      <w:r>
        <w:t xml:space="preserve">Memo §VII.A; Asset Valuation A-006.</w:t>
      </w:r>
    </w:p>
    <w:p>
      <w:pPr>
        <w:pStyle w:val="BodyText"/>
      </w:pPr>
      <w:r>
        <w:rPr>
          <w:b/>
          <w:bCs/>
        </w:rPr>
        <w:t xml:space="preserve">Recommendation.</w:t>
      </w:r>
      <w:r>
        <w:t xml:space="preserve"> </w:t>
      </w:r>
      <w:r>
        <w:t xml:space="preserve">Recompute the D&amp;A schedule on corrected allocation and asset-classification bases (per C-1, H-1, M-10).</w:t>
      </w:r>
    </w:p>
    <w:p>
      <w:r>
        <w:pict>
          <v:rect style="width:0;height:1.5pt" o:hralign="center" o:hrstd="t" o:hr="t"/>
        </w:pict>
      </w:r>
    </w:p>
    <w:bookmarkEnd w:id="54"/>
    <w:bookmarkEnd w:id="55"/>
    <w:bookmarkEnd w:id="56"/>
    <w:bookmarkStart w:id="57" w:name="iv.-consolidated-findings-table"/>
    <w:p>
      <w:pPr>
        <w:pStyle w:val="Heading2"/>
      </w:pPr>
      <w:r>
        <w:t xml:space="preserve">IV. Consolidated Findings Table</w:t>
      </w:r>
    </w:p>
    <w:tbl>
      <w:tblPr>
        <w:tblStyle w:val="Table"/>
        <w:tblW w:type="pct" w:w="5000"/>
        <w:jc w:val="left"/>
        <w:tblLayout w:type="fixed"/>
        <w:tblLook w:firstRow="1" w:lastRow="0" w:firstColumn="0" w:lastColumn="0" w:noHBand="0" w:noVBand="0" w:val="0020"/>
      </w:tblPr>
      <w:tblGrid>
        <w:gridCol w:w="401"/>
        <w:gridCol w:w="1002"/>
        <w:gridCol w:w="701"/>
        <w:gridCol w:w="3107"/>
        <w:gridCol w:w="2706"/>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Primary Documents in Conflict</w:t>
            </w:r>
          </w:p>
        </w:tc>
        <w:tc>
          <w:tcPr/>
          <w:p>
            <w:pPr>
              <w:pStyle w:val="Compact"/>
              <w:jc w:val="left"/>
            </w:pPr>
            <w:r>
              <w:t xml:space="preserve">Est. $ Exposure /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ADSP overstated ~$48M (funded-debt double-count)</w:t>
            </w:r>
          </w:p>
        </w:tc>
        <w:tc>
          <w:tcPr/>
          <w:p>
            <w:pPr>
              <w:pStyle w:val="Compact"/>
              <w:jc w:val="left"/>
            </w:pPr>
            <w:r>
              <w:t xml:space="preserve">Memo §IV.B vs. Asset Valuation; SPA §1.1</w:t>
            </w:r>
          </w:p>
        </w:tc>
        <w:tc>
          <w:tcPr/>
          <w:p>
            <w:pPr>
              <w:pStyle w:val="Compact"/>
              <w:jc w:val="left"/>
            </w:pPr>
            <w:r>
              <w:t xml:space="preserve">~$48M ADSP; ~$76.5M goodwill; cascades to gain &amp; Buyer D&amp;A</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S-corp shareholder eligibility not addressed (2–3 unconfirmed holders)</w:t>
            </w:r>
          </w:p>
        </w:tc>
        <w:tc>
          <w:tcPr/>
          <w:p>
            <w:pPr>
              <w:pStyle w:val="Compact"/>
              <w:jc w:val="left"/>
            </w:pPr>
            <w:r>
              <w:t xml:space="preserve">Memo §III.A vs. TDD §III.B; Cap Table; SPA §4.9(a), §8.2(c)</w:t>
            </w:r>
          </w:p>
        </w:tc>
        <w:tc>
          <w:tcPr/>
          <w:p>
            <w:pPr>
              <w:pStyle w:val="Compact"/>
              <w:jc w:val="left"/>
            </w:pPr>
            <w:r>
              <w:t xml:space="preserve">Potential invalidation of S election &amp; 338(h)(10); entity-level tax, all open years</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QSBS / Section 1202 analysis entirely omitted</w:t>
            </w:r>
          </w:p>
        </w:tc>
        <w:tc>
          <w:tcPr/>
          <w:p>
            <w:pPr>
              <w:pStyle w:val="Compact"/>
              <w:jc w:val="left"/>
            </w:pPr>
            <w:r>
              <w:t xml:space="preserve">Memo vs. QSBS email thread; TDD §VIII.B</w:t>
            </w:r>
          </w:p>
        </w:tc>
        <w:tc>
          <w:tcPr/>
          <w:p>
            <w:pPr>
              <w:pStyle w:val="Compact"/>
              <w:jc w:val="left"/>
            </w:pPr>
            <w:r>
              <w:t xml:space="preserve">Up to 100% federal exclusion at stake for multiple holders; seven-figure swings</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Aggregate adjusted tax basis $42.8M vs. $64.3M ($21.5M)</w:t>
            </w:r>
          </w:p>
        </w:tc>
        <w:tc>
          <w:tcPr/>
          <w:p>
            <w:pPr>
              <w:pStyle w:val="Compact"/>
              <w:jc w:val="left"/>
            </w:pPr>
            <w:r>
              <w:t xml:space="preserve">Memo §III.B/§V.A vs. Asset Valuation</w:t>
            </w:r>
          </w:p>
        </w:tc>
        <w:tc>
          <w:tcPr/>
          <w:p>
            <w:pPr>
              <w:pStyle w:val="Compact"/>
              <w:jc w:val="left"/>
            </w:pPr>
            <w:r>
              <w:t xml:space="preserve">Deemed-sale gain overstated up to ~$69.5M (with C-1)</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Class V understated $28.5M (developed tech $22.8M; govt licenses $5.7M omitted)</w:t>
            </w:r>
          </w:p>
        </w:tc>
        <w:tc>
          <w:tcPr/>
          <w:p>
            <w:pPr>
              <w:pStyle w:val="Compact"/>
              <w:jc w:val="left"/>
            </w:pPr>
            <w:r>
              <w:t xml:space="preserve">Memo §IV.C vs. Asset Valuation A-006, A-007</w:t>
            </w:r>
          </w:p>
        </w:tc>
        <w:tc>
          <w:tcPr/>
          <w:p>
            <w:pPr>
              <w:pStyle w:val="Compact"/>
              <w:jc w:val="left"/>
            </w:pPr>
            <w:r>
              <w:t xml:space="preserve">$28.5M misallocated to goodwill; D&amp;A timing distorted</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NC data-processing license non-transferable; ~$19M govt revenue at risk</w:t>
            </w:r>
          </w:p>
        </w:tc>
        <w:tc>
          <w:tcPr/>
          <w:p>
            <w:pPr>
              <w:pStyle w:val="Compact"/>
              <w:jc w:val="left"/>
            </w:pPr>
            <w:r>
              <w:t xml:space="preserve">Memo §II.A/§III.C/§VI.A/§IX.A vs. Asset Valuation A-008; SPA §4.9(i)</w:t>
            </w:r>
          </w:p>
        </w:tc>
        <w:tc>
          <w:tcPr/>
          <w:p>
            <w:pPr>
              <w:pStyle w:val="Compact"/>
              <w:jc w:val="left"/>
            </w:pPr>
            <w:r>
              <w:t xml:space="preserve">Potential impairment of govt business &amp; enterprise value</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Beacon §754 / §751 hot assets / look-through omitted</w:t>
            </w:r>
          </w:p>
        </w:tc>
        <w:tc>
          <w:tcPr/>
          <w:p>
            <w:pPr>
              <w:pStyle w:val="Compact"/>
              <w:jc w:val="left"/>
            </w:pPr>
            <w:r>
              <w:t xml:space="preserve">Memo §VIII vs. TDD §VI.B; Beacon OA §11.05; Asset Valuation A-009</w:t>
            </w:r>
          </w:p>
        </w:tc>
        <w:tc>
          <w:tcPr/>
          <w:p>
            <w:pPr>
              <w:pStyle w:val="Compact"/>
              <w:jc w:val="left"/>
            </w:pPr>
            <w:r>
              <w:t xml:space="preserve">Gain mischaracterized (ordinary vs. capital); lost inside step-up</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Beacon ROFR &amp; IP-license auto-termination not analyzed; express closing condition</w:t>
            </w:r>
          </w:p>
        </w:tc>
        <w:tc>
          <w:tcPr/>
          <w:p>
            <w:pPr>
              <w:pStyle w:val="Compact"/>
              <w:jc w:val="left"/>
            </w:pPr>
            <w:r>
              <w:t xml:space="preserve">Memo §VIII vs. Beacon OA §8.03, §9.02; SPA §8.2(g)</w:t>
            </w:r>
          </w:p>
        </w:tc>
        <w:tc>
          <w:tcPr/>
          <w:p>
            <w:pPr>
              <w:pStyle w:val="Compact"/>
              <w:jc w:val="left"/>
            </w:pPr>
            <w:r>
              <w:t xml:space="preserve">Closing-condition risk; ~$11M Beacon revenue / $28.5M asset at risk</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Escrow/installment advice conflicts with SPA &amp; 338(h)(10) mechanics</w:t>
            </w:r>
          </w:p>
        </w:tc>
        <w:tc>
          <w:tcPr/>
          <w:p>
            <w:pPr>
              <w:pStyle w:val="Compact"/>
              <w:jc w:val="left"/>
            </w:pPr>
            <w:r>
              <w:t xml:space="preserve">Memo §V.C vs. SPA §7.4</w:t>
            </w:r>
          </w:p>
        </w:tc>
        <w:tc>
          <w:tcPr/>
          <w:p>
            <w:pPr>
              <w:pStyle w:val="Compact"/>
              <w:jc w:val="left"/>
            </w:pPr>
            <w:r>
              <w:t xml:space="preserve">Shareholder deferral position likely unsupportable; underpayment risk</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§482 transfer-pricing exposure (~$6.3M) omitted; arm’s-length rep at risk</w:t>
            </w:r>
          </w:p>
        </w:tc>
        <w:tc>
          <w:tcPr/>
          <w:p>
            <w:pPr>
              <w:pStyle w:val="Compact"/>
              <w:jc w:val="left"/>
            </w:pPr>
            <w:r>
              <w:t xml:space="preserve">Memo §III.C/§VIII vs. TDD §VII; Beacon OA §9.01–9.02; SPA §4.9(h)</w:t>
            </w:r>
          </w:p>
        </w:tc>
        <w:tc>
          <w:tcPr/>
          <w:p>
            <w:pPr>
              <w:pStyle w:val="Compact"/>
              <w:jc w:val="left"/>
            </w:pPr>
            <w:r>
              <w:t xml:space="preserve">~$6.3M + interest/penalties; rep accuracy</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Suspended R&amp;D credits ($3.8M) analysis deferred</w:t>
            </w:r>
          </w:p>
        </w:tc>
        <w:tc>
          <w:tcPr/>
          <w:p>
            <w:pPr>
              <w:pStyle w:val="Compact"/>
              <w:jc w:val="left"/>
            </w:pPr>
            <w:r>
              <w:t xml:space="preserve">Memo §III.D vs. TDD §IV.B/§IX.A</w:t>
            </w:r>
          </w:p>
        </w:tc>
        <w:tc>
          <w:tcPr/>
          <w:p>
            <w:pPr>
              <w:pStyle w:val="Compact"/>
              <w:jc w:val="left"/>
            </w:pPr>
            <w:r>
              <w:t xml:space="preserve">$3.8M credits at risk of permanent loss</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Rollover equity tax treatment (§351/§721/basis) not analyzed</w:t>
            </w:r>
          </w:p>
        </w:tc>
        <w:tc>
          <w:tcPr/>
          <w:p>
            <w:pPr>
              <w:pStyle w:val="Compact"/>
              <w:jc w:val="left"/>
            </w:pPr>
            <w:r>
              <w:t xml:space="preserve">Memo §V.B vs. SPA §2.4; Cap Table</w:t>
            </w:r>
          </w:p>
        </w:tc>
        <w:tc>
          <w:tcPr/>
          <w:p>
            <w:pPr>
              <w:pStyle w:val="Compact"/>
              <w:jc w:val="left"/>
            </w:pPr>
            <w:r>
              <w:t xml:space="preserve">$37M component; basis/holding-period uncertainty</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§280G golden-parachute rules not addressed</w:t>
            </w:r>
          </w:p>
        </w:tc>
        <w:tc>
          <w:tcPr/>
          <w:p>
            <w:pPr>
              <w:pStyle w:val="Compact"/>
              <w:jc w:val="left"/>
            </w:pPr>
            <w:r>
              <w:t xml:space="preserve">Memo §V.B vs. Asset Valuation A-013; SPA §8.2(e),(f)</w:t>
            </w:r>
          </w:p>
        </w:tc>
        <w:tc>
          <w:tcPr/>
          <w:p>
            <w:pPr>
              <w:pStyle w:val="Compact"/>
              <w:jc w:val="left"/>
            </w:pPr>
            <w:r>
              <w:t xml:space="preserve">Excise tax + deduction disallowance risk</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State-tax omissions (NY sales tax; VA/NY conformity; state S-election cascade)</w:t>
            </w:r>
          </w:p>
        </w:tc>
        <w:tc>
          <w:tcPr/>
          <w:p>
            <w:pPr>
              <w:pStyle w:val="Compact"/>
              <w:jc w:val="left"/>
            </w:pPr>
            <w:r>
              <w:t xml:space="preserve">Memo §VI vs. TDD §V/§X.A</w:t>
            </w:r>
          </w:p>
        </w:tc>
        <w:tc>
          <w:tcPr/>
          <w:p>
            <w:pPr>
              <w:pStyle w:val="Compact"/>
              <w:jc w:val="left"/>
            </w:pPr>
            <w:r>
              <w:t xml:space="preserve">$150K–$300K NY exposure; incomplete VA/NY guidance</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Shareholder count/residency (14 vs. 16; 11 vs. 14 NC)</w:t>
            </w:r>
          </w:p>
        </w:tc>
        <w:tc>
          <w:tcPr/>
          <w:p>
            <w:pPr>
              <w:pStyle w:val="Compact"/>
              <w:jc w:val="left"/>
            </w:pPr>
            <w:r>
              <w:t xml:space="preserve">Memo §II.A vs. Cap Table</w:t>
            </w:r>
          </w:p>
        </w:tc>
        <w:tc>
          <w:tcPr/>
          <w:p>
            <w:pPr>
              <w:pStyle w:val="Compact"/>
              <w:jc w:val="left"/>
            </w:pPr>
            <w:r>
              <w:t xml:space="preserve">State-tax distribution; consent logistics</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Basic vs. fully diluted ownership for allocation</w:t>
            </w:r>
          </w:p>
        </w:tc>
        <w:tc>
          <w:tcPr/>
          <w:p>
            <w:pPr>
              <w:pStyle w:val="Compact"/>
              <w:jc w:val="left"/>
            </w:pPr>
            <w:r>
              <w:t xml:space="preserve">Memo §II.C/§V.B vs. SPA §2.5; Cap Table</w:t>
            </w:r>
          </w:p>
        </w:tc>
        <w:tc>
          <w:tcPr/>
          <w:p>
            <w:pPr>
              <w:pStyle w:val="Compact"/>
              <w:jc w:val="left"/>
            </w:pPr>
            <w:r>
              <w:t xml:space="preserve">~$6.5M consideration/gain misallocated</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AAA/AE&amp;P/PTI deemed-liquidation characterization omitted</w:t>
            </w:r>
          </w:p>
        </w:tc>
        <w:tc>
          <w:tcPr/>
          <w:p>
            <w:pPr>
              <w:pStyle w:val="Compact"/>
              <w:jc w:val="left"/>
            </w:pPr>
            <w:r>
              <w:t xml:space="preserve">Memo §V vs. TDD §IX.C</w:t>
            </w:r>
          </w:p>
        </w:tc>
        <w:tc>
          <w:tcPr/>
          <w:p>
            <w:pPr>
              <w:pStyle w:val="Compact"/>
              <w:jc w:val="left"/>
            </w:pPr>
            <w:r>
              <w:t xml:space="preserve">$792K AE&amp;P dividend layer unaddressed</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Post-closing entity-conversion recommendation incomplete</w:t>
            </w:r>
          </w:p>
        </w:tc>
        <w:tc>
          <w:tcPr/>
          <w:p>
            <w:pPr>
              <w:pStyle w:val="Compact"/>
              <w:jc w:val="left"/>
            </w:pPr>
            <w:r>
              <w:t xml:space="preserve">Memo §VII.B</w:t>
            </w:r>
          </w:p>
        </w:tc>
        <w:tc>
          <w:tcPr/>
          <w:p>
            <w:pPr>
              <w:pStyle w:val="Compact"/>
              <w:jc w:val="left"/>
            </w:pPr>
            <w:r>
              <w:t xml:space="preserve">Potential unintended taxable liquidation</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Developed-technology §167 amortization omitted from Buyer D&amp;A</w:t>
            </w:r>
          </w:p>
        </w:tc>
        <w:tc>
          <w:tcPr/>
          <w:p>
            <w:pPr>
              <w:pStyle w:val="Compact"/>
              <w:jc w:val="left"/>
            </w:pPr>
            <w:r>
              <w:t xml:space="preserve">Memo §VII.A vs. Asset Valuation A-006</w:t>
            </w:r>
          </w:p>
        </w:tc>
        <w:tc>
          <w:tcPr/>
          <w:p>
            <w:pPr>
              <w:pStyle w:val="Compact"/>
              <w:jc w:val="left"/>
            </w:pPr>
            <w:r>
              <w:t xml:space="preserve">~$8.36M/yr (5-yr) deduction omitted</w:t>
            </w:r>
          </w:p>
        </w:tc>
      </w:tr>
      <w:tr>
        <w:tc>
          <w:tcPr/>
          <w:p>
            <w:pPr>
              <w:pStyle w:val="Compact"/>
              <w:jc w:val="left"/>
            </w:pPr>
            <w:r>
              <w:t xml:space="preserve">M-11</w:t>
            </w:r>
          </w:p>
        </w:tc>
        <w:tc>
          <w:tcPr/>
          <w:p>
            <w:pPr>
              <w:pStyle w:val="Compact"/>
              <w:jc w:val="left"/>
            </w:pPr>
            <w:r>
              <w:t xml:space="preserve">Moderate</w:t>
            </w:r>
          </w:p>
        </w:tc>
        <w:tc>
          <w:tcPr/>
          <w:p>
            <w:pPr>
              <w:pStyle w:val="Compact"/>
              <w:jc w:val="left"/>
            </w:pPr>
            <w:r>
              <w:t xml:space="preserve">Equity-contribution math flawed ($143M vs ~$198M); EBITDA uncorroborated</w:t>
            </w:r>
          </w:p>
        </w:tc>
        <w:tc>
          <w:tcPr/>
          <w:p>
            <w:pPr>
              <w:pStyle w:val="Compact"/>
              <w:jc w:val="left"/>
            </w:pPr>
            <w:r>
              <w:t xml:space="preserve">Memo §II.C/§VII.B vs. SPA §8.2(h)</w:t>
            </w:r>
          </w:p>
        </w:tc>
        <w:tc>
          <w:tcPr/>
          <w:p>
            <w:pPr>
              <w:pStyle w:val="Compact"/>
              <w:jc w:val="left"/>
            </w:pPr>
            <w:r>
              <w:t xml:space="preserve">$55M equity understatement; 163(j) conclusion sensitive</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Incorrect SPA cross-reference (§7.04 vs §7.3(a)/§8.2(d))</w:t>
            </w:r>
          </w:p>
        </w:tc>
        <w:tc>
          <w:tcPr/>
          <w:p>
            <w:pPr>
              <w:pStyle w:val="Compact"/>
              <w:jc w:val="left"/>
            </w:pPr>
            <w:r>
              <w:t xml:space="preserve">Memo §II.B vs. SPA</w:t>
            </w:r>
          </w:p>
        </w:tc>
        <w:tc>
          <w:tcPr/>
          <w:p>
            <w:pPr>
              <w:pStyle w:val="Compact"/>
              <w:jc w:val="left"/>
            </w:pPr>
            <w:r>
              <w:t xml:space="preserve">Citation error</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Agreement title &amp; TDD report date inaccuracies</w:t>
            </w:r>
          </w:p>
        </w:tc>
        <w:tc>
          <w:tcPr/>
          <w:p>
            <w:pPr>
              <w:pStyle w:val="Compact"/>
              <w:jc w:val="left"/>
            </w:pPr>
            <w:r>
              <w:t xml:space="preserve">Memo vs. SPA title; TDD cover</w:t>
            </w:r>
          </w:p>
        </w:tc>
        <w:tc>
          <w:tcPr/>
          <w:p>
            <w:pPr>
              <w:pStyle w:val="Compact"/>
              <w:jc w:val="left"/>
            </w:pPr>
            <w:r>
              <w:t xml:space="preserve">Drafting accuracy</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§197 anti-churning analysis thin</w:t>
            </w:r>
          </w:p>
        </w:tc>
        <w:tc>
          <w:tcPr/>
          <w:p>
            <w:pPr>
              <w:pStyle w:val="Compact"/>
              <w:jc w:val="left"/>
            </w:pPr>
            <w:r>
              <w:t xml:space="preserve">Memo §VII.B</w:t>
            </w:r>
          </w:p>
        </w:tc>
        <w:tc>
          <w:tcPr/>
          <w:p>
            <w:pPr>
              <w:pStyle w:val="Compact"/>
              <w:jc w:val="left"/>
            </w:pPr>
            <w:r>
              <w:t xml:space="preserve">Likely correct; undersupported</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Non-compete characterization / renewal assumptions not noted</w:t>
            </w:r>
          </w:p>
        </w:tc>
        <w:tc>
          <w:tcPr/>
          <w:p>
            <w:pPr>
              <w:pStyle w:val="Compact"/>
              <w:jc w:val="left"/>
            </w:pPr>
            <w:r>
              <w:t xml:space="preserve">Memo §IV.C vs. Asset Valuation A-010/011/013</w:t>
            </w:r>
          </w:p>
        </w:tc>
        <w:tc>
          <w:tcPr/>
          <w:p>
            <w:pPr>
              <w:pStyle w:val="Compact"/>
              <w:jc w:val="left"/>
            </w:pPr>
            <w:r>
              <w:t xml:space="preserve">Completeness</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2024 return / closing-date timing conflict not addressed</w:t>
            </w:r>
          </w:p>
        </w:tc>
        <w:tc>
          <w:tcPr/>
          <w:p>
            <w:pPr>
              <w:pStyle w:val="Compact"/>
              <w:jc w:val="left"/>
            </w:pPr>
            <w:r>
              <w:t xml:space="preserve">Memo §IX.B vs. TDD §IV.A</w:t>
            </w:r>
          </w:p>
        </w:tc>
        <w:tc>
          <w:tcPr/>
          <w:p>
            <w:pPr>
              <w:pStyle w:val="Compact"/>
              <w:jc w:val="left"/>
            </w:pPr>
            <w:r>
              <w:t xml:space="preserve">Filing-timing completeness</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Annual D&amp;A estimate components misstated</w:t>
            </w:r>
          </w:p>
        </w:tc>
        <w:tc>
          <w:tcPr/>
          <w:p>
            <w:pPr>
              <w:pStyle w:val="Compact"/>
              <w:jc w:val="left"/>
            </w:pPr>
            <w:r>
              <w:t xml:space="preserve">Memo §VII.A vs. Asset Valuation A-006</w:t>
            </w:r>
          </w:p>
        </w:tc>
        <w:tc>
          <w:tcPr/>
          <w:p>
            <w:pPr>
              <w:pStyle w:val="Compact"/>
              <w:jc w:val="left"/>
            </w:pPr>
            <w:r>
              <w:t xml:space="preserve">D&amp;A schedule accuracy</w:t>
            </w:r>
          </w:p>
        </w:tc>
      </w:tr>
    </w:tbl>
    <w:p>
      <w:r>
        <w:pict>
          <v:rect style="width:0;height:1.5pt" o:hralign="center" o:hrstd="t" o:hr="t"/>
        </w:pict>
      </w:r>
    </w:p>
    <w:bookmarkEnd w:id="57"/>
    <w:bookmarkStart w:id="58" w:name="v.-recommended-next-steps-and-priorities"/>
    <w:p>
      <w:pPr>
        <w:pStyle w:val="Heading2"/>
      </w:pPr>
      <w:r>
        <w:t xml:space="preserve">V. Recommended Next Steps and Priorities</w:t>
      </w:r>
    </w:p>
    <w:p>
      <w:pPr>
        <w:pStyle w:val="FirstParagraph"/>
      </w:pPr>
      <w:r>
        <w:t xml:space="preserve">The findings above suggest the following prioritized remediation before the Memo is relied upon by the Fund III Investment Committee or circulated to the selling shareholders:</w:t>
      </w:r>
    </w:p>
    <w:p>
      <w:pPr>
        <w:pStyle w:val="BodyText"/>
      </w:pPr>
      <w:r>
        <w:rPr>
          <w:b/>
          <w:bCs/>
        </w:rPr>
        <w:t xml:space="preserve">Before closing / as conditions to reliance (Critical &amp; High):</w:t>
      </w:r>
    </w:p>
    <w:p>
      <w:pPr>
        <w:pStyle w:val="Compact"/>
        <w:numPr>
          <w:ilvl w:val="0"/>
          <w:numId w:val="1009"/>
        </w:numPr>
      </w:pPr>
      <w:r>
        <w:rPr>
          <w:b/>
          <w:bCs/>
        </w:rPr>
        <w:t xml:space="preserve">Recompute the ADSP and the full purchase-price allocation</w:t>
      </w:r>
      <w:r>
        <w:t xml:space="preserve"> </w:t>
      </w:r>
      <w:r>
        <w:t xml:space="preserve">from the amount realized on the stock ($370M) plus target liabilities, and reconcile to the Thornfield Asset Valuation. Correct the aggregate adjusted tax basis to the Asset Valuation’s $64.3M (or document a line-by-line reconciliation). Recompute the deemed sale gain and all per-shareholder allocations.</w:t>
      </w:r>
      <w:r>
        <w:t xml:space="preserve"> </w:t>
      </w:r>
      <w:r>
        <w:rPr>
          <w:i/>
          <w:iCs/>
        </w:rPr>
        <w:t xml:space="preserve">(C-1, C-4, H-1)</w:t>
      </w:r>
    </w:p>
    <w:p>
      <w:pPr>
        <w:pStyle w:val="Compact"/>
        <w:numPr>
          <w:ilvl w:val="0"/>
          <w:numId w:val="1009"/>
        </w:numPr>
      </w:pPr>
      <w:r>
        <w:rPr>
          <w:b/>
          <w:bCs/>
        </w:rPr>
        <w:t xml:space="preserve">Resolve the S corporation shareholder-eligibility question</w:t>
      </w:r>
      <w:r>
        <w:t xml:space="preserve"> </w:t>
      </w:r>
      <w:r>
        <w:t xml:space="preserve">for all holders (especially the H-1B holder, the alleged family-LLC transfer, and the two additional unconfirmed holders in the Cap Table) for every year since January 1, 2017, before closing. Revise the Memo to disclose this as an open condition and withdraw the unqualified eligibility representation.</w:t>
      </w:r>
      <w:r>
        <w:t xml:space="preserve"> </w:t>
      </w:r>
      <w:r>
        <w:rPr>
          <w:i/>
          <w:iCs/>
        </w:rPr>
        <w:t xml:space="preserve">(C-2)</w:t>
      </w:r>
    </w:p>
    <w:p>
      <w:pPr>
        <w:pStyle w:val="Compact"/>
        <w:numPr>
          <w:ilvl w:val="0"/>
          <w:numId w:val="1009"/>
        </w:numPr>
      </w:pPr>
      <w:r>
        <w:rPr>
          <w:b/>
          <w:bCs/>
        </w:rPr>
        <w:t xml:space="preserve">Add the QSBS / Section 1202 analysis</w:t>
      </w:r>
      <w:r>
        <w:t xml:space="preserve"> </w:t>
      </w:r>
      <w:r>
        <w:t xml:space="preserve">as a dedicated section, addressing C-to-S conversion, the 338(h)(10) interaction, the $50M gross-assets test, the escrow component, and California non-conformity.</w:t>
      </w:r>
      <w:r>
        <w:t xml:space="preserve"> </w:t>
      </w:r>
      <w:r>
        <w:rPr>
          <w:i/>
          <w:iCs/>
        </w:rPr>
        <w:t xml:space="preserve">(C-3)</w:t>
      </w:r>
    </w:p>
    <w:p>
      <w:pPr>
        <w:pStyle w:val="Compact"/>
        <w:numPr>
          <w:ilvl w:val="0"/>
          <w:numId w:val="1009"/>
        </w:numPr>
      </w:pPr>
      <w:r>
        <w:rPr>
          <w:b/>
          <w:bCs/>
        </w:rPr>
        <w:t xml:space="preserve">Obtain a definitive legal opinion on the NC data-processing license</w:t>
      </w:r>
      <w:r>
        <w:t xml:space="preserve"> </w:t>
      </w:r>
      <w:r>
        <w:t xml:space="preserve">and reflect the outcome in the PPA and enterprise-value support.</w:t>
      </w:r>
      <w:r>
        <w:t xml:space="preserve"> </w:t>
      </w:r>
      <w:r>
        <w:rPr>
          <w:i/>
          <w:iCs/>
        </w:rPr>
        <w:t xml:space="preserve">(H-2)</w:t>
      </w:r>
    </w:p>
    <w:p>
      <w:pPr>
        <w:pStyle w:val="Compact"/>
        <w:numPr>
          <w:ilvl w:val="0"/>
          <w:numId w:val="1009"/>
        </w:numPr>
      </w:pPr>
      <w:r>
        <w:rPr>
          <w:b/>
          <w:bCs/>
        </w:rPr>
        <w:t xml:space="preserve">Complete the Beacon analysis</w:t>
      </w:r>
      <w:r>
        <w:t xml:space="preserve">: Section 751 hot-asset recharacterization; Section 754 election decision and Section 743(b) computations; look-through analysis; and the ROFR / IP-license-termination / closing-condition analysis.</w:t>
      </w:r>
      <w:r>
        <w:t xml:space="preserve"> </w:t>
      </w:r>
      <w:r>
        <w:rPr>
          <w:i/>
          <w:iCs/>
        </w:rPr>
        <w:t xml:space="preserve">(H-3, H-4)</w:t>
      </w:r>
    </w:p>
    <w:p>
      <w:pPr>
        <w:pStyle w:val="Compact"/>
        <w:numPr>
          <w:ilvl w:val="0"/>
          <w:numId w:val="1009"/>
        </w:numPr>
      </w:pPr>
      <w:r>
        <w:rPr>
          <w:b/>
          <w:bCs/>
        </w:rPr>
        <w:t xml:space="preserve">Reconcile the escrow tax treatment</w:t>
      </w:r>
      <w:r>
        <w:t xml:space="preserve"> </w:t>
      </w:r>
      <w:r>
        <w:t xml:space="preserve">with SPA Section 7.4 and the 338(h)(10) entity-level mechanics.</w:t>
      </w:r>
      <w:r>
        <w:t xml:space="preserve"> </w:t>
      </w:r>
      <w:r>
        <w:rPr>
          <w:i/>
          <w:iCs/>
        </w:rPr>
        <w:t xml:space="preserve">(H-5)</w:t>
      </w:r>
    </w:p>
    <w:p>
      <w:pPr>
        <w:pStyle w:val="FirstParagraph"/>
      </w:pPr>
      <w:r>
        <w:rPr>
          <w:b/>
          <w:bCs/>
        </w:rPr>
        <w:t xml:space="preserve">Before the Memo is finalized (Moderate):</w:t>
      </w:r>
    </w:p>
    <w:p>
      <w:pPr>
        <w:pStyle w:val="Compact"/>
        <w:numPr>
          <w:ilvl w:val="0"/>
          <w:numId w:val="1010"/>
        </w:numPr>
      </w:pPr>
      <w:r>
        <w:t xml:space="preserve">Add the Section 482 transfer-pricing exposure and the suspended-R&amp;D-credit interaction analysis.</w:t>
      </w:r>
      <w:r>
        <w:t xml:space="preserve"> </w:t>
      </w:r>
      <w:r>
        <w:rPr>
          <w:i/>
          <w:iCs/>
        </w:rPr>
        <w:t xml:space="preserve">(M-1, M-2)</w:t>
      </w:r>
    </w:p>
    <w:p>
      <w:pPr>
        <w:pStyle w:val="Compact"/>
        <w:numPr>
          <w:ilvl w:val="0"/>
          <w:numId w:val="1010"/>
        </w:numPr>
      </w:pPr>
      <w:r>
        <w:t xml:space="preserve">Add the rollover-equity tax analysis (Section 351/721), the Section 280G analysis, and the AAA/AE&amp;P deemed-liquidation characterization.</w:t>
      </w:r>
      <w:r>
        <w:t xml:space="preserve"> </w:t>
      </w:r>
      <w:r>
        <w:rPr>
          <w:i/>
          <w:iCs/>
        </w:rPr>
        <w:t xml:space="preserve">(M-3, M-4, M-8)</w:t>
      </w:r>
    </w:p>
    <w:p>
      <w:pPr>
        <w:pStyle w:val="Compact"/>
        <w:numPr>
          <w:ilvl w:val="0"/>
          <w:numId w:val="1010"/>
        </w:numPr>
      </w:pPr>
      <w:r>
        <w:t xml:space="preserve">Complete the state-tax analysis (NY sales tax; VA/NY 338(h)(10) conformity; state S-election cascade) and reconcile the shareholder count/residency and the basic-vs-fully-diluted allocation.</w:t>
      </w:r>
      <w:r>
        <w:t xml:space="preserve"> </w:t>
      </w:r>
      <w:r>
        <w:rPr>
          <w:i/>
          <w:iCs/>
        </w:rPr>
        <w:t xml:space="preserve">(M-5, M-6, M-7)</w:t>
      </w:r>
    </w:p>
    <w:p>
      <w:pPr>
        <w:pStyle w:val="Compact"/>
        <w:numPr>
          <w:ilvl w:val="0"/>
          <w:numId w:val="1010"/>
        </w:numPr>
      </w:pPr>
      <w:r>
        <w:t xml:space="preserve">Correct the equity-contribution computation, corroborate the EBITDA figure, add the developed-technology Section 167 amortization, and qualify the post-closing entity-conversion recommendation.</w:t>
      </w:r>
      <w:r>
        <w:t xml:space="preserve"> </w:t>
      </w:r>
      <w:r>
        <w:rPr>
          <w:i/>
          <w:iCs/>
        </w:rPr>
        <w:t xml:space="preserve">(M-9, M-10, M-11)</w:t>
      </w:r>
    </w:p>
    <w:p>
      <w:pPr>
        <w:pStyle w:val="FirstParagraph"/>
      </w:pPr>
      <w:r>
        <w:rPr>
          <w:b/>
          <w:bCs/>
        </w:rPr>
        <w:t xml:space="preserve">Editorial / drafting (Low):</w:t>
      </w:r>
      <w:r>
        <w:t xml:space="preserve"> </w:t>
      </w:r>
      <w:r>
        <w:t xml:space="preserve">Correct the SPA cross-reference, the agreement title, the TDD report date, and the D&amp;A schedule components; briefly support the anti-churning conclusion; note the non-compete characterization and the 2024-return timing.</w:t>
      </w:r>
      <w:r>
        <w:t xml:space="preserve"> </w:t>
      </w:r>
      <w:r>
        <w:rPr>
          <w:i/>
          <w:iCs/>
        </w:rPr>
        <w:t xml:space="preserve">(L-1 through L-6)</w:t>
      </w:r>
    </w:p>
    <w:p>
      <w:r>
        <w:pict>
          <v:rect style="width:0;height:1.5pt" o:hralign="center" o:hrstd="t" o:hr="t"/>
        </w:pict>
      </w:r>
    </w:p>
    <w:bookmarkEnd w:id="58"/>
    <w:bookmarkStart w:id="59" w:name="vi.-limitations"/>
    <w:p>
      <w:pPr>
        <w:pStyle w:val="Heading2"/>
      </w:pPr>
      <w:r>
        <w:t xml:space="preserve">VI. Limitations</w:t>
      </w:r>
    </w:p>
    <w:p>
      <w:pPr>
        <w:pStyle w:val="FirstParagraph"/>
      </w:pPr>
      <w:r>
        <w:t xml:space="preserve">This report is based solely on the seven documents listed in Section II.A. No independent verification of the underlying facts, valuations, or tax positions was performed; we have relied on the accuracy and completeness of those documents. This report identifies issues, inconsistencies, and omissions in the Memo as measured against the supporting deal documents; it does not constitute a tax opinion, and the legal conclusions (including the validity of the S election, the availability of the Section 338(h)(10) election, the availability of the Section 1202 exclusion, and the application of Section 482) remain for tax counsel. Severity ratings reflect the reviewer’s assessment of potential impact based on the documents reviewed and are not a determination of ultimate merit. This report is privileged and confidential and prepared in anticipation of counsel’s review.</w:t>
      </w:r>
    </w:p>
    <w:p>
      <w:r>
        <w:pict>
          <v:rect style="width:0;height:1.5pt" o:hralign="center" o:hrstd="t" o:hr="t"/>
        </w:pict>
      </w:r>
    </w:p>
    <w:p>
      <w:pPr>
        <w:pStyle w:val="FirstParagraph"/>
      </w:pPr>
      <w:r>
        <w:rPr>
          <w:i/>
          <w:iCs/>
        </w:rPr>
        <w:t xml:space="preserve">End of Report.</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Whitaker LLP — Tax Structure Memorandum — Prism Health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2026-06-26T23:52:35Z</dcterms:created>
  <dcterms:modified xsi:type="dcterms:W3CDTF">2026-06-26T23:52:35Z</dcterms:modified>
</cp:coreProperties>
</file>

<file path=docProps/custom.xml><?xml version="1.0" encoding="utf-8"?>
<Properties xmlns="http://schemas.openxmlformats.org/officeDocument/2006/custom-properties" xmlns:vt="http://schemas.openxmlformats.org/officeDocument/2006/docPropsVTypes"/>
</file>