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9" w:name="tax-issue-identification-report"/>
    <w:p>
      <w:pPr>
        <w:pStyle w:val="Heading1"/>
      </w:pPr>
      <w:r>
        <w:t xml:space="preserve">Tax Issue Identification Report</w:t>
      </w:r>
    </w:p>
    <w:p>
      <w:pPr>
        <w:pStyle w:val="FirstParagraph"/>
      </w:pPr>
      <w:r>
        <w:rPr>
          <w:b/>
          <w:bCs/>
        </w:rPr>
        <w:t xml:space="preserve">Review of the Transaction Structure Memorandum — Acquisition of</w:t>
      </w:r>
      <w:r>
        <w:rPr>
          <w:b/>
          <w:bCs/>
        </w:rPr>
        <w:t xml:space="preserve"> </w:t>
      </w:r>
      <w:r>
        <w:rPr>
          <w:b/>
          <w:bCs/>
        </w:rPr>
        <w:t xml:space="preserve">Prism Health Analytics, Inc. by Ridgeline Capital Partners Fund III,</w:t>
      </w:r>
      <w:r>
        <w:rPr>
          <w:b/>
          <w:bCs/>
        </w:rPr>
        <w:t xml:space="preserve"> </w:t>
      </w:r>
      <w:r>
        <w:rPr>
          <w:b/>
          <w:bCs/>
        </w:rPr>
        <w:t xml:space="preserve">LP</w:t>
      </w:r>
    </w:p>
    <w:p>
      <w:pPr>
        <w:pStyle w:val="BodyText"/>
      </w:pPr>
      <w:r>
        <w:rPr>
          <w:b/>
          <w:bCs/>
        </w:rPr>
        <w:t xml:space="preserve">Prepared by:</w:t>
      </w:r>
      <w:r>
        <w:t xml:space="preserve"> </w:t>
      </w:r>
      <w:r>
        <w:t xml:space="preserve">Tax Review Function</w:t>
      </w:r>
      <w:r>
        <w:t xml:space="preserve"> </w:t>
      </w:r>
      <w:r>
        <w:rPr>
          <w:b/>
          <w:bCs/>
        </w:rPr>
        <w:t xml:space="preserve">Date of Review:</w:t>
      </w:r>
      <w:r>
        <w:t xml:space="preserve"> </w:t>
      </w:r>
      <w:r>
        <w:t xml:space="preserve">February 2025</w:t>
      </w:r>
      <w:r>
        <w:t xml:space="preserve"> </w:t>
      </w:r>
      <w:r>
        <w:rPr>
          <w:b/>
          <w:bCs/>
        </w:rPr>
        <w:t xml:space="preserve">Subject Memorandum:</w:t>
      </w:r>
      <w:r>
        <w:t xml:space="preserve"> </w:t>
      </w:r>
      <w:r>
        <w:t xml:space="preserve">“</w:t>
      </w:r>
      <w:r>
        <w:t xml:space="preserve">Tax Structure Memorandum — Acquisition of</w:t>
      </w:r>
      <w:r>
        <w:t xml:space="preserve"> </w:t>
      </w:r>
      <w:r>
        <w:t xml:space="preserve">Prism Health Analytics, Inc.,</w:t>
      </w:r>
      <w:r>
        <w:t xml:space="preserve">”</w:t>
      </w:r>
      <w:r>
        <w:t xml:space="preserve"> </w:t>
      </w:r>
      <w:r>
        <w:t xml:space="preserve">Calloway, Stern &amp; Whitaker LLP, dated</w:t>
      </w:r>
      <w:r>
        <w:t xml:space="preserve"> </w:t>
      </w:r>
      <w:r>
        <w:t xml:space="preserve">February 10, 2025</w:t>
      </w:r>
      <w:r>
        <w:t xml:space="preserve"> </w:t>
      </w:r>
      <w:r>
        <w:rPr>
          <w:b/>
          <w:bCs/>
        </w:rPr>
        <w:t xml:space="preserve">Transaction:</w:t>
      </w:r>
      <w:r>
        <w:t xml:space="preserve"> </w:t>
      </w:r>
      <w:r>
        <w:t xml:space="preserve">Reverse triangular merger / Section</w:t>
      </w:r>
      <w:r>
        <w:t xml:space="preserve"> </w:t>
      </w:r>
      <w:r>
        <w:t xml:space="preserve">338(h)(10) election; Enterprise Value $425,000,000; Equity Value</w:t>
      </w:r>
      <w:r>
        <w:t xml:space="preserve"> </w:t>
      </w:r>
      <w:r>
        <w:t xml:space="preserve">$370,000,000; expected closing March 15, 2025</w:t>
      </w:r>
    </w:p>
    <w:p>
      <w:pPr>
        <w:pStyle w:val="BodyText"/>
      </w:pPr>
      <w:r>
        <w:rPr>
          <w:b/>
          <w:bCs/>
        </w:rPr>
        <w:t xml:space="preserve">PRIVILEGED AND CONFIDENTIAL — ATTORNEY WORK PRODUCT</w:t>
      </w:r>
    </w:p>
    <w:p>
      <w:pPr>
        <w:pStyle w:val="BodyText"/>
      </w:pPr>
      <w:r>
        <w:t xml:space="preserve">This report identifies issues, inconsistencies, and omissions in the</w:t>
      </w:r>
      <w:r>
        <w:t xml:space="preserve"> </w:t>
      </w:r>
      <w:r>
        <w:t xml:space="preserve">subject Tax Structure Memorandum (the</w:t>
      </w:r>
      <w:r>
        <w:t xml:space="preserve"> </w:t>
      </w:r>
      <w:r>
        <w:t xml:space="preserve">“</w:t>
      </w:r>
      <w:r>
        <w:t xml:space="preserve">Memo</w:t>
      </w:r>
      <w:r>
        <w:t xml:space="preserve">”</w:t>
      </w:r>
      <w:r>
        <w:t xml:space="preserve">) by comparing it against</w:t>
      </w:r>
      <w:r>
        <w:t xml:space="preserve"> </w:t>
      </w:r>
      <w:r>
        <w:t xml:space="preserve">the supporting deal documents. It is prepared for internal review</w:t>
      </w:r>
      <w:r>
        <w:t xml:space="preserve"> </w:t>
      </w:r>
      <w:r>
        <w:t xml:space="preserve">purposes. Severity rankings reflect the reviewer’s assessment of the</w:t>
      </w:r>
      <w:r>
        <w:t xml:space="preserve"> </w:t>
      </w:r>
      <w:r>
        <w:t xml:space="preserve">potential effect on the tax structure, the parties’ tax positions, and</w:t>
      </w:r>
      <w:r>
        <w:t xml:space="preserve"> </w:t>
      </w:r>
      <w:r>
        <w:t xml:space="preserve">the closing conditions, not a legal conclusion.</w:t>
      </w:r>
    </w:p>
    <w:bookmarkStart w:id="20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The Memo prepared by Calloway, Stern &amp; Whitaker LLP (</w:t>
      </w:r>
      <w:r>
        <w:t xml:space="preserve">“</w:t>
      </w:r>
      <w:r>
        <w:t xml:space="preserve">CSW</w:t>
      </w:r>
      <w:r>
        <w:t xml:space="preserve">”</w:t>
      </w:r>
      <w:r>
        <w:t xml:space="preserve">) analyzes a</w:t>
      </w:r>
      <w:r>
        <w:t xml:space="preserve"> </w:t>
      </w:r>
      <w:r>
        <w:t xml:space="preserve">reverse triangular merger in which Ridgeline Capital Partners Fund III,</w:t>
      </w:r>
      <w:r>
        <w:t xml:space="preserve"> </w:t>
      </w:r>
      <w:r>
        <w:t xml:space="preserve">LP (</w:t>
      </w:r>
      <w:r>
        <w:t xml:space="preserve">“</w:t>
      </w:r>
      <w:r>
        <w:t xml:space="preserve">Fund III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Buyer</w:t>
      </w:r>
      <w:r>
        <w:t xml:space="preserve">”</w:t>
      </w:r>
      <w:r>
        <w:t xml:space="preserve">) acquires 100% of Prism Health Analytics,</w:t>
      </w:r>
      <w:r>
        <w:t xml:space="preserve"> </w:t>
      </w:r>
      <w:r>
        <w:t xml:space="preserve">Inc. (</w:t>
      </w:r>
      <w:r>
        <w:t xml:space="preserve">“</w:t>
      </w:r>
      <w:r>
        <w:t xml:space="preserve">Prism</w:t>
      </w:r>
      <w:r>
        <w:t xml:space="preserve">”</w:t>
      </w:r>
      <w:r>
        <w:t xml:space="preserve">), a Delaware S corporation, followed by a joint Section</w:t>
      </w:r>
      <w:r>
        <w:t xml:space="preserve"> </w:t>
      </w:r>
      <w:r>
        <w:t xml:space="preserve">338(h)(10) election. The Memo’s core conclusions — that the structure</w:t>
      </w:r>
      <w:r>
        <w:t xml:space="preserve"> </w:t>
      </w:r>
      <w:r>
        <w:t xml:space="preserve">yields a stepped-up basis for Buyer, that no Section 1374 built-in gains</w:t>
      </w:r>
      <w:r>
        <w:t xml:space="preserve"> </w:t>
      </w:r>
      <w:r>
        <w:t xml:space="preserve">tax applies, and that the deemed sale gain passes through to the S</w:t>
      </w:r>
      <w:r>
        <w:t xml:space="preserve"> </w:t>
      </w:r>
      <w:r>
        <w:t xml:space="preserve">corporation shareholders without entity-level federal tax — are</w:t>
      </w:r>
      <w:r>
        <w:t xml:space="preserve"> </w:t>
      </w:r>
      <w:r>
        <w:t xml:space="preserve">directionally sound</w:t>
      </w:r>
      <w:r>
        <w:t xml:space="preserve"> </w:t>
      </w:r>
      <w:r>
        <w:rPr>
          <w:b/>
          <w:bCs/>
        </w:rPr>
        <w:t xml:space="preserve">if</w:t>
      </w:r>
      <w:r>
        <w:t xml:space="preserve"> </w:t>
      </w:r>
      <w:r>
        <w:t xml:space="preserve">the threshold factual assumptions hold.</w:t>
      </w:r>
      <w:r>
        <w:t xml:space="preserve"> </w:t>
      </w:r>
      <w:r>
        <w:t xml:space="preserve">Cross-checking the Memo against the six supporting deal documents,</w:t>
      </w:r>
      <w:r>
        <w:t xml:space="preserve"> </w:t>
      </w:r>
      <w:r>
        <w:t xml:space="preserve">however, reveals a number of material problems that, in several cases,</w:t>
      </w:r>
      <w:r>
        <w:t xml:space="preserve"> </w:t>
      </w:r>
      <w:r>
        <w:t xml:space="preserve">undermine or contradict the Memo’s own conclusions.</w:t>
      </w:r>
    </w:p>
    <w:p>
      <w:pPr>
        <w:pStyle w:val="BodyText"/>
      </w:pPr>
      <w:r>
        <w:rPr>
          <w:b/>
          <w:bCs/>
        </w:rPr>
        <w:t xml:space="preserve">Three findings are Critical.</w:t>
      </w:r>
      <w:r>
        <w:t xml:space="preserve"> </w:t>
      </w:r>
      <w:r>
        <w:t xml:space="preserve">First, the Memo asserts that</w:t>
      </w:r>
      <w:r>
        <w:t xml:space="preserve"> </w:t>
      </w:r>
      <w:r>
        <w:t xml:space="preserve">“</w:t>
      </w:r>
      <w:r>
        <w:t xml:space="preserve">no events</w:t>
      </w:r>
      <w:r>
        <w:t xml:space="preserve"> </w:t>
      </w:r>
      <w:r>
        <w:t xml:space="preserve">causing a termination of the S election have been identified</w:t>
      </w:r>
      <w:r>
        <w:t xml:space="preserve">”</w:t>
      </w:r>
      <w:r>
        <w:t xml:space="preserve"> </w:t>
      </w:r>
      <w:r>
        <w:t xml:space="preserve">and that</w:t>
      </w:r>
      <w:r>
        <w:t xml:space="preserve"> </w:t>
      </w:r>
      <w:r>
        <w:t xml:space="preserve">“</w:t>
      </w:r>
      <w:r>
        <w:t xml:space="preserve">all shareholders of Prism are U.S. individuals</w:t>
      </w:r>
      <w:r>
        <w:t xml:space="preserve">”</w:t>
      </w:r>
      <w:r>
        <w:t xml:space="preserve"> </w:t>
      </w:r>
      <w:r>
        <w:t xml:space="preserve">with no ineligible</w:t>
      </w:r>
      <w:r>
        <w:t xml:space="preserve"> </w:t>
      </w:r>
      <w:r>
        <w:t xml:space="preserve">shareholders — a statement directly contradicted by the Thornfield</w:t>
      </w:r>
      <w:r>
        <w:t xml:space="preserve"> </w:t>
      </w:r>
      <w:r>
        <w:t xml:space="preserve">Accounting Group, LLP (</w:t>
      </w:r>
      <w:r>
        <w:t xml:space="preserve">“</w:t>
      </w:r>
      <w:r>
        <w:t xml:space="preserve">Thornfield</w:t>
      </w:r>
      <w:r>
        <w:t xml:space="preserve">”</w:t>
      </w:r>
      <w:r>
        <w:t xml:space="preserve">) tax due diligence report (which</w:t>
      </w:r>
      <w:r>
        <w:t xml:space="preserve"> </w:t>
      </w:r>
      <w:r>
        <w:t xml:space="preserve">flags two unconfirmed restricted-stock holders as a</w:t>
      </w:r>
      <w:r>
        <w:t xml:space="preserve"> </w:t>
      </w:r>
      <w:r>
        <w:rPr>
          <w:i/>
          <w:iCs/>
        </w:rPr>
        <w:t xml:space="preserve">critical</w:t>
      </w:r>
      <w:r>
        <w:t xml:space="preserve"> </w:t>
      </w:r>
      <w:r>
        <w:t xml:space="preserve">open</w:t>
      </w:r>
      <w:r>
        <w:t xml:space="preserve"> </w:t>
      </w:r>
      <w:r>
        <w:t xml:space="preserve">item) and by the Prism capitalization table (which flags</w:t>
      </w:r>
      <w:r>
        <w:t xml:space="preserve"> </w:t>
      </w:r>
      <w:r>
        <w:rPr>
          <w:i/>
          <w:iCs/>
        </w:rPr>
        <w:t xml:space="preserve">three</w:t>
      </w:r>
      <w:r>
        <w:t xml:space="preserve"> </w:t>
      </w:r>
      <w:r>
        <w:t xml:space="preserve">unconfirmed holders, including an H-1B visa holder whose</w:t>
      </w:r>
      <w:r>
        <w:t xml:space="preserve"> </w:t>
      </w:r>
      <w:r>
        <w:t xml:space="preserve">substantial-presence-test compliance is unverified). Validity of the S</w:t>
      </w:r>
      <w:r>
        <w:t xml:space="preserve"> </w:t>
      </w:r>
      <w:r>
        <w:t xml:space="preserve">election is a threshold requirement for the Section 338(h)(10) election;</w:t>
      </w:r>
      <w:r>
        <w:t xml:space="preserve"> </w:t>
      </w:r>
      <w:r>
        <w:t xml:space="preserve">if the election was inadvertently terminated, the entire structure</w:t>
      </w:r>
      <w:r>
        <w:t xml:space="preserve"> </w:t>
      </w:r>
      <w:r>
        <w:t xml:space="preserve">collapses. Second, the Memo’s Aggregate Deemed Sale Price (</w:t>
      </w:r>
      <w:r>
        <w:t xml:space="preserve">“</w:t>
      </w:r>
      <w:r>
        <w:t xml:space="preserve">ADSP</w:t>
      </w:r>
      <w:r>
        <w:t xml:space="preserve">”</w:t>
      </w:r>
      <w:r>
        <w:t xml:space="preserve">) of</w:t>
      </w:r>
      <w:r>
        <w:t xml:space="preserve"> </w:t>
      </w:r>
      <w:r>
        <w:t xml:space="preserve">$473,000,000 double-counts the $48,000,000 funded debt (enterprise</w:t>
      </w:r>
      <w:r>
        <w:t xml:space="preserve"> </w:t>
      </w:r>
      <w:r>
        <w:t xml:space="preserve">value already includes the debt), overstating the ADSP by approximately</w:t>
      </w:r>
      <w:r>
        <w:t xml:space="preserve"> </w:t>
      </w:r>
      <w:r>
        <w:t xml:space="preserve">$48,000,000 — an error Thornfield’s own preliminary purchase price</w:t>
      </w:r>
      <w:r>
        <w:t xml:space="preserve"> </w:t>
      </w:r>
      <w:r>
        <w:t xml:space="preserve">allocation expressly flags as a</w:t>
      </w:r>
      <w:r>
        <w:t xml:space="preserve"> </w:t>
      </w:r>
      <w:r>
        <w:t xml:space="preserve">“</w:t>
      </w:r>
      <w:r>
        <w:t xml:space="preserve">SIGNIFICANT DISCREPANCY.</w:t>
      </w:r>
      <w:r>
        <w:t xml:space="preserve">”</w:t>
      </w:r>
      <w:r>
        <w:t xml:space="preserve"> </w:t>
      </w:r>
      <w:r>
        <w:t xml:space="preserve">Third, the</w:t>
      </w:r>
      <w:r>
        <w:t xml:space="preserve"> </w:t>
      </w:r>
      <w:r>
        <w:t xml:space="preserve">Memo omits any analysis of Section 1202 qualified small business stock</w:t>
      </w:r>
      <w:r>
        <w:t xml:space="preserve"> </w:t>
      </w:r>
      <w:r>
        <w:t xml:space="preserve">(</w:t>
      </w:r>
      <w:r>
        <w:t xml:space="preserve">“</w:t>
      </w:r>
      <w:r>
        <w:t xml:space="preserve">QSBS</w:t>
      </w:r>
      <w:r>
        <w:t xml:space="preserve">”</w:t>
      </w:r>
      <w:r>
        <w:t xml:space="preserve">), even though CSW expressly promised that analysis in writing</w:t>
      </w:r>
      <w:r>
        <w:t xml:space="preserve"> </w:t>
      </w:r>
      <w:r>
        <w:t xml:space="preserve">(November 20, 2024), the selling shareholders’ advisor repeatedly and</w:t>
      </w:r>
      <w:r>
        <w:t xml:space="preserve"> </w:t>
      </w:r>
      <w:r>
        <w:t xml:space="preserve">urgently requested it, and the interaction between QSBS and the Section</w:t>
      </w:r>
      <w:r>
        <w:t xml:space="preserve"> </w:t>
      </w:r>
      <w:r>
        <w:t xml:space="preserve">338(h)(10) deemed asset sale may eliminate a 100% federal gain exclusion</w:t>
      </w:r>
      <w:r>
        <w:t xml:space="preserve"> </w:t>
      </w:r>
      <w:r>
        <w:t xml:space="preserve">worth seven figures to multiple shareholders.</w:t>
      </w:r>
    </w:p>
    <w:p>
      <w:pPr>
        <w:pStyle w:val="BodyText"/>
      </w:pPr>
      <w:r>
        <w:rPr>
          <w:b/>
          <w:bCs/>
        </w:rPr>
        <w:t xml:space="preserve">Seven findings are High severity.</w:t>
      </w:r>
      <w:r>
        <w:t xml:space="preserve"> </w:t>
      </w:r>
      <w:r>
        <w:t xml:space="preserve">These include: (i) the Memo’s</w:t>
      </w:r>
      <w:r>
        <w:t xml:space="preserve"> </w:t>
      </w:r>
      <w:r>
        <w:t xml:space="preserve">escrow tax-treatment analysis (installment deferral to 2026) directly</w:t>
      </w:r>
      <w:r>
        <w:t xml:space="preserve"> </w:t>
      </w:r>
      <w:r>
        <w:t xml:space="preserve">contradicts the Stock Purchase Agreement’s express provision requiring</w:t>
      </w:r>
      <w:r>
        <w:t xml:space="preserve"> </w:t>
      </w:r>
      <w:r>
        <w:t xml:space="preserve">the escrow to be reported as amount realized in the year of closing;</w:t>
      </w:r>
      <w:r>
        <w:t xml:space="preserve"> </w:t>
      </w:r>
      <w:r>
        <w:t xml:space="preserve">(ii) the Memo’s aggregate adjusted tax basis of $42,800,000 does not</w:t>
      </w:r>
      <w:r>
        <w:t xml:space="preserve"> </w:t>
      </w:r>
      <w:r>
        <w:t xml:space="preserve">reconcile to the asset valuation summary, whose per-asset tax bases sum</w:t>
      </w:r>
      <w:r>
        <w:t xml:space="preserve"> </w:t>
      </w:r>
      <w:r>
        <w:t xml:space="preserve">to approximately $64,300,000 (a $21,500,000 gap that overstates the</w:t>
      </w:r>
      <w:r>
        <w:t xml:space="preserve"> </w:t>
      </w:r>
      <w:r>
        <w:t xml:space="preserve">deemed sale gain); (iii) the Memo understates Class V developed</w:t>
      </w:r>
      <w:r>
        <w:t xml:space="preserve"> </w:t>
      </w:r>
      <w:r>
        <w:t xml:space="preserve">technology/software by $28,500,000 ($19,000,000 vs. Thornfield’s</w:t>
      </w:r>
      <w:r>
        <w:t xml:space="preserve"> </w:t>
      </w:r>
      <w:r>
        <w:t xml:space="preserve">$47,500,000), shifting deductions from 5–7 year amortization into</w:t>
      </w:r>
      <w:r>
        <w:t xml:space="preserve"> </w:t>
      </w:r>
      <w:r>
        <w:t xml:space="preserve">15-year goodwill; (iv) the Memo fails to disclose that the Beacon</w:t>
      </w:r>
      <w:r>
        <w:t xml:space="preserve"> </w:t>
      </w:r>
      <w:r>
        <w:t xml:space="preserve">Insights, LLC IP License Agreement terminates</w:t>
      </w:r>
      <w:r>
        <w:t xml:space="preserve"> </w:t>
      </w:r>
      <w:r>
        <w:rPr>
          <w:i/>
          <w:iCs/>
        </w:rPr>
        <w:t xml:space="preserve">automatically</w:t>
      </w:r>
      <w:r>
        <w:t xml:space="preserve"> </w:t>
      </w:r>
      <w:r>
        <w:t xml:space="preserve">upon the</w:t>
      </w:r>
      <w:r>
        <w:t xml:space="preserve"> </w:t>
      </w:r>
      <w:r>
        <w:t xml:space="preserve">change of control; (v) the Memo assumes the North Carolina data</w:t>
      </w:r>
      <w:r>
        <w:t xml:space="preserve"> </w:t>
      </w:r>
      <w:r>
        <w:t xml:space="preserve">processing license</w:t>
      </w:r>
      <w:r>
        <w:t xml:space="preserve"> </w:t>
      </w:r>
      <w:r>
        <w:t xml:space="preserve">“</w:t>
      </w:r>
      <w:r>
        <w:t xml:space="preserve">should remain valid</w:t>
      </w:r>
      <w:r>
        <w:t xml:space="preserve">”</w:t>
      </w:r>
      <w:r>
        <w:t xml:space="preserve"> </w:t>
      </w:r>
      <w:r>
        <w:t xml:space="preserve">despite the Stock Purchase</w:t>
      </w:r>
      <w:r>
        <w:t xml:space="preserve"> </w:t>
      </w:r>
      <w:r>
        <w:t xml:space="preserve">Agreement and asset valuation confirming it is non-transferable and</w:t>
      </w:r>
      <w:r>
        <w:t xml:space="preserve"> </w:t>
      </w:r>
      <w:r>
        <w:t xml:space="preserve">non-assignable, putting ~$19,000,000 of annual government revenue at</w:t>
      </w:r>
      <w:r>
        <w:t xml:space="preserve"> </w:t>
      </w:r>
      <w:r>
        <w:t xml:space="preserve">risk; (vi) the Memo does not analyze the risk that $3,800,000 of</w:t>
      </w:r>
      <w:r>
        <w:t xml:space="preserve"> </w:t>
      </w:r>
      <w:r>
        <w:t xml:space="preserve">suspended C-corporation R&amp;D credits are permanently lost in the deemed</w:t>
      </w:r>
      <w:r>
        <w:t xml:space="preserve"> </w:t>
      </w:r>
      <w:r>
        <w:t xml:space="preserve">liquidation; and (vii) the Memo omits the ~$6,300,000 cumulative</w:t>
      </w:r>
      <w:r>
        <w:t xml:space="preserve"> </w:t>
      </w:r>
      <w:r>
        <w:t xml:space="preserve">Section 482 transfer-pricing exposure on the Prism/Beacon intercompany</w:t>
      </w:r>
      <w:r>
        <w:t xml:space="preserve"> </w:t>
      </w:r>
      <w:r>
        <w:t xml:space="preserve">fees that Thornfield flagged.</w:t>
      </w:r>
    </w:p>
    <w:p>
      <w:pPr>
        <w:pStyle w:val="BodyText"/>
      </w:pPr>
      <w:r>
        <w:rPr>
          <w:b/>
          <w:bCs/>
        </w:rPr>
        <w:t xml:space="preserve">Fourteen findings are Medium severity</w:t>
      </w:r>
      <w:r>
        <w:t xml:space="preserve">, including two that go to the</w:t>
      </w:r>
      <w:r>
        <w:t xml:space="preserve"> </w:t>
      </w:r>
      <w:r>
        <w:t xml:space="preserve">reliability of the Memo itself: (x) a counsel-role inconsistency in</w:t>
      </w:r>
      <w:r>
        <w:t xml:space="preserve"> </w:t>
      </w:r>
      <w:r>
        <w:t xml:space="preserve">which the Memo and CSW’s own email describe CSW as the Buyer’s (Ridgeline’s)</w:t>
      </w:r>
      <w:r>
        <w:t xml:space="preserve"> </w:t>
      </w:r>
      <w:r>
        <w:t xml:space="preserve">tax counsel, while the Stock Purchase Agreement pays CSW $2,200,000</w:t>
      </w:r>
      <w:r>
        <w:t xml:space="preserve"> </w:t>
      </w:r>
      <w:r>
        <w:t xml:space="preserve">“</w:t>
      </w:r>
      <w:r>
        <w:t xml:space="preserve">as</w:t>
      </w:r>
      <w:r>
        <w:t xml:space="preserve"> </w:t>
      </w:r>
      <w:r>
        <w:t xml:space="preserve">Company counsel</w:t>
      </w:r>
      <w:r>
        <w:t xml:space="preserve">”</w:t>
      </w:r>
      <w:r>
        <w:t xml:space="preserve"> </w:t>
      </w:r>
      <w:r>
        <w:t xml:space="preserve">(i.e., Prism’s counsel) out of seller transaction</w:t>
      </w:r>
      <w:r>
        <w:t xml:space="preserve"> </w:t>
      </w:r>
      <w:r>
        <w:t xml:space="preserve">expenses — a conflict that bears on the scope and privilege of the</w:t>
      </w:r>
      <w:r>
        <w:t xml:space="preserve"> </w:t>
      </w:r>
      <w:r>
        <w:t xml:space="preserve">Memo; and (y) the Memo’s own</w:t>
      </w:r>
      <w:r>
        <w:t xml:space="preserve"> </w:t>
      </w:r>
      <w:r>
        <w:t xml:space="preserve">“</w:t>
      </w:r>
      <w:r>
        <w:t xml:space="preserve">Items Noted for Further Analysis</w:t>
      </w:r>
      <w:r>
        <w:t xml:space="preserve">”</w:t>
      </w:r>
      <w:r>
        <w:t xml:space="preserve"> </w:t>
      </w:r>
      <w:r>
        <w:t xml:space="preserve">(Section</w:t>
      </w:r>
      <w:r>
        <w:t xml:space="preserve"> </w:t>
      </w:r>
      <w:r>
        <w:t xml:space="preserve">IX.C) and conclusions (Section X) omit every critical and high-severity</w:t>
      </w:r>
      <w:r>
        <w:t xml:space="preserve"> </w:t>
      </w:r>
      <w:r>
        <w:t xml:space="preserve">open item identified by the supporting documents (S-election</w:t>
      </w:r>
      <w:r>
        <w:t xml:space="preserve"> </w:t>
      </w:r>
      <w:r>
        <w:t xml:space="preserve">eligibility, QSBS, transfer pricing, R&amp;D credits, the NC license, the</w:t>
      </w:r>
      <w:r>
        <w:t xml:space="preserve"> </w:t>
      </w:r>
      <w:r>
        <w:t xml:space="preserve">Beacon IP license termination, Section 751/754, and the New York</w:t>
      </w:r>
      <w:r>
        <w:t xml:space="preserve"> </w:t>
      </w:r>
      <w:r>
        <w:t xml:space="preserve">sales-tax exposure), listing only four routine items. The remaining</w:t>
      </w:r>
      <w:r>
        <w:t xml:space="preserve"> </w:t>
      </w:r>
      <w:r>
        <w:t xml:space="preserve">Medium findings address the Beacon right of first refusal, Section 751</w:t>
      </w:r>
      <w:r>
        <w:t xml:space="preserve"> </w:t>
      </w:r>
      <w:r>
        <w:t xml:space="preserve">“</w:t>
      </w:r>
      <w:r>
        <w:t xml:space="preserve">hot assets,</w:t>
      </w:r>
      <w:r>
        <w:t xml:space="preserve">”</w:t>
      </w:r>
      <w:r>
        <w:t xml:space="preserve"> </w:t>
      </w:r>
      <w:r>
        <w:t xml:space="preserve">the Section 754 election, AAA/AE&amp;P distribution ordering,</w:t>
      </w:r>
      <w:r>
        <w:t xml:space="preserve"> </w:t>
      </w:r>
      <w:r>
        <w:t xml:space="preserve">the use of basic rather than fully-diluted ownership for gain</w:t>
      </w:r>
      <w:r>
        <w:t xml:space="preserve"> </w:t>
      </w:r>
      <w:r>
        <w:t xml:space="preserve">allocation, a shareholder-count discrepancy, the rollover tax-funding</w:t>
      </w:r>
      <w:r>
        <w:t xml:space="preserve"> </w:t>
      </w:r>
      <w:r>
        <w:t xml:space="preserve">gap, state-tax gaps (including an unaddressed New York sales-tax</w:t>
      </w:r>
      <w:r>
        <w:t xml:space="preserve"> </w:t>
      </w:r>
      <w:r>
        <w:t xml:space="preserve">exposure), and the tension between the SPA’s eligibility representations</w:t>
      </w:r>
      <w:r>
        <w:t xml:space="preserve"> </w:t>
      </w:r>
      <w:r>
        <w:t xml:space="preserve">and the S-election findings.</w:t>
      </w:r>
    </w:p>
    <w:p>
      <w:pPr>
        <w:pStyle w:val="BodyText"/>
      </w:pPr>
      <w:r>
        <w:rPr>
          <w:b/>
          <w:bCs/>
        </w:rPr>
        <w:t xml:space="preserve">Twenty-five findings are Low severity</w:t>
      </w:r>
      <w:r>
        <w:t xml:space="preserve">, addressing citation, date,</w:t>
      </w:r>
      <w:r>
        <w:t xml:space="preserve"> </w:t>
      </w:r>
      <w:r>
        <w:t xml:space="preserve">and nomenclature errors; the funded-debt</w:t>
      </w:r>
      <w:r>
        <w:t xml:space="preserve"> </w:t>
      </w:r>
      <w:r>
        <w:t xml:space="preserve">“</w:t>
      </w:r>
      <w:r>
        <w:t xml:space="preserve">assumed</w:t>
      </w:r>
      <w:r>
        <w:t xml:space="preserve">”</w:t>
      </w:r>
      <w:r>
        <w:t xml:space="preserve"> </w:t>
      </w:r>
      <w:r>
        <w:t xml:space="preserve">vs. </w:t>
      </w:r>
      <w:r>
        <w:t xml:space="preserve">“</w:t>
      </w:r>
      <w:r>
        <w:t xml:space="preserve">repaid</w:t>
      </w:r>
      <w:r>
        <w:t xml:space="preserve">”</w:t>
      </w:r>
      <w:r>
        <w:t xml:space="preserve"> </w:t>
      </w:r>
      <w:r>
        <w:t xml:space="preserve">characterization; an uncorroborated $58,000,000 EBITDA figure that</w:t>
      </w:r>
      <w:r>
        <w:t xml:space="preserve"> </w:t>
      </w:r>
      <w:r>
        <w:t xml:space="preserve">drives the Section 163(j) conclusion; the timing of the 2024 Form 1120-S</w:t>
      </w:r>
      <w:r>
        <w:t xml:space="preserve"> </w:t>
      </w:r>
      <w:r>
        <w:t xml:space="preserve">(due the same day as closing); the lack of a formal North Carolina</w:t>
      </w:r>
      <w:r>
        <w:t xml:space="preserve"> </w:t>
      </w:r>
      <w:r>
        <w:t xml:space="preserve">R&amp;D-credit study; and several SPA tax provisions the Memo does not</w:t>
      </w:r>
      <w:r>
        <w:t xml:space="preserve"> </w:t>
      </w:r>
      <w:r>
        <w:t xml:space="preserve">address (the allocation-finalization procedure, the 30-day-early</w:t>
      </w:r>
      <w:r>
        <w:t xml:space="preserve"> </w:t>
      </w:r>
      <w:r>
        <w:t xml:space="preserve">shareholder Form 8023 execution deadline, transfer-tax allocation, tax</w:t>
      </w:r>
      <w:r>
        <w:t xml:space="preserve"> </w:t>
      </w:r>
      <w:r>
        <w:t xml:space="preserve">indemnification, and tax-return preparation/review procedures), plus</w:t>
      </w:r>
      <w:r>
        <w:t xml:space="preserve"> </w:t>
      </w:r>
      <w:r>
        <w:t xml:space="preserve">Beacon tax-distribution and BBA partnership-representative matters.</w:t>
      </w:r>
    </w:p>
    <w:p>
      <w:pPr>
        <w:pStyle w:val="BodyText"/>
      </w:pPr>
      <w:r>
        <w:t xml:space="preserve">In total, the review identifies</w:t>
      </w:r>
      <w:r>
        <w:t xml:space="preserve"> </w:t>
      </w:r>
      <w:r>
        <w:rPr>
          <w:b/>
          <w:bCs/>
        </w:rPr>
        <w:t xml:space="preserve">49 distinct issues</w:t>
      </w:r>
      <w:r>
        <w:t xml:space="preserve">. The most</w:t>
      </w:r>
      <w:r>
        <w:t xml:space="preserve"> </w:t>
      </w:r>
      <w:r>
        <w:t xml:space="preserve">consequential cluster around (a) the validity of the S corporation</w:t>
      </w:r>
      <w:r>
        <w:t xml:space="preserve"> </w:t>
      </w:r>
      <w:r>
        <w:t xml:space="preserve">election, (b) the ADSP and purchase price allocation math, and (c) the</w:t>
      </w:r>
      <w:r>
        <w:t xml:space="preserve"> </w:t>
      </w:r>
      <w:r>
        <w:t xml:space="preserve">QSBS omission — each of which should be resolved before the Form 8023</w:t>
      </w:r>
      <w:r>
        <w:t xml:space="preserve"> </w:t>
      </w:r>
      <w:r>
        <w:t xml:space="preserve">election is filed and, in the case of the S election and QSBS issues,</w:t>
      </w:r>
      <w:r>
        <w:t xml:space="preserve"> </w:t>
      </w:r>
      <w:r>
        <w:t xml:space="preserve">before the parties treat the structure as final.</w:t>
      </w:r>
    </w:p>
    <w:bookmarkEnd w:id="20"/>
    <w:bookmarkStart w:id="21" w:name="ii.-scope-and-documents-reviewed"/>
    <w:p>
      <w:pPr>
        <w:pStyle w:val="Heading2"/>
      </w:pPr>
      <w:r>
        <w:t xml:space="preserve">II. Scope and Documents Reviewed</w:t>
      </w:r>
    </w:p>
    <w:p>
      <w:pPr>
        <w:pStyle w:val="FirstParagraph"/>
      </w:pPr>
      <w:r>
        <w:t xml:space="preserve">The following documents were reviewed and cross-checked against the</w:t>
      </w:r>
      <w:r>
        <w:t xml:space="preserve"> </w:t>
      </w:r>
      <w:r>
        <w:t xml:space="preserve">Memo:</w:t>
      </w:r>
    </w:p>
    <w:tbl>
      <w:tblPr>
        <w:tblStyle w:val="Table"/>
        <w:tblW w:type="pct" w:w="4867"/>
        <w:jc w:val="left"/>
        <w:tblLayout w:type="fixed"/>
        <w:tblLook w:firstRow="1" w:lastRow="0" w:firstColumn="0" w:lastColumn="0" w:noHBand="0" w:noVBand="0" w:val="0020"/>
      </w:tblPr>
      <w:tblGrid>
        <w:gridCol w:w="844"/>
        <w:gridCol w:w="2745"/>
        <w:gridCol w:w="41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/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Structure</w:t>
            </w:r>
            <w:r>
              <w:t xml:space="preserve"> </w:t>
            </w:r>
            <w:r>
              <w:t xml:space="preserve">Memorandum (the</w:t>
            </w:r>
            <w:r>
              <w:t xml:space="preserve"> </w:t>
            </w:r>
            <w:r>
              <w:t xml:space="preserve">“</w:t>
            </w:r>
            <w:r>
              <w:t xml:space="preserve">Memo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Calloway, Stern &amp; Whitaker LLP,</w:t>
            </w:r>
            <w:r>
              <w:t xml:space="preserve"> </w:t>
            </w:r>
            <w:r>
              <w:t xml:space="preserve">February 10,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Due Diligence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Thornfield Accounting Group, LLP,</w:t>
            </w:r>
            <w:r>
              <w:t xml:space="preserve"> </w:t>
            </w:r>
            <w:r>
              <w:t xml:space="preserve">January 15, 2025 (info cutoff January</w:t>
            </w:r>
            <w:r>
              <w:t xml:space="preserve"> </w:t>
            </w:r>
            <w:r>
              <w:t xml:space="preserve">10, 2025)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Valuation Summary /</w:t>
            </w:r>
            <w:r>
              <w:t xml:space="preserve"> </w:t>
            </w:r>
            <w:r>
              <w:t xml:space="preserve">Preliminary Purchase</w:t>
            </w:r>
            <w:r>
              <w:t xml:space="preserve"> </w:t>
            </w:r>
            <w:r>
              <w:t xml:space="preserve">Price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Thornfield Accounting Group, LLP</w:t>
            </w:r>
            <w:r>
              <w:t xml:space="preserve"> </w:t>
            </w:r>
            <w:r>
              <w:t xml:space="preserve">(draft)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Prism Capitalization</w:t>
            </w:r>
            <w:r>
              <w:t xml:space="preserve"> </w:t>
            </w: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of December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Agreement and Plan of</w:t>
            </w:r>
            <w:r>
              <w:t xml:space="preserve"> </w:t>
            </w:r>
            <w:r>
              <w:t xml:space="preserve">Merger (excerpts)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dated January 28,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Amended and Restated</w:t>
            </w:r>
            <w:r>
              <w:t xml:space="preserve"> </w:t>
            </w:r>
            <w:r>
              <w:t xml:space="preserve">Operating Agreement of</w:t>
            </w:r>
            <w:r>
              <w:t xml:space="preserve"> </w:t>
            </w:r>
            <w:r>
              <w:t xml:space="preserve">Beacon Insights, LLC</w:t>
            </w:r>
            <w:r>
              <w:t xml:space="preserve"> </w:t>
            </w:r>
            <w:r>
              <w:t xml:space="preserve">(excerpts)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August 1, 2018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QSBS Eligibility email</w:t>
            </w:r>
            <w:r>
              <w:t xml:space="preserve"> </w:t>
            </w:r>
            <w:r>
              <w:t xml:space="preserve">thread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Linden Rock Advisory LLC / CSW,</w:t>
            </w:r>
            <w:r>
              <w:t xml:space="preserve"> </w:t>
            </w:r>
            <w:r>
              <w:t xml:space="preserve">November 2024 – January 2025</w:t>
            </w:r>
          </w:p>
        </w:tc>
      </w:tr>
    </w:tbl>
    <w:p>
      <w:pPr>
        <w:pStyle w:val="BodyText"/>
      </w:pPr>
      <w:r>
        <w:t xml:space="preserve">Each finding below cites the specific supporting document, section, and</w:t>
      </w:r>
      <w:r>
        <w:t xml:space="preserve"> </w:t>
      </w:r>
      <w:r>
        <w:t xml:space="preserve">figure on which it rests.</w:t>
      </w:r>
    </w:p>
    <w:bookmarkEnd w:id="21"/>
    <w:bookmarkStart w:id="75" w:name="iii.-severity-ranked-findings"/>
    <w:p>
      <w:pPr>
        <w:pStyle w:val="Heading2"/>
      </w:pPr>
      <w:r>
        <w:t xml:space="preserve">III. Severity-Ranked Findings</w:t>
      </w:r>
    </w:p>
    <w:bookmarkStart w:id="25" w:name="a.-critical-findings"/>
    <w:p>
      <w:pPr>
        <w:pStyle w:val="Heading3"/>
      </w:pPr>
      <w:r>
        <w:t xml:space="preserve">A. Critical Findings</w:t>
      </w:r>
    </w:p>
    <w:bookmarkStart w:id="22" w:name="X3d24e9048047041cf01761dc2bebd56bd7b7cbe"/>
    <w:p>
      <w:pPr>
        <w:pStyle w:val="Heading4"/>
      </w:pPr>
      <w:r>
        <w:t xml:space="preserve">C-1. S Corporation Election Validity Risk Is Not Disclosed and Is Affirmatively Contradicted by the Record</w:t>
      </w:r>
    </w:p>
    <w:p>
      <w:pPr>
        <w:pStyle w:val="FirstParagraph"/>
      </w:pPr>
      <w:r>
        <w:rPr>
          <w:b/>
          <w:bCs/>
        </w:rPr>
        <w:t xml:space="preserve">Severity: Critical</w:t>
      </w:r>
    </w:p>
    <w:p>
      <w:pPr>
        <w:pStyle w:val="BodyText"/>
      </w:pPr>
      <w:r>
        <w:rPr>
          <w:b/>
          <w:bCs/>
        </w:rPr>
        <w:t xml:space="preserve">The issue.</w:t>
      </w:r>
      <w:r>
        <w:t xml:space="preserve"> </w:t>
      </w:r>
      <w:r>
        <w:t xml:space="preserve">The Memo states (Section III.A) that</w:t>
      </w:r>
      <w:r>
        <w:t xml:space="preserve"> </w:t>
      </w:r>
      <w:r>
        <w:t xml:space="preserve">“</w:t>
      </w:r>
      <w:r>
        <w:t xml:space="preserve">No events causing a</w:t>
      </w:r>
      <w:r>
        <w:t xml:space="preserve"> </w:t>
      </w:r>
      <w:r>
        <w:t xml:space="preserve">termination of the S election have been identified. All shareholders of</w:t>
      </w:r>
      <w:r>
        <w:t xml:space="preserve"> </w:t>
      </w:r>
      <w:r>
        <w:t xml:space="preserve">Prism are U.S. individuals, and we are not aware of any ineligible</w:t>
      </w:r>
      <w:r>
        <w:t xml:space="preserve"> </w:t>
      </w:r>
      <w:r>
        <w:t xml:space="preserve">shareholders.</w:t>
      </w:r>
      <w:r>
        <w:t xml:space="preserve">”</w:t>
      </w:r>
      <w:r>
        <w:t xml:space="preserve"> </w:t>
      </w:r>
      <w:r>
        <w:t xml:space="preserve">This assertion is contradicted by two supporting</w:t>
      </w:r>
      <w:r>
        <w:t xml:space="preserve"> </w:t>
      </w:r>
      <w:r>
        <w:t xml:space="preserve">documents: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Thornfield Tax Due Diligence Report</w:t>
      </w:r>
      <w:r>
        <w:t xml:space="preserve"> </w:t>
      </w:r>
      <w:r>
        <w:t xml:space="preserve">(Section III.B, and</w:t>
      </w:r>
      <w:r>
        <w:t xml:space="preserve"> </w:t>
      </w:r>
      <w:r>
        <w:t xml:space="preserve">Executive Summary Finding 1) identifies a</w:t>
      </w:r>
      <w:r>
        <w:t xml:space="preserve"> </w:t>
      </w:r>
      <w:r>
        <w:rPr>
          <w:b/>
          <w:bCs/>
        </w:rPr>
        <w:t xml:space="preserve">critical</w:t>
      </w:r>
      <w:r>
        <w:t xml:space="preserve"> </w:t>
      </w:r>
      <w:r>
        <w:t xml:space="preserve">open item: S</w:t>
      </w:r>
      <w:r>
        <w:t xml:space="preserve"> </w:t>
      </w:r>
      <w:r>
        <w:t xml:space="preserve">corporation eligibility could not be confirmed for</w:t>
      </w:r>
      <w:r>
        <w:t xml:space="preserve"> </w:t>
      </w:r>
      <w:r>
        <w:rPr>
          <w:b/>
          <w:bCs/>
        </w:rPr>
        <w:t xml:space="preserve">two of the</w:t>
      </w:r>
      <w:r>
        <w:rPr>
          <w:b/>
          <w:bCs/>
        </w:rPr>
        <w:t xml:space="preserve"> </w:t>
      </w:r>
      <w:r>
        <w:rPr>
          <w:b/>
          <w:bCs/>
        </w:rPr>
        <w:t xml:space="preserve">eight</w:t>
      </w:r>
      <w:r>
        <w:t xml:space="preserve"> </w:t>
      </w:r>
      <w:r>
        <w:t xml:space="preserve">restricted-stock holders — (a) one holder who appears to</w:t>
      </w:r>
      <w:r>
        <w:t xml:space="preserve"> </w:t>
      </w:r>
      <w:r>
        <w:t xml:space="preserve">be a Canadian national on an H-1B visa whose</w:t>
      </w:r>
      <w:r>
        <w:t xml:space="preserve"> </w:t>
      </w:r>
      <w:r>
        <w:t xml:space="preserve">substantial-presence-test compliance under Section 7701(b)(3) was</w:t>
      </w:r>
      <w:r>
        <w:t xml:space="preserve"> </w:t>
      </w:r>
      <w:r>
        <w:t xml:space="preserve">not verified for all years, and (b) one holder whose shares may have</w:t>
      </w:r>
      <w:r>
        <w:t xml:space="preserve"> </w:t>
      </w:r>
      <w:r>
        <w:t xml:space="preserve">been transferred to a</w:t>
      </w:r>
      <w:r>
        <w:t xml:space="preserve"> </w:t>
      </w:r>
      <w:r>
        <w:t xml:space="preserve">“</w:t>
      </w:r>
      <w:r>
        <w:t xml:space="preserve">Family Holdings, LLC,</w:t>
      </w:r>
      <w:r>
        <w:t xml:space="preserve">”</w:t>
      </w:r>
      <w:r>
        <w:t xml:space="preserve"> </w:t>
      </w:r>
      <w:r>
        <w:t xml:space="preserve">which would be an</w:t>
      </w:r>
      <w:r>
        <w:t xml:space="preserve"> </w:t>
      </w:r>
      <w:r>
        <w:t xml:space="preserve">ineligible shareholder under Section 1361(b)(1). Thornfield warns</w:t>
      </w:r>
      <w:r>
        <w:t xml:space="preserve"> </w:t>
      </w:r>
      <w:r>
        <w:t xml:space="preserve">that if either condition exists, the S election was retroactively</w:t>
      </w:r>
      <w:r>
        <w:t xml:space="preserve"> </w:t>
      </w:r>
      <w:r>
        <w:t xml:space="preserve">terminated under Section 1362(d)(2), with</w:t>
      </w:r>
      <w:r>
        <w:t xml:space="preserve"> </w:t>
      </w:r>
      <w:r>
        <w:t xml:space="preserve">“</w:t>
      </w:r>
      <w:r>
        <w:t xml:space="preserve">cascading consequences</w:t>
      </w:r>
      <w:r>
        <w:t xml:space="preserve"> </w:t>
      </w:r>
      <w:r>
        <w:t xml:space="preserve">including entity-level federal and state income tax liability for</w:t>
      </w:r>
      <w:r>
        <w:t xml:space="preserve"> </w:t>
      </w:r>
      <w:r>
        <w:t xml:space="preserve">all open years, potential penalties and interest, and the</w:t>
      </w:r>
      <w:r>
        <w:t xml:space="preserve"> </w:t>
      </w:r>
      <w:r>
        <w:t xml:space="preserve">unavailability of the Section 338(h)(10) election.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Prism Capitalization Table</w:t>
      </w:r>
      <w:r>
        <w:t xml:space="preserve"> </w:t>
      </w:r>
      <w:r>
        <w:t xml:space="preserve">flags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restricted-stock</w:t>
      </w:r>
      <w:r>
        <w:t xml:space="preserve"> </w:t>
      </w:r>
      <w:r>
        <w:t xml:space="preserve">holders with</w:t>
      </w:r>
      <w:r>
        <w:t xml:space="preserve"> </w:t>
      </w:r>
      <w:r>
        <w:t xml:space="preserve">“</w:t>
      </w:r>
      <w:r>
        <w:t xml:space="preserve">Unconfirmed</w:t>
      </w:r>
      <w:r>
        <w:t xml:space="preserve">”</w:t>
      </w:r>
      <w:r>
        <w:t xml:space="preserve"> </w:t>
      </w:r>
      <w:r>
        <w:t xml:space="preserve">S corporation eligibility:</w:t>
      </w:r>
      <w:r>
        <w:t xml:space="preserve"> </w:t>
      </w:r>
      <w:r>
        <w:rPr>
          <w:b/>
          <w:bCs/>
        </w:rPr>
        <w:t xml:space="preserve">Lin Wei</w:t>
      </w:r>
      <w:r>
        <w:rPr>
          <w:b/>
          <w:bCs/>
        </w:rPr>
        <w:t xml:space="preserve"> </w:t>
      </w:r>
      <w:r>
        <w:rPr>
          <w:b/>
          <w:bCs/>
        </w:rPr>
        <w:t xml:space="preserve">Zhang</w:t>
      </w:r>
      <w:r>
        <w:t xml:space="preserve"> </w:t>
      </w:r>
      <w:r>
        <w:t xml:space="preserve">(H-1B visa holder, citizen of the People’s Republic of</w:t>
      </w:r>
      <w:r>
        <w:t xml:space="preserve"> </w:t>
      </w:r>
      <w:r>
        <w:t xml:space="preserve">China, residency/citizenship not verified),</w:t>
      </w:r>
      <w:r>
        <w:t xml:space="preserve"> </w:t>
      </w:r>
      <w:r>
        <w:rPr>
          <w:b/>
          <w:bCs/>
        </w:rPr>
        <w:t xml:space="preserve">Yusuf Al-Rashidi</w:t>
      </w:r>
      <w:r>
        <w:t xml:space="preserve"> </w:t>
      </w:r>
      <w:r>
        <w:t xml:space="preserve">(dual U.S./Jordan citizen, U.S. citizenship documentation not on</w:t>
      </w:r>
      <w:r>
        <w:t xml:space="preserve"> </w:t>
      </w:r>
      <w:r>
        <w:t xml:space="preserve">file), and</w:t>
      </w:r>
      <w:r>
        <w:t xml:space="preserve"> </w:t>
      </w:r>
      <w:r>
        <w:rPr>
          <w:b/>
          <w:bCs/>
        </w:rPr>
        <w:t xml:space="preserve">Nina Petrova</w:t>
      </w:r>
      <w:r>
        <w:t xml:space="preserve"> </w:t>
      </w:r>
      <w:r>
        <w:t xml:space="preserve">(Bulgarian-born,</w:t>
      </w:r>
      <w:r>
        <w:t xml:space="preserve"> </w:t>
      </w:r>
      <w:r>
        <w:t xml:space="preserve">green-card/lawful-permanent-resident status not verified). The cap</w:t>
      </w:r>
      <w:r>
        <w:t xml:space="preserve"> </w:t>
      </w:r>
      <w:r>
        <w:t xml:space="preserve">table’s aggregate note confirms</w:t>
      </w:r>
      <w:r>
        <w:t xml:space="preserve"> </w:t>
      </w:r>
      <w:r>
        <w:t xml:space="preserve">“</w:t>
      </w:r>
      <w:r>
        <w:t xml:space="preserve">Unverified S corp eligibility: 3</w:t>
      </w:r>
      <w:r>
        <w:t xml:space="preserve"> </w:t>
      </w:r>
      <w:r>
        <w:t xml:space="preserve">shareholders.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Additional inconsistency.</w:t>
      </w:r>
      <w:r>
        <w:t xml:space="preserve"> </w:t>
      </w:r>
      <w:r>
        <w:t xml:space="preserve">Thornfield describes the H-1B holder as a</w:t>
      </w:r>
      <w:r>
        <w:t xml:space="preserve"> </w:t>
      </w:r>
      <w:r>
        <w:t xml:space="preserve">“</w:t>
      </w:r>
      <w:r>
        <w:t xml:space="preserve">Canadian national,</w:t>
      </w:r>
      <w:r>
        <w:t xml:space="preserve">”</w:t>
      </w:r>
      <w:r>
        <w:t xml:space="preserve"> </w:t>
      </w:r>
      <w:r>
        <w:t xml:space="preserve">while the cap table identifies Lin Wei Zhang as a</w:t>
      </w:r>
      <w:r>
        <w:t xml:space="preserve"> </w:t>
      </w:r>
      <w:r>
        <w:t xml:space="preserve">“</w:t>
      </w:r>
      <w:r>
        <w:t xml:space="preserve">PRC citizen.</w:t>
      </w:r>
      <w:r>
        <w:t xml:space="preserve">”</w:t>
      </w:r>
      <w:r>
        <w:t xml:space="preserve"> </w:t>
      </w:r>
      <w:r>
        <w:t xml:space="preserve">The underlying fact is itself unresolved.</w:t>
      </w:r>
    </w:p>
    <w:p>
      <w:pPr>
        <w:pStyle w:val="BodyText"/>
      </w:pPr>
      <w:r>
        <w:rPr>
          <w:b/>
          <w:bCs/>
        </w:rPr>
        <w:t xml:space="preserve">Dollar exposure.</w:t>
      </w:r>
      <w:r>
        <w:t xml:space="preserve"> </w:t>
      </w:r>
      <w:r>
        <w:t xml:space="preserve">The capitalization table’s Consideration Waterfall</w:t>
      </w:r>
      <w:r>
        <w:t xml:space="preserve"> </w:t>
      </w:r>
      <w:r>
        <w:t xml:space="preserve">quantifies the aggregate consideration payable to the three unverified</w:t>
      </w:r>
      <w:r>
        <w:t xml:space="preserve"> </w:t>
      </w:r>
      <w:r>
        <w:t xml:space="preserve">S-corporation holders at</w:t>
      </w:r>
      <w:r>
        <w:t xml:space="preserve"> </w:t>
      </w:r>
      <w:r>
        <w:rPr>
          <w:b/>
          <w:bCs/>
        </w:rPr>
        <w:t xml:space="preserve">$2,775,000</w:t>
      </w:r>
      <w:r>
        <w:t xml:space="preserve"> </w:t>
      </w:r>
      <w:r>
        <w:t xml:space="preserve">(Lin Wei Zhang $1,110,000;</w:t>
      </w:r>
      <w:r>
        <w:t xml:space="preserve"> </w:t>
      </w:r>
      <w:r>
        <w:t xml:space="preserve">Yusuf Al-Rashidi $1,110,000; Nina Petrova $555,000). If any of these</w:t>
      </w:r>
      <w:r>
        <w:t xml:space="preserve"> </w:t>
      </w:r>
      <w:r>
        <w:t xml:space="preserve">holders is an ineligible shareholder and the S election was terminated,</w:t>
      </w:r>
      <w:r>
        <w:t xml:space="preserve"> </w:t>
      </w:r>
      <w:r>
        <w:t xml:space="preserve">the structure that supports these cash-outs (no entity-level tax,</w:t>
      </w:r>
      <w:r>
        <w:t xml:space="preserve"> </w:t>
      </w:r>
      <w:r>
        <w:t xml:space="preserve">338(h)(10) pass-through) is unavailable, and the holders’ tax positions</w:t>
      </w:r>
      <w:r>
        <w:t xml:space="preserve"> </w:t>
      </w:r>
      <w:r>
        <w:t xml:space="preserve">change materially.</w:t>
      </w:r>
    </w:p>
    <w:p>
      <w:pPr>
        <w:pStyle w:val="BodyText"/>
      </w:pPr>
      <w:r>
        <w:rPr>
          <w:b/>
          <w:bCs/>
        </w:rPr>
        <w:t xml:space="preserve">Why it is critical.</w:t>
      </w:r>
      <w:r>
        <w:t xml:space="preserve"> </w:t>
      </w:r>
      <w:r>
        <w:t xml:space="preserve">A valid S corporation election is a threshold</w:t>
      </w:r>
      <w:r>
        <w:t xml:space="preserve"> </w:t>
      </w:r>
      <w:r>
        <w:t xml:space="preserve">requirement for a Section 338(h)(10) election. The Memo’s entire</w:t>
      </w:r>
      <w:r>
        <w:t xml:space="preserve"> </w:t>
      </w:r>
      <w:r>
        <w:t xml:space="preserve">analysis — no entity-level tax, gain pass-through to shareholders, no</w:t>
      </w:r>
      <w:r>
        <w:t xml:space="preserve"> </w:t>
      </w:r>
      <w:r>
        <w:t xml:space="preserve">Section 1374 built-in gains tax — depends on continuous S status from</w:t>
      </w:r>
      <w:r>
        <w:t xml:space="preserve"> </w:t>
      </w:r>
      <w:r>
        <w:t xml:space="preserve">January 1, 2017. The Memo’s blanket statement that there are no</w:t>
      </w:r>
      <w:r>
        <w:t xml:space="preserve"> </w:t>
      </w:r>
      <w:r>
        <w:t xml:space="preserve">ineligible shareholders is unsupported and contradicts the record. The</w:t>
      </w:r>
      <w:r>
        <w:t xml:space="preserve"> </w:t>
      </w:r>
      <w:r>
        <w:t xml:space="preserve">Stock Purchase Agreement (the</w:t>
      </w:r>
      <w:r>
        <w:t xml:space="preserve"> </w:t>
      </w:r>
      <w:r>
        <w:t xml:space="preserve">“</w:t>
      </w:r>
      <w:r>
        <w:t xml:space="preserve">SPA</w:t>
      </w:r>
      <w:r>
        <w:t xml:space="preserve">”</w:t>
      </w:r>
      <w:r>
        <w:t xml:space="preserve">) compounds the problem: Section</w:t>
      </w:r>
      <w:r>
        <w:t xml:space="preserve"> </w:t>
      </w:r>
      <w:r>
        <w:t xml:space="preserve">4.9(a) represents unqualifiedly that</w:t>
      </w:r>
      <w:r>
        <w:t xml:space="preserve"> </w:t>
      </w:r>
      <w:r>
        <w:t xml:space="preserve">“</w:t>
      </w:r>
      <w:r>
        <w:t xml:space="preserve">each shareholder is an eligible S</w:t>
      </w:r>
      <w:r>
        <w:t xml:space="preserve"> </w:t>
      </w:r>
      <w:r>
        <w:t xml:space="preserve">corporation shareholder</w:t>
      </w:r>
      <w:r>
        <w:t xml:space="preserve">”</w:t>
      </w:r>
      <w:r>
        <w:t xml:space="preserve">; Section 2.5 represents that each</w:t>
      </w:r>
      <w:r>
        <w:t xml:space="preserve"> </w:t>
      </w:r>
      <w:r>
        <w:t xml:space="preserve">restricted-stock holder</w:t>
      </w:r>
      <w:r>
        <w:t xml:space="preserve"> </w:t>
      </w:r>
      <w:r>
        <w:t xml:space="preserve">“</w:t>
      </w:r>
      <w:r>
        <w:t xml:space="preserve">is an individual who is a citizen or resident</w:t>
      </w:r>
      <w:r>
        <w:t xml:space="preserve"> </w:t>
      </w:r>
      <w:r>
        <w:t xml:space="preserve">of the United States</w:t>
      </w:r>
      <w:r>
        <w:t xml:space="preserve">”</w:t>
      </w:r>
      <w:r>
        <w:t xml:space="preserve">; and Section 8.2(c) makes</w:t>
      </w:r>
      <w:r>
        <w:t xml:space="preserve"> </w:t>
      </w:r>
      <w:r>
        <w:t xml:space="preserve">“</w:t>
      </w:r>
      <w:r>
        <w:t xml:space="preserve">maintained its status</w:t>
      </w:r>
      <w:r>
        <w:t xml:space="preserve"> </w:t>
      </w:r>
      <w:r>
        <w:t xml:space="preserve">as a validly electing S corporation … continuously through the Closing</w:t>
      </w:r>
      <w:r>
        <w:t xml:space="preserve"> </w:t>
      </w:r>
      <w:r>
        <w:t xml:space="preserve">Date</w:t>
      </w:r>
      <w:r>
        <w:t xml:space="preserve">”</w:t>
      </w:r>
      <w:r>
        <w:t xml:space="preserve"> </w:t>
      </w:r>
      <w:r>
        <w:t xml:space="preserve">a closing condition. If the S election was inadvertently</w:t>
      </w:r>
      <w:r>
        <w:t xml:space="preserve"> </w:t>
      </w:r>
      <w:r>
        <w:t xml:space="preserve">terminated, these representations are breached and the closing condition</w:t>
      </w:r>
      <w:r>
        <w:t xml:space="preserve"> </w:t>
      </w:r>
      <w:r>
        <w:t xml:space="preserve">cannot be satisfied.</w:t>
      </w:r>
    </w:p>
    <w:p>
      <w:pPr>
        <w:pStyle w:val="BodyText"/>
      </w:pPr>
      <w:r>
        <w:rPr>
          <w:b/>
          <w:bCs/>
        </w:rPr>
        <w:t xml:space="preserve">Recommendation.</w:t>
      </w:r>
      <w:r>
        <w:t xml:space="preserve"> </w:t>
      </w:r>
      <w:r>
        <w:t xml:space="preserve">Obtain definitive immigration/residency</w:t>
      </w:r>
      <w:r>
        <w:t xml:space="preserve"> </w:t>
      </w:r>
      <w:r>
        <w:t xml:space="preserve">documentation for Lin Wei Zhang (substantial-presence test for every</w:t>
      </w:r>
      <w:r>
        <w:t xml:space="preserve"> </w:t>
      </w:r>
      <w:r>
        <w:t xml:space="preserve">year since grant), documentation of U.S. citizenship for Yusuf</w:t>
      </w:r>
      <w:r>
        <w:t xml:space="preserve"> </w:t>
      </w:r>
      <w:r>
        <w:t xml:space="preserve">Al-Rashidi, documentation of lawful-permanent-resident status for Nina</w:t>
      </w:r>
      <w:r>
        <w:t xml:space="preserve"> </w:t>
      </w:r>
      <w:r>
        <w:t xml:space="preserve">Petrova, and documentation regarding the alleged transfer to a family</w:t>
      </w:r>
      <w:r>
        <w:t xml:space="preserve"> </w:t>
      </w:r>
      <w:r>
        <w:t xml:space="preserve">LLC. Confirm eligibility of every shareholder for every year since</w:t>
      </w:r>
      <w:r>
        <w:t xml:space="preserve"> </w:t>
      </w:r>
      <w:r>
        <w:t xml:space="preserve">January 1, 2017, before relying on the Section 338(h)(10) structure. The</w:t>
      </w:r>
      <w:r>
        <w:t xml:space="preserve"> </w:t>
      </w:r>
      <w:r>
        <w:t xml:space="preserve">Memo should be revised to disclose this as an open critical item rather</w:t>
      </w:r>
      <w:r>
        <w:t xml:space="preserve"> </w:t>
      </w:r>
      <w:r>
        <w:t xml:space="preserve">than asserting no ineligible shareholders exist.</w:t>
      </w:r>
    </w:p>
    <w:bookmarkEnd w:id="22"/>
    <w:bookmarkStart w:id="23" w:name="Xe00aa0374bc860e93f46c5d90fe0ffb247e171a"/>
    <w:p>
      <w:pPr>
        <w:pStyle w:val="Heading4"/>
      </w:pPr>
      <w:r>
        <w:t xml:space="preserve">C-2. ADSP Calculation Double-Counts the $48,000,000 Funded Debt</w:t>
      </w:r>
    </w:p>
    <w:p>
      <w:pPr>
        <w:pStyle w:val="FirstParagraph"/>
      </w:pPr>
      <w:r>
        <w:rPr>
          <w:b/>
          <w:bCs/>
        </w:rPr>
        <w:t xml:space="preserve">Severity: Critical</w:t>
      </w:r>
    </w:p>
    <w:p>
      <w:pPr>
        <w:pStyle w:val="BodyText"/>
      </w:pPr>
      <w:r>
        <w:rPr>
          <w:b/>
          <w:bCs/>
        </w:rPr>
        <w:t xml:space="preserve">The issue.</w:t>
      </w:r>
      <w:r>
        <w:t xml:space="preserve"> </w:t>
      </w:r>
      <w:r>
        <w:t xml:space="preserve">The Memo (Section IV.B) computes the ADSP as:</w:t>
      </w:r>
    </w:p>
    <w:p>
      <w:pPr>
        <w:pStyle w:val="BlockText"/>
      </w:pPr>
      <w:r>
        <w:t xml:space="preserve">Enterprise Value $425,000,000 + Assumed Liabilities (Funded Debt)</w:t>
      </w:r>
      <w:r>
        <w:t xml:space="preserve"> </w:t>
      </w:r>
      <w:r>
        <w:t xml:space="preserve">$48,000,000 =</w:t>
      </w:r>
      <w:r>
        <w:t xml:space="preserve"> </w:t>
      </w:r>
      <w:r>
        <w:rPr>
          <w:b/>
          <w:bCs/>
        </w:rPr>
        <w:t xml:space="preserve">ADSP $473,000,000</w:t>
      </w:r>
    </w:p>
    <w:p>
      <w:pPr>
        <w:pStyle w:val="FirstParagraph"/>
      </w:pPr>
      <w:r>
        <w:t xml:space="preserve">This double-counts the funded debt. The Memo’s own consideration table</w:t>
      </w:r>
      <w:r>
        <w:t xml:space="preserve"> </w:t>
      </w:r>
      <w:r>
        <w:t xml:space="preserve">(Section II.C) establishes that Enterprise Value already includes the</w:t>
      </w:r>
      <w:r>
        <w:t xml:space="preserve"> </w:t>
      </w:r>
      <w:r>
        <w:t xml:space="preserve">debt: Equity Value $370,000,000 = Enterprise Value $425,000,000 −</w:t>
      </w:r>
      <w:r>
        <w:t xml:space="preserve"> </w:t>
      </w:r>
      <w:r>
        <w:t xml:space="preserve">Funded Debt $48,000,000 − Seller Transaction Expenses $7,000,000.</w:t>
      </w:r>
      <w:r>
        <w:t xml:space="preserve"> </w:t>
      </w:r>
      <w:r>
        <w:t xml:space="preserve">Adding the $48,000,000 debt back to an enterprise-value figure that</w:t>
      </w:r>
      <w:r>
        <w:t xml:space="preserve"> </w:t>
      </w:r>
      <w:r>
        <w:t xml:space="preserve">already contains it overstates the ADSP. Under Treas. Reg. §1.338-4, the</w:t>
      </w:r>
      <w:r>
        <w:t xml:space="preserve"> </w:t>
      </w:r>
      <w:r>
        <w:t xml:space="preserve">ADSP is computed from the amount realized on the stock ($370,000,000,</w:t>
      </w:r>
      <w:r>
        <w:t xml:space="preserve"> </w:t>
      </w:r>
      <w:r>
        <w:t xml:space="preserve">i.e., $333,000,000 cash + $37,000,000 rollover equity) plus the</w:t>
      </w:r>
      <w:r>
        <w:t xml:space="preserve"> </w:t>
      </w:r>
      <w:r>
        <w:t xml:space="preserve">target’s liabilities.</w:t>
      </w:r>
    </w:p>
    <w:p>
      <w:pPr>
        <w:pStyle w:val="BodyText"/>
      </w:pPr>
      <w:r>
        <w:rPr>
          <w:b/>
          <w:bCs/>
        </w:rPr>
        <w:t xml:space="preserve">Confirmation from the record.</w:t>
      </w:r>
      <w:r>
        <w:t xml:space="preserve"> </w:t>
      </w:r>
      <w:r>
        <w:t xml:space="preserve">Thornfield’s</w:t>
      </w:r>
      <w:r>
        <w:t xml:space="preserve"> </w:t>
      </w:r>
      <w:r>
        <w:rPr>
          <w:b/>
          <w:bCs/>
        </w:rPr>
        <w:t xml:space="preserve">Asset Valuation</w:t>
      </w:r>
      <w:r>
        <w:rPr>
          <w:b/>
          <w:bCs/>
        </w:rPr>
        <w:t xml:space="preserve"> </w:t>
      </w:r>
      <w:r>
        <w:rPr>
          <w:b/>
          <w:bCs/>
        </w:rPr>
        <w:t xml:space="preserve">Summary</w:t>
      </w:r>
      <w:r>
        <w:t xml:space="preserve"> </w:t>
      </w:r>
      <w:r>
        <w:t xml:space="preserve">(Allocation Summary tab) expressly flags this as a</w:t>
      </w:r>
      <w:r>
        <w:t xml:space="preserve"> </w:t>
      </w:r>
      <w:r>
        <w:t xml:space="preserve">“</w:t>
      </w:r>
      <w:r>
        <w:t xml:space="preserve">SIGNIFICANT DISCREPANCY,</w:t>
      </w:r>
      <w:r>
        <w:t xml:space="preserve">”</w:t>
      </w:r>
      <w:r>
        <w:t xml:space="preserve"> </w:t>
      </w:r>
      <w:r>
        <w:t xml:space="preserve">stating:</w:t>
      </w:r>
      <w:r>
        <w:t xml:space="preserve"> </w:t>
      </w:r>
      <w:r>
        <w:t xml:space="preserve">“</w:t>
      </w:r>
      <w:r>
        <w:t xml:space="preserve">The memorandum computes ADSP as</w:t>
      </w:r>
      <w:r>
        <w:t xml:space="preserve"> </w:t>
      </w:r>
      <w:r>
        <w:t xml:space="preserve">$425M enterprise value + $48M liabilities = $473M. This double-counts</w:t>
      </w:r>
      <w:r>
        <w:t xml:space="preserve"> </w:t>
      </w:r>
      <w:r>
        <w:t xml:space="preserve">the $48M funded debt, which was already subtracted to derive equity</w:t>
      </w:r>
      <w:r>
        <w:t xml:space="preserve"> </w:t>
      </w:r>
      <w:r>
        <w:t xml:space="preserve">value ($425M − $48M − $7M = $370M) and is then added back again.</w:t>
      </w:r>
      <w:r>
        <w:t xml:space="preserve">”</w:t>
      </w:r>
      <w:r>
        <w:t xml:space="preserve"> </w:t>
      </w:r>
      <w:r>
        <w:t xml:space="preserve">Thornfield computes the ADSP at</w:t>
      </w:r>
      <w:r>
        <w:t xml:space="preserve"> </w:t>
      </w:r>
      <w:r>
        <w:rPr>
          <w:b/>
          <w:bCs/>
        </w:rPr>
        <w:t xml:space="preserve">$425,000,000</w:t>
      </w:r>
      <w:r>
        <w:t xml:space="preserve"> </w:t>
      </w:r>
      <w:r>
        <w:t xml:space="preserve">($370,000,000 +</w:t>
      </w:r>
      <w:r>
        <w:t xml:space="preserve"> </w:t>
      </w:r>
      <w:r>
        <w:t xml:space="preserve">$48,000,000 + $7,000,000, conservatively treating seller transaction</w:t>
      </w:r>
      <w:r>
        <w:t xml:space="preserve"> </w:t>
      </w:r>
      <w:r>
        <w:t xml:space="preserve">expenses as target liabilities). Even excluding seller transaction</w:t>
      </w:r>
      <w:r>
        <w:t xml:space="preserve"> </w:t>
      </w:r>
      <w:r>
        <w:t xml:space="preserve">expenses, the ADSP would be $418,000,000 ($370,000,000 + $48,000,000)</w:t>
      </w:r>
      <w:r>
        <w:t xml:space="preserve"> </w:t>
      </w:r>
      <w:r>
        <w:t xml:space="preserve">— not $473,000,000.</w:t>
      </w:r>
    </w:p>
    <w:p>
      <w:pPr>
        <w:pStyle w:val="BodyText"/>
      </w:pPr>
      <w:r>
        <w:rPr>
          <w:b/>
          <w:bCs/>
        </w:rPr>
        <w:t xml:space="preserve">Cascading impact.</w:t>
      </w:r>
      <w:r>
        <w:t xml:space="preserve"> </w:t>
      </w:r>
      <w:r>
        <w:t xml:space="preserve">The $48,000,000 overstatement flows directly into</w:t>
      </w:r>
      <w:r>
        <w:t xml:space="preserve"> </w:t>
      </w:r>
      <w:r>
        <w:t xml:space="preserve">the Class VII goodwill residual and the deemed sale gain:</w:t>
      </w:r>
    </w:p>
    <w:tbl>
      <w:tblPr>
        <w:tblStyle w:val="Table"/>
        <w:tblW w:type="pct" w:w="4878"/>
        <w:jc w:val="left"/>
        <w:tblLayout w:type="fixed"/>
        <w:tblLook w:firstRow="1" w:lastRow="0" w:firstColumn="0" w:lastColumn="0" w:noHBand="0" w:noVBand="0" w:val="0020"/>
      </w:tblPr>
      <w:tblGrid>
        <w:gridCol w:w="1255"/>
        <w:gridCol w:w="1545"/>
        <w:gridCol w:w="49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Corrected (Thornfield ADSP)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$473,000,000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$425,000,000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 VII</w:t>
            </w:r>
            <w:r>
              <w:t xml:space="preserve"> </w:t>
            </w:r>
            <w:r>
              <w:t xml:space="preserve">Goodwill</w:t>
            </w:r>
            <w:r>
              <w:t xml:space="preserve"> </w:t>
            </w:r>
            <w:r>
              <w:t xml:space="preserve">(residual)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$272,800,000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$196,300,000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deemed</w:t>
            </w:r>
            <w:r>
              <w:t xml:space="preserve"> </w:t>
            </w:r>
            <w:r>
              <w:t xml:space="preserve">sale gain</w:t>
            </w:r>
            <w:r>
              <w:t xml:space="preserve"> </w:t>
            </w:r>
            <w:r>
              <w:t xml:space="preserve">(ADSP −</w:t>
            </w:r>
            <w:r>
              <w:t xml:space="preserve"> </w:t>
            </w:r>
            <w:r>
              <w:t xml:space="preserve">basis)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$430,200,000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~$360,700,000 (using asset-valuation basis; see</w:t>
            </w:r>
            <w:r>
              <w:t xml:space="preserve"> </w:t>
            </w:r>
            <w:r>
              <w:t xml:space="preserve">H-2)</w:t>
            </w:r>
          </w:p>
        </w:tc>
      </w:tr>
    </w:tbl>
    <w:p>
      <w:pPr>
        <w:pStyle w:val="BodyText"/>
      </w:pPr>
      <w:r>
        <w:t xml:space="preserve">The overstated ADSP inflates Buyer’s amortizable goodwill basis (a</w:t>
      </w:r>
      <w:r>
        <w:t xml:space="preserve"> </w:t>
      </w:r>
      <w:r>
        <w:t xml:space="preserve">Buyer-favorable error the IRS would challenge) and inflates the selling</w:t>
      </w:r>
      <w:r>
        <w:t xml:space="preserve"> </w:t>
      </w:r>
      <w:r>
        <w:t xml:space="preserve">shareholders’ reported deemed sale gain (a Seller-adverse error). The</w:t>
      </w:r>
      <w:r>
        <w:t xml:space="preserve"> </w:t>
      </w:r>
      <w:r>
        <w:t xml:space="preserve">parties must agree on the allocation for Form 8883; the Memo and</w:t>
      </w:r>
      <w:r>
        <w:t xml:space="preserve"> </w:t>
      </w:r>
      <w:r>
        <w:t xml:space="preserve">Thornfield currently disagree by $76,500,000 in goodwill (see H-3).</w:t>
      </w:r>
    </w:p>
    <w:p>
      <w:pPr>
        <w:pStyle w:val="BodyText"/>
      </w:pPr>
      <w:r>
        <w:rPr>
          <w:b/>
          <w:bCs/>
        </w:rPr>
        <w:t xml:space="preserve">Recommendation.</w:t>
      </w:r>
      <w:r>
        <w:t xml:space="preserve"> </w:t>
      </w:r>
      <w:r>
        <w:t xml:space="preserve">Recompute the ADSP from the stock amount realized</w:t>
      </w:r>
      <w:r>
        <w:t xml:space="preserve"> </w:t>
      </w:r>
      <w:r>
        <w:t xml:space="preserve">($370,000,000) plus target liabilities, reconcile with Thornfield, and</w:t>
      </w:r>
      <w:r>
        <w:t xml:space="preserve"> </w:t>
      </w:r>
      <w:r>
        <w:t xml:space="preserve">restate the entire purchase price allocation, deemed sale gain,</w:t>
      </w:r>
      <w:r>
        <w:t xml:space="preserve"> </w:t>
      </w:r>
      <w:r>
        <w:t xml:space="preserve">per-shareholder gain, and Buyer amortization schedules before filing</w:t>
      </w:r>
      <w:r>
        <w:t xml:space="preserve"> </w:t>
      </w:r>
      <w:r>
        <w:t xml:space="preserve">Form 8023/Form 8883.</w:t>
      </w:r>
    </w:p>
    <w:bookmarkEnd w:id="23"/>
    <w:bookmarkStart w:id="24" w:name="Xca08be19cf6954330afd31930dbe3e64f8120ba"/>
    <w:p>
      <w:pPr>
        <w:pStyle w:val="Heading4"/>
      </w:pPr>
      <w:r>
        <w:t xml:space="preserve">C-3. QSBS / Section 1202 Analysis Is Omitted Despite an Express Written Promise and Repeated Urgent Requests</w:t>
      </w:r>
    </w:p>
    <w:p>
      <w:pPr>
        <w:pStyle w:val="FirstParagraph"/>
      </w:pPr>
      <w:r>
        <w:rPr>
          <w:b/>
          <w:bCs/>
        </w:rPr>
        <w:t xml:space="preserve">Severity: Critical</w:t>
      </w:r>
    </w:p>
    <w:p>
      <w:pPr>
        <w:pStyle w:val="BodyText"/>
      </w:pPr>
      <w:r>
        <w:rPr>
          <w:b/>
          <w:bCs/>
        </w:rPr>
        <w:t xml:space="preserve">The issue.</w:t>
      </w:r>
      <w:r>
        <w:t xml:space="preserve"> </w:t>
      </w:r>
      <w:r>
        <w:t xml:space="preserve">The Memo contains no analysis of Section 1202 qualified</w:t>
      </w:r>
      <w:r>
        <w:t xml:space="preserve"> </w:t>
      </w:r>
      <w:r>
        <w:t xml:space="preserve">small business stock (</w:t>
      </w:r>
      <w:r>
        <w:t xml:space="preserve">“</w:t>
      </w:r>
      <w:r>
        <w:t xml:space="preserve">QSBS</w:t>
      </w:r>
      <w:r>
        <w:t xml:space="preserve">”</w:t>
      </w:r>
      <w:r>
        <w:t xml:space="preserve">) — not in the Executive Summary, not in</w:t>
      </w:r>
      <w:r>
        <w:t xml:space="preserve"> </w:t>
      </w:r>
      <w:r>
        <w:t xml:space="preserve">the shareholder-consequences section, and not in the conclusions. This</w:t>
      </w:r>
      <w:r>
        <w:t xml:space="preserve"> </w:t>
      </w:r>
      <w:r>
        <w:t xml:space="preserve">is a material omission for three independent reasons drawn from the</w:t>
      </w:r>
      <w:r>
        <w:t xml:space="preserve"> </w:t>
      </w:r>
      <w:r>
        <w:t xml:space="preserve">record: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CSW expressly promised the analysis in writing.</w:t>
      </w:r>
      <w:r>
        <w:t xml:space="preserve"> </w:t>
      </w:r>
      <w:r>
        <w:t xml:space="preserve">In his November</w:t>
      </w:r>
      <w:r>
        <w:t xml:space="preserve"> </w:t>
      </w:r>
      <w:r>
        <w:t xml:space="preserve">20, 2024 email to Derek Whitfield of Linden Rock Advisory (financial</w:t>
      </w:r>
      <w:r>
        <w:t xml:space="preserve"> </w:t>
      </w:r>
      <w:r>
        <w:t xml:space="preserve">advisor to Prism’s shareholders), James Calloway stated:</w:t>
      </w:r>
      <w:r>
        <w:t xml:space="preserve"> </w:t>
      </w:r>
      <w:r>
        <w:t xml:space="preserve">“</w:t>
      </w:r>
      <w:r>
        <w:t xml:space="preserve">We intend</w:t>
      </w:r>
      <w:r>
        <w:t xml:space="preserve"> </w:t>
      </w:r>
      <w:r>
        <w:t xml:space="preserve">to include a QSBS analysis as part of the transaction structure</w:t>
      </w:r>
      <w:r>
        <w:t xml:space="preserve"> </w:t>
      </w:r>
      <w:r>
        <w:t xml:space="preserve">memorandum we are preparing for Ridgeline,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My goal is to have</w:t>
      </w:r>
      <w:r>
        <w:t xml:space="preserve"> </w:t>
      </w:r>
      <w:r>
        <w:t xml:space="preserve">the QSBS section drafted and incorporated into the memorandum well</w:t>
      </w:r>
      <w:r>
        <w:t xml:space="preserve"> </w:t>
      </w:r>
      <w:r>
        <w:t xml:space="preserve">before the purchase agreement is executed.</w:t>
      </w:r>
      <w:r>
        <w:t xml:space="preserve">”</w:t>
      </w:r>
      <w:r>
        <w:t xml:space="preserve"> </w:t>
      </w:r>
      <w:r>
        <w:t xml:space="preserve">The SPA was executed</w:t>
      </w:r>
      <w:r>
        <w:t xml:space="preserve"> </w:t>
      </w:r>
      <w:r>
        <w:t xml:space="preserve">January 28, 2025; the Memo is dated February 10, 2025. The promised</w:t>
      </w:r>
      <w:r>
        <w:t xml:space="preserve"> </w:t>
      </w:r>
      <w:r>
        <w:t xml:space="preserve">analysis was never delivered.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The selling shareholders repeatedly and urgently requested it.</w:t>
      </w:r>
      <w:r>
        <w:t xml:space="preserve"> </w:t>
      </w:r>
      <w:r>
        <w:t xml:space="preserve">Mr. Whitfield’s January 6, 2025 email states that</w:t>
      </w:r>
      <w:r>
        <w:t xml:space="preserve"> </w:t>
      </w:r>
      <w:r>
        <w:t xml:space="preserve">“</w:t>
      </w:r>
      <w:r>
        <w:t xml:space="preserve">at least four of</w:t>
      </w:r>
      <w:r>
        <w:t xml:space="preserve"> </w:t>
      </w:r>
      <w:r>
        <w:t xml:space="preserve">the 14 shareholders have specifically asked Linden Rock whether</w:t>
      </w:r>
      <w:r>
        <w:t xml:space="preserve"> </w:t>
      </w:r>
      <w:r>
        <w:t xml:space="preserve">their Section 1202 QSBS exclusion will be preserved,</w:t>
      </w:r>
      <w:r>
        <w:t xml:space="preserve">”</w:t>
      </w:r>
      <w:r>
        <w:t xml:space="preserve"> </w:t>
      </w:r>
      <w:r>
        <w:t xml:space="preserve">that the issue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w:r>
        <w:t xml:space="preserve">a seven-figure swing in after-tax proceeds</w:t>
      </w:r>
      <w:r>
        <w:t xml:space="preserve">”</w:t>
      </w:r>
      <w:r>
        <w:t xml:space="preserve"> </w:t>
      </w:r>
      <w:r>
        <w:t xml:space="preserve">for some, that</w:t>
      </w:r>
      <w:r>
        <w:t xml:space="preserve"> </w:t>
      </w:r>
      <w:r>
        <w:t xml:space="preserve">“</w:t>
      </w:r>
      <w:r>
        <w:t xml:space="preserve">I</w:t>
      </w:r>
      <w:r>
        <w:t xml:space="preserve"> </w:t>
      </w:r>
      <w:r>
        <w:t xml:space="preserve">have not yet received any written analysis or update on the QSBS</w:t>
      </w:r>
      <w:r>
        <w:t xml:space="preserve"> </w:t>
      </w:r>
      <w:r>
        <w:t xml:space="preserve">question since your November 20 email,</w:t>
      </w:r>
      <w:r>
        <w:t xml:space="preserve">”</w:t>
      </w:r>
      <w:r>
        <w:t xml:space="preserve"> </w:t>
      </w:r>
      <w:r>
        <w:t xml:space="preserve">and that the analysis was</w:t>
      </w:r>
      <w:r>
        <w:t xml:space="preserve"> </w:t>
      </w:r>
      <w:r>
        <w:t xml:space="preserve">needed</w:t>
      </w:r>
      <w:r>
        <w:t xml:space="preserve"> </w:t>
      </w:r>
      <w:r>
        <w:t xml:space="preserve">“</w:t>
      </w:r>
      <w:r>
        <w:t xml:space="preserve">before the purchase agreement is finalized.</w:t>
      </w:r>
      <w:r>
        <w:t xml:space="preserve">”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The interaction with Section 338(h)(10) may eliminate the</w:t>
      </w:r>
      <w:r>
        <w:rPr>
          <w:b/>
          <w:bCs/>
        </w:rPr>
        <w:t xml:space="preserve"> </w:t>
      </w:r>
      <w:r>
        <w:rPr>
          <w:b/>
          <w:bCs/>
        </w:rPr>
        <w:t xml:space="preserve">exclusion, and CSW knew it.</w:t>
      </w:r>
      <w:r>
        <w:t xml:space="preserve"> </w:t>
      </w:r>
      <w:r>
        <w:t xml:space="preserve">Mr. Calloway’s November 20 email flags</w:t>
      </w:r>
      <w:r>
        <w:t xml:space="preserve"> </w:t>
      </w:r>
      <w:r>
        <w:t xml:space="preserve">“</w:t>
      </w:r>
      <w:r>
        <w:t xml:space="preserve">a real question … as to whether the deemed asset sale treatment</w:t>
      </w:r>
      <w:r>
        <w:t xml:space="preserve"> </w:t>
      </w:r>
      <w:r>
        <w:t xml:space="preserve">under Section 338(h)(10) is in tension with the statutory language</w:t>
      </w:r>
      <w:r>
        <w:t xml:space="preserve"> </w:t>
      </w:r>
      <w:r>
        <w:t xml:space="preserve">of Section 1202,</w:t>
      </w:r>
      <w:r>
        <w:t xml:space="preserve">”</w:t>
      </w:r>
      <w:r>
        <w:t xml:space="preserve"> </w:t>
      </w:r>
      <w:r>
        <w:t xml:space="preserve">because Section 1202 applies to gain on the</w:t>
      </w:r>
      <w:r>
        <w:t xml:space="preserve"> </w:t>
      </w:r>
      <w:r>
        <w:t xml:space="preserve">“</w:t>
      </w:r>
      <w:r>
        <w:t xml:space="preserve">sale</w:t>
      </w:r>
      <w:r>
        <w:t xml:space="preserve"> </w:t>
      </w:r>
      <w:r>
        <w:t xml:space="preserve">or exchange</w:t>
      </w:r>
      <w:r>
        <w:t xml:space="preserve">”</w:t>
      </w:r>
      <w:r>
        <w:t xml:space="preserve"> </w:t>
      </w:r>
      <w:r>
        <w:t xml:space="preserve">of QSBS, while a 338(h)(10) election recharacterizes</w:t>
      </w:r>
      <w:r>
        <w:t xml:space="preserve"> </w:t>
      </w:r>
      <w:r>
        <w:t xml:space="preserve">the transaction as a deemed asset sale followed by a deemed</w:t>
      </w:r>
      <w:r>
        <w:t xml:space="preserve"> </w:t>
      </w:r>
      <w:r>
        <w:t xml:space="preserve">liquidation. The Thornfield report (Section VIII.B) reaches the same</w:t>
      </w:r>
      <w:r>
        <w:t xml:space="preserve"> </w:t>
      </w:r>
      <w:r>
        <w:t xml:space="preserve">concern and recommends</w:t>
      </w:r>
      <w:r>
        <w:t xml:space="preserve"> </w:t>
      </w:r>
      <w:r>
        <w:t xml:space="preserve">“</w:t>
      </w:r>
      <w:r>
        <w:t xml:space="preserve">a definitive analysis of QSBS eligibility</w:t>
      </w:r>
      <w:r>
        <w:t xml:space="preserve"> </w:t>
      </w:r>
      <w:r>
        <w:t xml:space="preserve">… with particular attention to the interaction between Section</w:t>
      </w:r>
      <w:r>
        <w:t xml:space="preserve"> </w:t>
      </w:r>
      <w:r>
        <w:t xml:space="preserve">1202 and the Section 338(h)(10) election.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Who may be eligible.</w:t>
      </w:r>
      <w:r>
        <w:t xml:space="preserve"> </w:t>
      </w:r>
      <w:r>
        <w:t xml:space="preserve">The capitalization table’s</w:t>
      </w:r>
      <w:r>
        <w:t xml:space="preserve"> </w:t>
      </w:r>
      <w:r>
        <w:t xml:space="preserve">“</w:t>
      </w:r>
      <w:r>
        <w:t xml:space="preserve">Acquired During C</w:t>
      </w:r>
      <w:r>
        <w:t xml:space="preserve"> </w:t>
      </w:r>
      <w:r>
        <w:t xml:space="preserve">Corp Period?</w:t>
      </w:r>
      <w:r>
        <w:t xml:space="preserve">”</w:t>
      </w:r>
      <w:r>
        <w:t xml:space="preserve"> </w:t>
      </w:r>
      <w:r>
        <w:t xml:space="preserve">column shows that shares issued between June 14, 2016 and</w:t>
      </w:r>
      <w:r>
        <w:t xml:space="preserve"> </w:t>
      </w:r>
      <w:r>
        <w:t xml:space="preserve">December 31, 2016 (Prism’s C-corporation period) — including the</w:t>
      </w:r>
      <w:r>
        <w:t xml:space="preserve"> </w:t>
      </w:r>
      <w:r>
        <w:t xml:space="preserve">founder shares (Dr. Chandra, Ms. Stowe) and the common shares of</w:t>
      </w:r>
      <w:r>
        <w:t xml:space="preserve"> </w:t>
      </w:r>
      <w:r>
        <w:t xml:space="preserve">multiple angel investors and early employees — potentially satisfy the</w:t>
      </w:r>
      <w:r>
        <w:t xml:space="preserve"> </w:t>
      </w:r>
      <w:r>
        <w:t xml:space="preserve">Section 1202(c)(1) C-corporation-issuance requirement, subject to the</w:t>
      </w:r>
      <w:r>
        <w:t xml:space="preserve"> </w:t>
      </w:r>
      <w:r>
        <w:t xml:space="preserve">$50,000,000 aggregate-gross-assets test (Prism’s total assets at</w:t>
      </w:r>
      <w:r>
        <w:t xml:space="preserve"> </w:t>
      </w:r>
      <w:r>
        <w:t xml:space="preserve">December 31, 2016 were ~$4,200,000, well under the cap) and the</w:t>
      </w:r>
      <w:r>
        <w:t xml:space="preserve"> </w:t>
      </w:r>
      <w:r>
        <w:t xml:space="preserve">more-than-five-year holding period (satisfied). Thornfield’s report,</w:t>
      </w:r>
      <w:r>
        <w:t xml:space="preserve"> </w:t>
      </w:r>
      <w:r>
        <w:t xml:space="preserve">however, states that only</w:t>
      </w:r>
      <w:r>
        <w:t xml:space="preserve"> </w:t>
      </w:r>
      <w:r>
        <w:t xml:space="preserve">“</w:t>
      </w:r>
      <w:r>
        <w:t xml:space="preserve">the founder shares (Chandra and Stowe) and</w:t>
      </w:r>
      <w:r>
        <w:t xml:space="preserve"> </w:t>
      </w:r>
      <w:r>
        <w:t xml:space="preserve">the shares held by the 4 seed-round angel investors</w:t>
      </w:r>
      <w:r>
        <w:t xml:space="preserve">”</w:t>
      </w:r>
      <w:r>
        <w:t xml:space="preserve"> </w:t>
      </w:r>
      <w:r>
        <w:t xml:space="preserve">were issued during</w:t>
      </w:r>
      <w:r>
        <w:t xml:space="preserve"> </w:t>
      </w:r>
      <w:r>
        <w:t xml:space="preserve">the C-corporation period — a count that does not reconcile to the cap</w:t>
      </w:r>
      <w:r>
        <w:t xml:space="preserve"> </w:t>
      </w:r>
      <w:r>
        <w:t xml:space="preserve">table, which shows nine non-founder common holders acquiring during the</w:t>
      </w:r>
      <w:r>
        <w:t xml:space="preserve"> </w:t>
      </w:r>
      <w:r>
        <w:t xml:space="preserve">C-corporation period (acquisition dates August 15, 2016 through November</w:t>
      </w:r>
      <w:r>
        <w:t xml:space="preserve"> </w:t>
      </w:r>
      <w:r>
        <w:t xml:space="preserve">1, 2016). The scope of potentially QSBS-eligible shareholders is itself</w:t>
      </w:r>
      <w:r>
        <w:t xml:space="preserve"> </w:t>
      </w:r>
      <w:r>
        <w:t xml:space="preserve">unresolved.</w:t>
      </w:r>
    </w:p>
    <w:p>
      <w:pPr>
        <w:pStyle w:val="BodyText"/>
      </w:pPr>
      <w:r>
        <w:rPr>
          <w:b/>
          <w:bCs/>
        </w:rPr>
        <w:t xml:space="preserve">Additional omission.</w:t>
      </w:r>
      <w:r>
        <w:t xml:space="preserve"> </w:t>
      </w:r>
      <w:r>
        <w:t xml:space="preserve">Mr. Whitfield’s January 6 email specifically</w:t>
      </w:r>
      <w:r>
        <w:t xml:space="preserve"> </w:t>
      </w:r>
      <w:r>
        <w:t xml:space="preserve">asks whether the QSBS exclusion</w:t>
      </w:r>
      <w:r>
        <w:t xml:space="preserve"> </w:t>
      </w:r>
      <w:r>
        <w:t xml:space="preserve">“</w:t>
      </w:r>
      <w:r>
        <w:t xml:space="preserve">applies to gain attributable to escrow</w:t>
      </w:r>
      <w:r>
        <w:t xml:space="preserve"> </w:t>
      </w:r>
      <w:r>
        <w:t xml:space="preserve">amounts that may not be released for 18 to 24 months after closing.</w:t>
      </w:r>
      <w:r>
        <w:t xml:space="preserve">”</w:t>
      </w:r>
      <w:r>
        <w:t xml:space="preserve"> </w:t>
      </w:r>
      <w:r>
        <w:t xml:space="preserve">The</w:t>
      </w:r>
      <w:r>
        <w:t xml:space="preserve"> </w:t>
      </w:r>
      <w:r>
        <w:t xml:space="preserve">Memo does not address the escrow/QSBS interaction (nor the escrow/timing</w:t>
      </w:r>
      <w:r>
        <w:t xml:space="preserve"> </w:t>
      </w:r>
      <w:r>
        <w:t xml:space="preserve">question generally — see H-1).</w:t>
      </w:r>
    </w:p>
    <w:p>
      <w:pPr>
        <w:pStyle w:val="BodyText"/>
      </w:pPr>
      <w:r>
        <w:rPr>
          <w:b/>
          <w:bCs/>
        </w:rPr>
        <w:t xml:space="preserve">Recommendation.</w:t>
      </w:r>
      <w:r>
        <w:t xml:space="preserve"> </w:t>
      </w:r>
      <w:r>
        <w:t xml:space="preserve">Prepare and circulate the promised QSBS analysis as</w:t>
      </w:r>
      <w:r>
        <w:t xml:space="preserve"> </w:t>
      </w:r>
      <w:r>
        <w:t xml:space="preserve">a dedicated section or standalone memo. Address (a) whether shares</w:t>
      </w:r>
      <w:r>
        <w:t xml:space="preserve"> </w:t>
      </w:r>
      <w:r>
        <w:t xml:space="preserve">issued during the C-corporation period retain QSBS character through the</w:t>
      </w:r>
      <w:r>
        <w:t xml:space="preserve"> </w:t>
      </w:r>
      <w:r>
        <w:t xml:space="preserve">S-corporation years and the sale; (b) whether the Section 338(h)(10)</w:t>
      </w:r>
      <w:r>
        <w:t xml:space="preserve"> </w:t>
      </w:r>
      <w:r>
        <w:t xml:space="preserve">deemed asset sale forecloses the Section 1202 exclusion; (c) the</w:t>
      </w:r>
      <w:r>
        <w:t xml:space="preserve"> </w:t>
      </w:r>
      <w:r>
        <w:t xml:space="preserve">$50,000,000 aggregate-gross-assets and holding-period requirements; (d)</w:t>
      </w:r>
      <w:r>
        <w:t xml:space="preserve"> </w:t>
      </w:r>
      <w:r>
        <w:t xml:space="preserve">the per-shareholder scope (reconciling to the cap table); (e) the escrow</w:t>
      </w:r>
      <w:r>
        <w:t xml:space="preserve"> </w:t>
      </w:r>
      <w:r>
        <w:t xml:space="preserve">component; and (f) whether an alternative structure (e.g., a stock sale</w:t>
      </w:r>
      <w:r>
        <w:t xml:space="preserve"> </w:t>
      </w:r>
      <w:r>
        <w:t xml:space="preserve">without the 338(h)(10) election) would preserve the exclusion and the</w:t>
      </w:r>
      <w:r>
        <w:t xml:space="preserve"> </w:t>
      </w:r>
      <w:r>
        <w:t xml:space="preserve">trade-offs involved. Several shareholders signed the SPA without this</w:t>
      </w:r>
      <w:r>
        <w:t xml:space="preserve"> </w:t>
      </w:r>
      <w:r>
        <w:t xml:space="preserve">analysis.</w:t>
      </w:r>
    </w:p>
    <w:bookmarkEnd w:id="24"/>
    <w:bookmarkEnd w:id="25"/>
    <w:bookmarkStart w:id="33" w:name="b.-high-severity-findings"/>
    <w:p>
      <w:pPr>
        <w:pStyle w:val="Heading3"/>
      </w:pPr>
      <w:r>
        <w:t xml:space="preserve">B. High-Severity Findings</w:t>
      </w:r>
    </w:p>
    <w:bookmarkStart w:id="26" w:name="X7612df48bca21520e9f4bcccc65a6798e382fd8"/>
    <w:p>
      <w:pPr>
        <w:pStyle w:val="Heading4"/>
      </w:pPr>
      <w:r>
        <w:t xml:space="preserve">H-1. Escrow Tax Treatment in the Memo Directly Contradicts the Stock Purchase Agreement</w:t>
      </w:r>
    </w:p>
    <w:p>
      <w:pPr>
        <w:pStyle w:val="FirstParagraph"/>
      </w:pPr>
      <w:r>
        <w:rPr>
          <w:b/>
          <w:bCs/>
        </w:rPr>
        <w:t xml:space="preserve">Severity: High</w:t>
      </w:r>
    </w:p>
    <w:p>
      <w:pPr>
        <w:pStyle w:val="BodyText"/>
      </w:pPr>
      <w:r>
        <w:rPr>
          <w:b/>
          <w:bCs/>
        </w:rPr>
        <w:t xml:space="preserve">The issue.</w:t>
      </w:r>
      <w:r>
        <w:t xml:space="preserve"> </w:t>
      </w:r>
      <w:r>
        <w:t xml:space="preserve">The Memo (Section V.C) characterizes the $22,000,000</w:t>
      </w:r>
      <w:r>
        <w:t xml:space="preserve"> </w:t>
      </w:r>
      <w:r>
        <w:t xml:space="preserve">escrow as</w:t>
      </w:r>
      <w:r>
        <w:t xml:space="preserve"> </w:t>
      </w:r>
      <w:r>
        <w:t xml:space="preserve">“</w:t>
      </w:r>
      <w:r>
        <w:t xml:space="preserve">contingent consideration</w:t>
      </w:r>
      <w:r>
        <w:t xml:space="preserve">”</w:t>
      </w:r>
      <w:r>
        <w:t xml:space="preserve"> </w:t>
      </w:r>
      <w:r>
        <w:t xml:space="preserve">and advises that</w:t>
      </w:r>
      <w:r>
        <w:t xml:space="preserve"> </w:t>
      </w:r>
      <w:r>
        <w:t xml:space="preserve">“</w:t>
      </w:r>
      <w:r>
        <w:t xml:space="preserve">the selling</w:t>
      </w:r>
      <w:r>
        <w:t xml:space="preserve"> </w:t>
      </w:r>
      <w:r>
        <w:t xml:space="preserve">shareholders may elect installment sale treatment with respect to the</w:t>
      </w:r>
      <w:r>
        <w:t xml:space="preserve"> </w:t>
      </w:r>
      <w:r>
        <w:t xml:space="preserve">escrow amount, deferring recognition of a proportionate share of gain</w:t>
      </w:r>
      <w:r>
        <w:t xml:space="preserve"> </w:t>
      </w:r>
      <w:r>
        <w:t xml:space="preserve">until the escrow is released</w:t>
      </w:r>
      <w:r>
        <w:t xml:space="preserve">”</w:t>
      </w:r>
      <w:r>
        <w:t xml:space="preserve"> </w:t>
      </w:r>
      <w:r>
        <w:t xml:space="preserve">(i.e., until September 15, 2026). The SPA</w:t>
      </w:r>
      <w:r>
        <w:t xml:space="preserve"> </w:t>
      </w:r>
      <w:r>
        <w:t xml:space="preserve">says the opposite.</w:t>
      </w:r>
      <w:r>
        <w:t xml:space="preserve"> </w:t>
      </w:r>
      <w:r>
        <w:rPr>
          <w:b/>
          <w:bCs/>
        </w:rPr>
        <w:t xml:space="preserve">SPA Section 7.4</w:t>
      </w:r>
      <w:r>
        <w:t xml:space="preserve"> </w:t>
      </w:r>
      <w:r>
        <w:t xml:space="preserve">provides:</w:t>
      </w:r>
      <w:r>
        <w:t xml:space="preserve"> </w:t>
      </w:r>
      <w:r>
        <w:t xml:space="preserve">“</w:t>
      </w:r>
      <w:r>
        <w:t xml:space="preserve">The parties intend</w:t>
      </w:r>
      <w:r>
        <w:t xml:space="preserve"> </w:t>
      </w:r>
      <w:r>
        <w:t xml:space="preserve">that the Escrow Amount be reported as an amount realized by the</w:t>
      </w:r>
      <w:r>
        <w:t xml:space="preserve"> </w:t>
      </w:r>
      <w:r>
        <w:t xml:space="preserve">Shareholders in the taxable year in which the Closing occurs, consistent</w:t>
      </w:r>
      <w:r>
        <w:t xml:space="preserve"> </w:t>
      </w:r>
      <w:r>
        <w:t xml:space="preserve">with the treatment of the Escrow Amount as a portion of the Cash</w:t>
      </w:r>
      <w:r>
        <w:t xml:space="preserve"> </w:t>
      </w:r>
      <w:r>
        <w:t xml:space="preserve">Consideration deposited with a third-party agent for the benefit of the</w:t>
      </w:r>
      <w:r>
        <w:t xml:space="preserve"> </w:t>
      </w:r>
      <w:r>
        <w:t xml:space="preserve">Shareholders.</w:t>
      </w:r>
      <w:r>
        <w:t xml:space="preserve">”</w:t>
      </w:r>
    </w:p>
    <w:p>
      <w:pPr>
        <w:pStyle w:val="BodyText"/>
      </w:pPr>
      <w:r>
        <w:t xml:space="preserve">The Memo’s deferral position is therefore in direct conflict with the</w:t>
      </w:r>
      <w:r>
        <w:t xml:space="preserve"> </w:t>
      </w:r>
      <w:r>
        <w:t xml:space="preserve">express tax-treatment provision of the operative agreement, which treats</w:t>
      </w:r>
      <w:r>
        <w:t xml:space="preserve"> </w:t>
      </w:r>
      <w:r>
        <w:t xml:space="preserve">the escrow as received at closing (2025), not deferred to 2026.</w:t>
      </w:r>
    </w:p>
    <w:p>
      <w:pPr>
        <w:pStyle w:val="BodyText"/>
      </w:pPr>
      <w:r>
        <w:rPr>
          <w:b/>
          <w:bCs/>
        </w:rPr>
        <w:t xml:space="preserve">Additional technical concern.</w:t>
      </w:r>
      <w:r>
        <w:t xml:space="preserve"> </w:t>
      </w:r>
      <w:r>
        <w:t xml:space="preserve">The Memo’s installment analysis is</w:t>
      </w:r>
      <w:r>
        <w:t xml:space="preserve"> </w:t>
      </w:r>
      <w:r>
        <w:t xml:space="preserve">also legally questionable on the merits. An escrow deposited with a</w:t>
      </w:r>
      <w:r>
        <w:t xml:space="preserve"> </w:t>
      </w:r>
      <w:r>
        <w:t xml:space="preserve">third-party agent for the selling shareholders’ benefit (subject only to</w:t>
      </w:r>
      <w:r>
        <w:t xml:space="preserve"> </w:t>
      </w:r>
      <w:r>
        <w:t xml:space="preserve">indemnity claims) is generally treated as received at closing, not as</w:t>
      </w:r>
      <w:r>
        <w:t xml:space="preserve"> </w:t>
      </w:r>
      <w:r>
        <w:t xml:space="preserve">contingent consideration eligible for Section 453 deferral. Moreover, in</w:t>
      </w:r>
      <w:r>
        <w:t xml:space="preserve"> </w:t>
      </w:r>
      <w:r>
        <w:t xml:space="preserve">a Section 338(h)(10) transaction the deemed asset sale occurs at the</w:t>
      </w:r>
      <w:r>
        <w:t xml:space="preserve"> </w:t>
      </w:r>
      <w:r>
        <w:t xml:space="preserve">close of the acquisition date for the full ADSP; the deemed sale gain is</w:t>
      </w:r>
      <w:r>
        <w:t xml:space="preserve"> </w:t>
      </w:r>
      <w:r>
        <w:t xml:space="preserve">recognized by old Prism at closing and passes through to shareholders on</w:t>
      </w:r>
      <w:r>
        <w:t xml:space="preserve"> </w:t>
      </w:r>
      <w:r>
        <w:t xml:space="preserve">the final K-1. The Memo does not address whether the installment method</w:t>
      </w:r>
      <w:r>
        <w:t xml:space="preserve"> </w:t>
      </w:r>
      <w:r>
        <w:t xml:space="preserve">is even available at the deemed-sale level, instead analyzing it purely</w:t>
      </w:r>
      <w:r>
        <w:t xml:space="preserve"> </w:t>
      </w:r>
      <w:r>
        <w:t xml:space="preserve">at the shareholder level.</w:t>
      </w:r>
    </w:p>
    <w:p>
      <w:pPr>
        <w:pStyle w:val="BodyText"/>
      </w:pPr>
      <w:r>
        <w:rPr>
          <w:b/>
          <w:bCs/>
        </w:rPr>
        <w:t xml:space="preserve">Recommendation.</w:t>
      </w:r>
      <w:r>
        <w:t xml:space="preserve"> </w:t>
      </w:r>
      <w:r>
        <w:t xml:space="preserve">Reconcile the Memo with SPA Section 7.4. If deferral</w:t>
      </w:r>
      <w:r>
        <w:t xml:space="preserve"> </w:t>
      </w:r>
      <w:r>
        <w:t xml:space="preserve">is intended, the SPA’s tax-treatment provision must be amended; if the</w:t>
      </w:r>
      <w:r>
        <w:t xml:space="preserve"> </w:t>
      </w:r>
      <w:r>
        <w:t xml:space="preserve">SPA’s treatment controls, the Memo’s Section V.C analysis must be</w:t>
      </w:r>
      <w:r>
        <w:t xml:space="preserve"> </w:t>
      </w:r>
      <w:r>
        <w:t xml:space="preserve">withdrawn. Each shareholder’s actual treatment is, per the SPA,</w:t>
      </w:r>
      <w:r>
        <w:t xml:space="preserve"> </w:t>
      </w:r>
      <w:r>
        <w:t xml:space="preserve">“</w:t>
      </w:r>
      <w:r>
        <w:t xml:space="preserve">solely</w:t>
      </w:r>
      <w:r>
        <w:t xml:space="preserve"> </w:t>
      </w:r>
      <w:r>
        <w:t xml:space="preserve">responsible</w:t>
      </w:r>
      <w:r>
        <w:t xml:space="preserve">”</w:t>
      </w:r>
      <w:r>
        <w:t xml:space="preserve"> </w:t>
      </w:r>
      <w:r>
        <w:t xml:space="preserve">to the shareholder — the Memo should not advise a</w:t>
      </w:r>
      <w:r>
        <w:t xml:space="preserve"> </w:t>
      </w:r>
      <w:r>
        <w:t xml:space="preserve">position contrary to the agreement.</w:t>
      </w:r>
    </w:p>
    <w:bookmarkEnd w:id="26"/>
    <w:bookmarkStart w:id="27" w:name="X8b9dba9fdcca8ab88037de7ae3fcc53eb5a5259"/>
    <w:p>
      <w:pPr>
        <w:pStyle w:val="Heading4"/>
      </w:pPr>
      <w:r>
        <w:t xml:space="preserve">H-2. Aggregate Adjusted Tax Basis ($42,800,000) Does Not Reconcile to the Asset Valuation Summary (~$64,300,000)</w:t>
      </w:r>
    </w:p>
    <w:p>
      <w:pPr>
        <w:pStyle w:val="FirstParagraph"/>
      </w:pPr>
      <w:r>
        <w:rPr>
          <w:b/>
          <w:bCs/>
        </w:rPr>
        <w:t xml:space="preserve">Severity: High</w:t>
      </w:r>
    </w:p>
    <w:p>
      <w:pPr>
        <w:pStyle w:val="BodyText"/>
      </w:pPr>
      <w:r>
        <w:rPr>
          <w:b/>
          <w:bCs/>
        </w:rPr>
        <w:t xml:space="preserve">The issue.</w:t>
      </w:r>
      <w:r>
        <w:t xml:space="preserve"> </w:t>
      </w:r>
      <w:r>
        <w:t xml:space="preserve">The Memo (Section III.B and Section V.A) uses an</w:t>
      </w:r>
      <w:r>
        <w:t xml:space="preserve"> </w:t>
      </w:r>
      <w:r>
        <w:t xml:space="preserve">aggregate adjusted tax basis of</w:t>
      </w:r>
      <w:r>
        <w:t xml:space="preserve"> </w:t>
      </w:r>
      <w:r>
        <w:rPr>
          <w:b/>
          <w:bCs/>
        </w:rPr>
        <w:t xml:space="preserve">$42,800,000</w:t>
      </w:r>
      <w:r>
        <w:t xml:space="preserve"> </w:t>
      </w:r>
      <w:r>
        <w:t xml:space="preserve">to compute the deemed</w:t>
      </w:r>
      <w:r>
        <w:t xml:space="preserve"> </w:t>
      </w:r>
      <w:r>
        <w:t xml:space="preserve">sale gain ($473,000,000 − $42,800,000 = $430,200,000). The</w:t>
      </w:r>
      <w:r>
        <w:t xml:space="preserve"> </w:t>
      </w:r>
      <w:r>
        <w:rPr>
          <w:b/>
          <w:bCs/>
        </w:rPr>
        <w:t xml:space="preserve">Asset</w:t>
      </w:r>
      <w:r>
        <w:rPr>
          <w:b/>
          <w:bCs/>
        </w:rPr>
        <w:t xml:space="preserve"> </w:t>
      </w:r>
      <w:r>
        <w:rPr>
          <w:b/>
          <w:bCs/>
        </w:rPr>
        <w:t xml:space="preserve">Valuation Summary</w:t>
      </w:r>
      <w:r>
        <w:t xml:space="preserve"> </w:t>
      </w:r>
      <w:r>
        <w:t xml:space="preserve">lists per-asset</w:t>
      </w:r>
      <w:r>
        <w:t xml:space="preserve"> </w:t>
      </w:r>
      <w:r>
        <w:t xml:space="preserve">“</w:t>
      </w:r>
      <w:r>
        <w:t xml:space="preserve">Adjusted Tax Basis</w:t>
      </w:r>
      <w:r>
        <w:t xml:space="preserve">”</w:t>
      </w:r>
      <w:r>
        <w:t xml:space="preserve"> </w:t>
      </w:r>
      <w:r>
        <w:t xml:space="preserve">figures that</w:t>
      </w:r>
      <w:r>
        <w:t xml:space="preserve"> </w:t>
      </w:r>
      <w:r>
        <w:t xml:space="preserve">sum to approximately</w:t>
      </w:r>
      <w:r>
        <w:t xml:space="preserve"> </w:t>
      </w:r>
      <w:r>
        <w:rPr>
          <w:b/>
          <w:bCs/>
        </w:rPr>
        <w:t xml:space="preserve">$64,300,000</w:t>
      </w:r>
      <w:r>
        <w:t xml:space="preserve">:</w:t>
      </w:r>
    </w:p>
    <w:tbl>
      <w:tblPr>
        <w:tblStyle w:val="Table"/>
        <w:tblW w:type="pct" w:w="4880"/>
        <w:jc w:val="left"/>
        <w:tblLayout w:type="fixed"/>
        <w:tblLook w:firstRow="1" w:lastRow="0" w:firstColumn="0" w:lastColumn="0" w:noHBand="0" w:noVBand="0" w:val="0020"/>
      </w:tblPr>
      <w:tblGrid>
        <w:gridCol w:w="1908"/>
        <w:gridCol w:w="58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Adjusted Tax Basis (per Asset Valuation)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Cash (A-001)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$12,400,000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Accounts receivable</w:t>
            </w:r>
            <w:r>
              <w:t xml:space="preserve"> </w:t>
            </w:r>
            <w:r>
              <w:t xml:space="preserve">— commercial</w:t>
            </w:r>
            <w:r>
              <w:t xml:space="preserve"> </w:t>
            </w:r>
            <w:r>
              <w:t xml:space="preserve">(A-002)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$18,700,000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Accounts receivable</w:t>
            </w:r>
            <w:r>
              <w:t xml:space="preserve"> </w:t>
            </w:r>
            <w:r>
              <w:t xml:space="preserve">— government</w:t>
            </w:r>
            <w:r>
              <w:t xml:space="preserve"> </w:t>
            </w:r>
            <w:r>
              <w:t xml:space="preserve">(A-003)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$6,400,000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 property —</w:t>
            </w:r>
            <w:r>
              <w:t xml:space="preserve"> </w:t>
            </w:r>
            <w:r>
              <w:t xml:space="preserve">Raleigh office</w:t>
            </w:r>
            <w:r>
              <w:t xml:space="preserve"> </w:t>
            </w:r>
            <w:r>
              <w:t xml:space="preserve">(A-004)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$9,100,000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Furniture, fixtures</w:t>
            </w:r>
            <w:r>
              <w:t xml:space="preserve"> </w:t>
            </w:r>
            <w:r>
              <w:t xml:space="preserve">&amp; equipment (A-005)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$3,200,000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Developed</w:t>
            </w:r>
            <w:r>
              <w:t xml:space="preserve"> </w:t>
            </w:r>
            <w:r>
              <w:t xml:space="preserve">technology /</w:t>
            </w:r>
            <w:r>
              <w:t xml:space="preserve"> </w:t>
            </w:r>
            <w:r>
              <w:t xml:space="preserve">software platform</w:t>
            </w:r>
            <w:r>
              <w:t xml:space="preserve"> </w:t>
            </w:r>
            <w:r>
              <w:t xml:space="preserve">(A-006)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$4,800,000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Government-sector</w:t>
            </w:r>
            <w:r>
              <w:t xml:space="preserve"> </w:t>
            </w:r>
            <w:r>
              <w:t xml:space="preserve">software licenses</w:t>
            </w:r>
            <w:r>
              <w:t xml:space="preserve"> </w:t>
            </w:r>
            <w:r>
              <w:t xml:space="preserve">(A-007)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NC data processing</w:t>
            </w:r>
            <w:r>
              <w:t xml:space="preserve"> </w:t>
            </w:r>
            <w:r>
              <w:t xml:space="preserve">license (A-008)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80.5% Beacon</w:t>
            </w:r>
            <w:r>
              <w:t xml:space="preserve"> </w:t>
            </w:r>
            <w:r>
              <w:t xml:space="preserve">interest (A-009)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$6,400,000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Proprietary data</w:t>
            </w:r>
            <w:r>
              <w:t xml:space="preserve"> </w:t>
            </w:r>
            <w:r>
              <w:t xml:space="preserve">sets (A-012)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$2,100,000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</w:t>
            </w:r>
            <w:r>
              <w:t xml:space="preserve"> </w:t>
            </w:r>
            <w:r>
              <w:t xml:space="preserve">relationships /</w:t>
            </w:r>
            <w:r>
              <w:t xml:space="preserve"> </w:t>
            </w:r>
            <w:r>
              <w:t xml:space="preserve">non-compete /</w:t>
            </w:r>
            <w:r>
              <w:t xml:space="preserve"> </w:t>
            </w:r>
            <w:r>
              <w:t xml:space="preserve">goodwill /</w:t>
            </w:r>
            <w:r>
              <w:t xml:space="preserve"> </w:t>
            </w:r>
            <w:r>
              <w:t xml:space="preserve">workforce (A-010,</w:t>
            </w:r>
            <w:r>
              <w:t xml:space="preserve"> </w:t>
            </w:r>
            <w:r>
              <w:t xml:space="preserve">-011, -013, -014,</w:t>
            </w:r>
            <w:r>
              <w:t xml:space="preserve"> </w:t>
            </w:r>
            <w:r>
              <w:t xml:space="preserve">-015)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$64,300,000</w:t>
            </w:r>
          </w:p>
        </w:tc>
      </w:tr>
    </w:tbl>
    <w:p>
      <w:pPr>
        <w:pStyle w:val="BodyText"/>
      </w:pPr>
      <w:r>
        <w:t xml:space="preserve">The $21,500,000 difference is unexplained. If the asset-valuation</w:t>
      </w:r>
      <w:r>
        <w:t xml:space="preserve"> </w:t>
      </w:r>
      <w:r>
        <w:t xml:space="preserve">figures are correct, the Memo understates the aggregate basis by</w:t>
      </w:r>
      <w:r>
        <w:t xml:space="preserve"> </w:t>
      </w:r>
      <w:r>
        <w:t xml:space="preserve">$21,500,000 and</w:t>
      </w:r>
      <w:r>
        <w:t xml:space="preserve"> </w:t>
      </w:r>
      <w:r>
        <w:rPr>
          <w:b/>
          <w:bCs/>
        </w:rPr>
        <w:t xml:space="preserve">overstates the deemed sale gain by $21,500,000</w:t>
      </w:r>
      <w:r>
        <w:t xml:space="preserve"> </w:t>
      </w:r>
      <w:r>
        <w:t xml:space="preserve">(on</w:t>
      </w:r>
      <w:r>
        <w:t xml:space="preserve"> </w:t>
      </w:r>
      <w:r>
        <w:t xml:space="preserve">top of the $48,000,000 ADSP overstatement in C-2). Using Thornfield’s</w:t>
      </w:r>
      <w:r>
        <w:t xml:space="preserve"> </w:t>
      </w:r>
      <w:r>
        <w:t xml:space="preserve">ADSP ($425,000,000) and the asset-valuation basis ($64,300,000), the</w:t>
      </w:r>
      <w:r>
        <w:t xml:space="preserve"> </w:t>
      </w:r>
      <w:r>
        <w:t xml:space="preserve">deemed sale gain would be approximately</w:t>
      </w:r>
      <w:r>
        <w:t xml:space="preserve"> </w:t>
      </w:r>
      <w:r>
        <w:rPr>
          <w:b/>
          <w:bCs/>
        </w:rPr>
        <w:t xml:space="preserve">$360,700,000</w:t>
      </w:r>
      <w:r>
        <w:t xml:space="preserve">, versus the</w:t>
      </w:r>
      <w:r>
        <w:t xml:space="preserve"> </w:t>
      </w:r>
      <w:r>
        <w:t xml:space="preserve">Memo’s $430,200,000 — a combined ~$69,500,000 overstatement.</w:t>
      </w:r>
    </w:p>
    <w:p>
      <w:pPr>
        <w:pStyle w:val="BodyText"/>
      </w:pPr>
      <w:r>
        <w:rPr>
          <w:b/>
          <w:bCs/>
        </w:rPr>
        <w:t xml:space="preserve">Recommendation.</w:t>
      </w:r>
      <w:r>
        <w:t xml:space="preserve"> </w:t>
      </w:r>
      <w:r>
        <w:t xml:space="preserve">Reconcile the aggregate adjusted tax basis to the</w:t>
      </w:r>
      <w:r>
        <w:t xml:space="preserve"> </w:t>
      </w:r>
      <w:r>
        <w:t xml:space="preserve">per-asset schedule, confirm the correct figure with Thornfield, and</w:t>
      </w:r>
      <w:r>
        <w:t xml:space="preserve"> </w:t>
      </w:r>
      <w:r>
        <w:t xml:space="preserve">restate the deemed sale gain and per-shareholder allocations.</w:t>
      </w:r>
    </w:p>
    <w:bookmarkEnd w:id="27"/>
    <w:bookmarkStart w:id="28" w:name="Xb0459fc5ebe2795963d48f329c4724febf2b014"/>
    <w:p>
      <w:pPr>
        <w:pStyle w:val="Heading4"/>
      </w:pPr>
      <w:r>
        <w:t xml:space="preserve">H-3. Class V Developed Technology / Software Is Understated by $28,500,000</w:t>
      </w:r>
    </w:p>
    <w:p>
      <w:pPr>
        <w:pStyle w:val="FirstParagraph"/>
      </w:pPr>
      <w:r>
        <w:rPr>
          <w:b/>
          <w:bCs/>
        </w:rPr>
        <w:t xml:space="preserve">Severity: High</w:t>
      </w:r>
    </w:p>
    <w:p>
      <w:pPr>
        <w:pStyle w:val="BodyText"/>
      </w:pPr>
      <w:r>
        <w:rPr>
          <w:b/>
          <w:bCs/>
        </w:rPr>
        <w:t xml:space="preserve">The issue.</w:t>
      </w:r>
      <w:r>
        <w:t xml:space="preserve"> </w:t>
      </w:r>
      <w:r>
        <w:t xml:space="preserve">The Memo’s Class V allocation (Section IV.C) lists</w:t>
      </w:r>
      <w:r>
        <w:t xml:space="preserve"> </w:t>
      </w:r>
      <w:r>
        <w:t xml:space="preserve">“</w:t>
      </w:r>
      <w:r>
        <w:t xml:space="preserve">Software / Developed Technology</w:t>
      </w:r>
      <w:r>
        <w:t xml:space="preserve">”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$19,000,000</w:t>
      </w:r>
      <w:r>
        <w:t xml:space="preserve">. The Asset</w:t>
      </w:r>
      <w:r>
        <w:t xml:space="preserve"> </w:t>
      </w:r>
      <w:r>
        <w:t xml:space="preserve">Valuation Summary values these assets at</w:t>
      </w:r>
      <w:r>
        <w:t xml:space="preserve"> </w:t>
      </w:r>
      <w:r>
        <w:rPr>
          <w:b/>
          <w:bCs/>
        </w:rPr>
        <w:t xml:space="preserve">$47,500,000</w:t>
      </w:r>
      <w:r>
        <w:t xml:space="preserve"> </w:t>
      </w:r>
      <w:r>
        <w:t xml:space="preserve">in total:</w:t>
      </w:r>
    </w:p>
    <w:p>
      <w:pPr>
        <w:pStyle w:val="Compact"/>
        <w:numPr>
          <w:ilvl w:val="0"/>
          <w:numId w:val="1003"/>
        </w:numPr>
      </w:pPr>
      <w:r>
        <w:t xml:space="preserve">A-006 Developed technology / proprietary software platform:</w:t>
      </w:r>
      <w:r>
        <w:t xml:space="preserve"> </w:t>
      </w:r>
      <w:r>
        <w:rPr>
          <w:b/>
          <w:bCs/>
        </w:rPr>
        <w:t xml:space="preserve">$41,800,000</w:t>
      </w:r>
      <w:r>
        <w:t xml:space="preserve"> </w:t>
      </w:r>
      <w:r>
        <w:t xml:space="preserve">(relief-from-royalty method; useful life 5 years;</w:t>
      </w:r>
      <w:r>
        <w:t xml:space="preserve"> </w:t>
      </w:r>
      <w:r>
        <w:t xml:space="preserve">Section 167,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Section 197 intangible)</w:t>
      </w:r>
    </w:p>
    <w:p>
      <w:pPr>
        <w:pStyle w:val="Compact"/>
        <w:numPr>
          <w:ilvl w:val="0"/>
          <w:numId w:val="1003"/>
        </w:numPr>
      </w:pPr>
      <w:r>
        <w:t xml:space="preserve">A-007 Software licenses — government-sector platforms:</w:t>
      </w:r>
      <w:r>
        <w:t xml:space="preserve"> </w:t>
      </w:r>
      <w:r>
        <w:rPr>
          <w:b/>
          <w:bCs/>
        </w:rPr>
        <w:t xml:space="preserve">$5,700,000</w:t>
      </w:r>
      <w:r>
        <w:t xml:space="preserve"> </w:t>
      </w:r>
      <w:r>
        <w:t xml:space="preserve">(income approach; useful life 7 years; Section 167)</w:t>
      </w:r>
    </w:p>
    <w:p>
      <w:pPr>
        <w:pStyle w:val="FirstParagraph"/>
      </w:pPr>
      <w:r>
        <w:t xml:space="preserve">The Memo’s $19,000,000 is less than half of Thornfield’s $47,500,000</w:t>
      </w:r>
      <w:r>
        <w:t xml:space="preserve"> </w:t>
      </w:r>
      <w:r>
        <w:t xml:space="preserve">— a</w:t>
      </w:r>
      <w:r>
        <w:t xml:space="preserve"> </w:t>
      </w:r>
      <w:r>
        <w:rPr>
          <w:b/>
          <w:bCs/>
        </w:rPr>
        <w:t xml:space="preserve">$28,500,000 understatement</w:t>
      </w:r>
      <w:r>
        <w:t xml:space="preserve"> </w:t>
      </w:r>
      <w:r>
        <w:t xml:space="preserve">of Class V. The Asset Valuation</w:t>
      </w:r>
      <w:r>
        <w:t xml:space="preserve"> </w:t>
      </w:r>
      <w:r>
        <w:t xml:space="preserve">Summary’s Allocation Summary tab flags this as a</w:t>
      </w:r>
      <w:r>
        <w:t xml:space="preserve"> </w:t>
      </w:r>
      <w:r>
        <w:t xml:space="preserve">“</w:t>
      </w:r>
      <w:r>
        <w:t xml:space="preserve">SIGNIFICANT</w:t>
      </w:r>
      <w:r>
        <w:t xml:space="preserve"> </w:t>
      </w:r>
      <w:r>
        <w:t xml:space="preserve">DISCREPANCY</w:t>
      </w:r>
      <w:r>
        <w:t xml:space="preserve">”</w:t>
      </w:r>
      <w:r>
        <w:t xml:space="preserve"> </w:t>
      </w:r>
      <w:r>
        <w:t xml:space="preserve">(Class V variance of $28,500,000, 41.6%).</w:t>
      </w:r>
    </w:p>
    <w:p>
      <w:pPr>
        <w:pStyle w:val="BodyText"/>
      </w:pPr>
      <w:r>
        <w:rPr>
          <w:b/>
          <w:bCs/>
        </w:rPr>
        <w:t xml:space="preserve">Why it matters beyond the residual.</w:t>
      </w:r>
      <w:r>
        <w:t xml:space="preserve"> </w:t>
      </w:r>
      <w:r>
        <w:t xml:space="preserve">Developed technology and</w:t>
      </w:r>
      <w:r>
        <w:t xml:space="preserve"> </w:t>
      </w:r>
      <w:r>
        <w:t xml:space="preserve">software licenses are amortizable under</w:t>
      </w:r>
      <w:r>
        <w:t xml:space="preserve"> </w:t>
      </w:r>
      <w:r>
        <w:rPr>
          <w:b/>
          <w:bCs/>
        </w:rPr>
        <w:t xml:space="preserve">Section 167 over 5–7 years</w:t>
      </w:r>
      <w:r>
        <w:t xml:space="preserve">,</w:t>
      </w:r>
      <w:r>
        <w:t xml:space="preserve"> </w:t>
      </w:r>
      <w:r>
        <w:t xml:space="preserve">whereas goodwill is amortizable under</w:t>
      </w:r>
      <w:r>
        <w:t xml:space="preserve"> </w:t>
      </w:r>
      <w:r>
        <w:rPr>
          <w:b/>
          <w:bCs/>
        </w:rPr>
        <w:t xml:space="preserve">Section 197 over 15 years</w:t>
      </w:r>
      <w:r>
        <w:t xml:space="preserve">. By</w:t>
      </w:r>
      <w:r>
        <w:t xml:space="preserve"> </w:t>
      </w:r>
      <w:r>
        <w:t xml:space="preserve">understating Class V software and (via the residual) overstating Class</w:t>
      </w:r>
      <w:r>
        <w:t xml:space="preserve"> </w:t>
      </w:r>
      <w:r>
        <w:t xml:space="preserve">VII goodwill, the Memo shifts amortizable deductions from a 5–7 year</w:t>
      </w:r>
      <w:r>
        <w:t xml:space="preserve"> </w:t>
      </w:r>
      <w:r>
        <w:t xml:space="preserve">recovery period into a 15-year recovery period, materially delaying</w:t>
      </w:r>
      <w:r>
        <w:t xml:space="preserve"> </w:t>
      </w:r>
      <w:r>
        <w:t xml:space="preserve">Buyer’s tax benefits. The Memo’s annual depreciation/amortization</w:t>
      </w:r>
      <w:r>
        <w:t xml:space="preserve"> </w:t>
      </w:r>
      <w:r>
        <w:t xml:space="preserve">estimate of</w:t>
      </w:r>
      <w:r>
        <w:t xml:space="preserve"> </w:t>
      </w:r>
      <w:r>
        <w:t xml:space="preserve">“</w:t>
      </w:r>
      <w:r>
        <w:t xml:space="preserve">~$24,500,000</w:t>
      </w:r>
      <w:r>
        <w:t xml:space="preserve">”</w:t>
      </w:r>
      <w:r>
        <w:t xml:space="preserve"> </w:t>
      </w:r>
      <w:r>
        <w:t xml:space="preserve">(Section VII.A) is built on this</w:t>
      </w:r>
      <w:r>
        <w:t xml:space="preserve"> </w:t>
      </w:r>
      <w:r>
        <w:t xml:space="preserve">misallocation and does not separately quantify the software amortization</w:t>
      </w:r>
      <w:r>
        <w:t xml:space="preserve"> </w:t>
      </w:r>
      <w:r>
        <w:t xml:space="preserve">at all.</w:t>
      </w:r>
    </w:p>
    <w:p>
      <w:pPr>
        <w:pStyle w:val="BodyText"/>
      </w:pPr>
      <w:r>
        <w:rPr>
          <w:b/>
          <w:bCs/>
        </w:rPr>
        <w:t xml:space="preserve">Note on Thornfield’s reconciliation comment.</w:t>
      </w:r>
      <w:r>
        <w:t xml:space="preserve"> </w:t>
      </w:r>
      <w:r>
        <w:t xml:space="preserve">Thornfield’s Note 2</w:t>
      </w:r>
      <w:r>
        <w:t xml:space="preserve"> </w:t>
      </w:r>
      <w:r>
        <w:t xml:space="preserve">states the Memo’s Class V</w:t>
      </w:r>
      <w:r>
        <w:t xml:space="preserve"> </w:t>
      </w:r>
      <w:r>
        <w:t xml:space="preserve">“</w:t>
      </w:r>
      <w:r>
        <w:t xml:space="preserve">does not appear to include the $28,500,000</w:t>
      </w:r>
      <w:r>
        <w:t xml:space="preserve"> </w:t>
      </w:r>
      <w:r>
        <w:t xml:space="preserve">Beacon interest.</w:t>
      </w:r>
      <w:r>
        <w:t xml:space="preserve">”</w:t>
      </w:r>
      <w:r>
        <w:t xml:space="preserve"> </w:t>
      </w:r>
      <w:r>
        <w:t xml:space="preserve">That observation is itself inaccurate — the Memo’s</w:t>
      </w:r>
      <w:r>
        <w:t xml:space="preserve"> </w:t>
      </w:r>
      <w:r>
        <w:t xml:space="preserve">Class V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list the Beacon interest at $28,500,000, and the Memo’s</w:t>
      </w:r>
      <w:r>
        <w:t xml:space="preserve"> </w:t>
      </w:r>
      <w:r>
        <w:t xml:space="preserve">Class V components ($14,200,000 + $6,800,000 + $19,000,000 +</w:t>
      </w:r>
      <w:r>
        <w:t xml:space="preserve"> </w:t>
      </w:r>
      <w:r>
        <w:t xml:space="preserve">$28,500,000) do foot to $68,500,000. The true source of the</w:t>
      </w:r>
      <w:r>
        <w:t xml:space="preserve"> </w:t>
      </w:r>
      <w:r>
        <w:t xml:space="preserve">$28,500,000 Class V variance is the software/developed-technology line</w:t>
      </w:r>
      <w:r>
        <w:t xml:space="preserve"> </w:t>
      </w:r>
      <w:r>
        <w:t xml:space="preserve">($19,000,000 vs. $47,500,000), not a missing Beacon interest. The</w:t>
      </w:r>
      <w:r>
        <w:t xml:space="preserve"> </w:t>
      </w:r>
      <w:r>
        <w:t xml:space="preserve">bottom-line variance is correct; the attribution in Thornfield’s note is</w:t>
      </w:r>
      <w:r>
        <w:t xml:space="preserve"> </w:t>
      </w:r>
      <w:r>
        <w:t xml:space="preserve">not.</w:t>
      </w:r>
    </w:p>
    <w:p>
      <w:pPr>
        <w:pStyle w:val="BodyText"/>
      </w:pPr>
      <w:r>
        <w:rPr>
          <w:b/>
          <w:bCs/>
        </w:rPr>
        <w:t xml:space="preserve">Recommendation.</w:t>
      </w:r>
      <w:r>
        <w:t xml:space="preserve"> </w:t>
      </w:r>
      <w:r>
        <w:t xml:space="preserve">Restate the Class V software/developed-technology</w:t>
      </w:r>
      <w:r>
        <w:t xml:space="preserve"> </w:t>
      </w:r>
      <w:r>
        <w:t xml:space="preserve">line to reflect Thornfield’s $47,500,000 (or the final valuation),</w:t>
      </w:r>
      <w:r>
        <w:t xml:space="preserve"> </w:t>
      </w:r>
      <w:r>
        <w:t xml:space="preserve">separately identify the NC data processing license at $0 (see H-5), and</w:t>
      </w:r>
      <w:r>
        <w:t xml:space="preserve"> </w:t>
      </w:r>
      <w:r>
        <w:t xml:space="preserve">recompute the goodwill residual and the Section 167 vs. Section 197</w:t>
      </w:r>
      <w:r>
        <w:t xml:space="preserve"> </w:t>
      </w:r>
      <w:r>
        <w:t xml:space="preserve">amortization schedules.</w:t>
      </w:r>
    </w:p>
    <w:bookmarkEnd w:id="28"/>
    <w:bookmarkStart w:id="29" w:name="Xa52ce1f603e8f5e4850259807c4275e94baeba7"/>
    <w:p>
      <w:pPr>
        <w:pStyle w:val="Heading4"/>
      </w:pPr>
      <w:r>
        <w:t xml:space="preserve">H-4. Beacon Insights IP License Agreement Terminates Automatically Upon the Change of Control — Not Disclosed</w:t>
      </w:r>
    </w:p>
    <w:p>
      <w:pPr>
        <w:pStyle w:val="FirstParagraph"/>
      </w:pPr>
      <w:r>
        <w:rPr>
          <w:b/>
          <w:bCs/>
        </w:rPr>
        <w:t xml:space="preserve">Severity: High</w:t>
      </w:r>
    </w:p>
    <w:p>
      <w:pPr>
        <w:pStyle w:val="BodyText"/>
      </w:pPr>
      <w:r>
        <w:rPr>
          <w:b/>
          <w:bCs/>
        </w:rPr>
        <w:t xml:space="preserve">The issue.</w:t>
      </w:r>
      <w:r>
        <w:t xml:space="preserve"> </w:t>
      </w:r>
      <w:r>
        <w:t xml:space="preserve">The Beacon Insights, LLC Operating Agreement (Section</w:t>
      </w:r>
      <w:r>
        <w:t xml:space="preserve"> </w:t>
      </w:r>
      <w:r>
        <w:t xml:space="preserve">9.02) provides that</w:t>
      </w:r>
      <w:r>
        <w:t xml:space="preserve"> </w:t>
      </w:r>
      <w:r>
        <w:t xml:space="preserve">“</w:t>
      </w:r>
      <w:r>
        <w:t xml:space="preserve">The IP License Agreement shall terminate</w:t>
      </w:r>
      <w:r>
        <w:t xml:space="preserve"> </w:t>
      </w:r>
      <w:r>
        <w:t xml:space="preserve">automatically upon a Transfer of Prism’s Membership Interest in the</w:t>
      </w:r>
      <w:r>
        <w:t xml:space="preserve"> </w:t>
      </w:r>
      <w:r>
        <w:t xml:space="preserve">Company (including a deemed Transfer resulting from a Change of Control</w:t>
      </w:r>
      <w:r>
        <w:t xml:space="preserve"> </w:t>
      </w:r>
      <w:r>
        <w:t xml:space="preserve">of Prism), unless the parties agree otherwise in writing.</w:t>
      </w:r>
      <w:r>
        <w:t xml:space="preserve">”</w:t>
      </w:r>
      <w:r>
        <w:t xml:space="preserve"> </w:t>
      </w:r>
      <w:r>
        <w:t xml:space="preserve">The merger is</w:t>
      </w:r>
      <w:r>
        <w:t xml:space="preserve"> </w:t>
      </w:r>
      <w:r>
        <w:t xml:space="preserve">a Change of Control of Prism (Section 8.03(a)(ii) and the Change of</w:t>
      </w:r>
      <w:r>
        <w:t xml:space="preserve"> </w:t>
      </w:r>
      <w:r>
        <w:t xml:space="preserve">Control definition), and the Section 338(h)(10) deemed asset sale is a</w:t>
      </w:r>
      <w:r>
        <w:t xml:space="preserve"> </w:t>
      </w:r>
      <w:r>
        <w:t xml:space="preserve">deemed transfer of Prism’s Beacon interest. The IP License Agreement</w:t>
      </w:r>
      <w:r>
        <w:t xml:space="preserve"> </w:t>
      </w:r>
      <w:r>
        <w:t xml:space="preserve">therefore</w:t>
      </w:r>
      <w:r>
        <w:t xml:space="preserve"> </w:t>
      </w:r>
      <w:r>
        <w:rPr>
          <w:b/>
          <w:bCs/>
        </w:rPr>
        <w:t xml:space="preserve">terminates automatically at closing</w:t>
      </w:r>
      <w:r>
        <w:t xml:space="preserve"> </w:t>
      </w:r>
      <w:r>
        <w:t xml:space="preserve">unless the parties</w:t>
      </w:r>
      <w:r>
        <w:t xml:space="preserve"> </w:t>
      </w:r>
      <w:r>
        <w:t xml:space="preserve">agree otherwise in writing.</w:t>
      </w:r>
    </w:p>
    <w:p>
      <w:pPr>
        <w:pStyle w:val="BodyText"/>
      </w:pPr>
      <w:r>
        <w:t xml:space="preserve">The Memo (Section VIII) does not mention this automatic termination.</w:t>
      </w:r>
      <w:r>
        <w:t xml:space="preserve"> </w:t>
      </w:r>
      <w:r>
        <w:t xml:space="preserve">Beacon’s business relies on the licensed IP — Beacon generates</w:t>
      </w:r>
      <w:r>
        <w:t xml:space="preserve"> </w:t>
      </w:r>
      <w:r>
        <w:t xml:space="preserve">approximately $11,000,000 in annual revenue using the proprietary</w:t>
      </w:r>
      <w:r>
        <w:t xml:space="preserve"> </w:t>
      </w:r>
      <w:r>
        <w:t xml:space="preserve">algorithms, software platforms, and data-processing tools licensed from</w:t>
      </w:r>
      <w:r>
        <w:t xml:space="preserve"> </w:t>
      </w:r>
      <w:r>
        <w:t xml:space="preserve">Prism (Beacon OA Section 9.02). If the license terminates at closing,</w:t>
      </w:r>
      <w:r>
        <w:t xml:space="preserve"> </w:t>
      </w:r>
      <w:r>
        <w:t xml:space="preserve">Beacon’s ability to operate is impaired, which directly affects the</w:t>
      </w:r>
      <w:r>
        <w:t xml:space="preserve"> </w:t>
      </w:r>
      <w:r>
        <w:t xml:space="preserve">$28,500,000 value assigned to Prism’s 80.5% Beacon interest (Class V)</w:t>
      </w:r>
      <w:r>
        <w:t xml:space="preserve"> </w:t>
      </w:r>
      <w:r>
        <w:t xml:space="preserve">and the going-concern assumptions underlying the overall enterprise</w:t>
      </w:r>
      <w:r>
        <w:t xml:space="preserve"> </w:t>
      </w:r>
      <w:r>
        <w:t xml:space="preserve">value.</w:t>
      </w:r>
    </w:p>
    <w:p>
      <w:pPr>
        <w:pStyle w:val="BodyText"/>
      </w:pPr>
      <w:r>
        <w:rPr>
          <w:b/>
          <w:bCs/>
        </w:rPr>
        <w:t xml:space="preserve">Internal contradiction with the Memo.</w:t>
      </w:r>
      <w:r>
        <w:t xml:space="preserve"> </w:t>
      </w:r>
      <w:r>
        <w:t xml:space="preserve">The Memo’s transaction-overview</w:t>
      </w:r>
      <w:r>
        <w:t xml:space="preserve"> </w:t>
      </w:r>
      <w:r>
        <w:t xml:space="preserve">section (Section II.B) asserts that the reverse triangular merger</w:t>
      </w:r>
      <w:r>
        <w:t xml:space="preserve"> </w:t>
      </w:r>
      <w:r>
        <w:t xml:space="preserve">“</w:t>
      </w:r>
      <w:r>
        <w:t xml:space="preserve">preserves Prism’s legal existence, including its corporate charter,</w:t>
      </w:r>
      <w:r>
        <w:t xml:space="preserve"> </w:t>
      </w:r>
      <w:r>
        <w:t xml:space="preserve">contracts, government licenses, and other legal relationships.</w:t>
      </w:r>
      <w:r>
        <w:t xml:space="preserve">”</w:t>
      </w:r>
      <w:r>
        <w:t xml:space="preserve"> </w:t>
      </w:r>
      <w:r>
        <w:t xml:space="preserve">The</w:t>
      </w:r>
      <w:r>
        <w:t xml:space="preserve"> </w:t>
      </w:r>
      <w:r>
        <w:t xml:space="preserve">automatic termination of the Beacon IP License Agreement on change of</w:t>
      </w:r>
      <w:r>
        <w:t xml:space="preserve"> </w:t>
      </w:r>
      <w:r>
        <w:t xml:space="preserve">control directly contradicts the Memo’s representation that the merger</w:t>
      </w:r>
      <w:r>
        <w:t xml:space="preserve"> </w:t>
      </w:r>
      <w:r>
        <w:t xml:space="preserve">“</w:t>
      </w:r>
      <w:r>
        <w:t xml:space="preserve">preserves … contracts.</w:t>
      </w:r>
      <w:r>
        <w:t xml:space="preserve">”</w:t>
      </w:r>
      <w:r>
        <w:t xml:space="preserve"> </w:t>
      </w:r>
      <w:r>
        <w:t xml:space="preserve">The IP License Agreement is a contract to</w:t>
      </w:r>
      <w:r>
        <w:t xml:space="preserve"> </w:t>
      </w:r>
      <w:r>
        <w:t xml:space="preserve">which a Company Subsidiary (Beacon) is bound, and it terminates by its</w:t>
      </w:r>
      <w:r>
        <w:t xml:space="preserve"> </w:t>
      </w:r>
      <w:r>
        <w:t xml:space="preserve">express terms at the very change of control the Memo says preserves</w:t>
      </w:r>
      <w:r>
        <w:t xml:space="preserve"> </w:t>
      </w:r>
      <w:r>
        <w:t xml:space="preserve">contracts.</w:t>
      </w:r>
    </w:p>
    <w:p>
      <w:pPr>
        <w:pStyle w:val="BodyText"/>
      </w:pPr>
      <w:r>
        <w:rPr>
          <w:b/>
          <w:bCs/>
        </w:rPr>
        <w:t xml:space="preserve">Recommendation.</w:t>
      </w:r>
      <w:r>
        <w:t xml:space="preserve"> </w:t>
      </w:r>
      <w:r>
        <w:t xml:space="preserve">Confirm whether the parties intend to enter a new or</w:t>
      </w:r>
      <w:r>
        <w:t xml:space="preserve"> </w:t>
      </w:r>
      <w:r>
        <w:t xml:space="preserve">continued IP license agreement with Beacon post-closing (requiring</w:t>
      </w:r>
      <w:r>
        <w:t xml:space="preserve"> </w:t>
      </w:r>
      <w:r>
        <w:t xml:space="preserve">Majority Interest consent under Beacon OA Section 9.03, i.e., Prism/new</w:t>
      </w:r>
      <w:r>
        <w:t xml:space="preserve"> </w:t>
      </w:r>
      <w:r>
        <w:t xml:space="preserve">Target’s 80.5%). If no agreement is reached, re-evaluate the Beacon</w:t>
      </w:r>
      <w:r>
        <w:t xml:space="preserve"> </w:t>
      </w:r>
      <w:r>
        <w:t xml:space="preserve">interest valuation and the government/analytics revenue assumptions. The</w:t>
      </w:r>
      <w:r>
        <w:t xml:space="preserve"> </w:t>
      </w:r>
      <w:r>
        <w:t xml:space="preserve">Memo should disclose the automatic termination and its consequences.</w:t>
      </w:r>
    </w:p>
    <w:bookmarkEnd w:id="29"/>
    <w:bookmarkStart w:id="30" w:name="X53a96d65c4bc79803046bd9e67fc04019af6bf7"/>
    <w:p>
      <w:pPr>
        <w:pStyle w:val="Heading4"/>
      </w:pPr>
      <w:r>
        <w:t xml:space="preserve">H-5. North Carolina Data Processing License Is Non-Transferable — Memo Assumes It</w:t>
      </w:r>
      <w:r>
        <w:t xml:space="preserve"> </w:t>
      </w:r>
      <w:r>
        <w:t xml:space="preserve">“</w:t>
      </w:r>
      <w:r>
        <w:t xml:space="preserve">Should Remain Valid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Severity: High</w:t>
      </w:r>
    </w:p>
    <w:p>
      <w:pPr>
        <w:pStyle w:val="BodyText"/>
      </w:pPr>
      <w:r>
        <w:rPr>
          <w:b/>
          <w:bCs/>
        </w:rPr>
        <w:t xml:space="preserve">The issue.</w:t>
      </w:r>
      <w:r>
        <w:t xml:space="preserve"> </w:t>
      </w:r>
      <w:r>
        <w:t xml:space="preserve">The Memo (Sections VI.A and IX.A) states that</w:t>
      </w:r>
      <w:r>
        <w:t xml:space="preserve"> </w:t>
      </w:r>
      <w:r>
        <w:t xml:space="preserve">“</w:t>
      </w:r>
      <w:r>
        <w:t xml:space="preserve">we expect</w:t>
      </w:r>
      <w:r>
        <w:t xml:space="preserve"> </w:t>
      </w:r>
      <w:r>
        <w:t xml:space="preserve">that the existing license should remain valid post-closing, subject to</w:t>
      </w:r>
      <w:r>
        <w:t xml:space="preserve"> </w:t>
      </w:r>
      <w:r>
        <w:t xml:space="preserve">confirmation with the North Carolina Department of Information</w:t>
      </w:r>
      <w:r>
        <w:t xml:space="preserve"> </w:t>
      </w:r>
      <w:r>
        <w:t xml:space="preserve">Technology,</w:t>
      </w:r>
      <w:r>
        <w:t xml:space="preserve">”</w:t>
      </w:r>
      <w:r>
        <w:t xml:space="preserve"> </w:t>
      </w:r>
      <w:r>
        <w:t xml:space="preserve">and treats the matter as a minor commercial item. The</w:t>
      </w:r>
      <w:r>
        <w:t xml:space="preserve"> </w:t>
      </w:r>
      <w:r>
        <w:t xml:space="preserve">record contradicts this comfortable assumption: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SPA Section 4.9(i)</w:t>
      </w:r>
      <w:r>
        <w:t xml:space="preserve"> </w:t>
      </w:r>
      <w:r>
        <w:t xml:space="preserve">represents that the NC Data Processing</w:t>
      </w:r>
      <w:r>
        <w:t xml:space="preserve"> </w:t>
      </w:r>
      <w:r>
        <w:t xml:space="preserve">License (No. DIT-2019-04821) held by Prism Data Services, LLC</w:t>
      </w:r>
      <w:r>
        <w:t xml:space="preserve"> </w:t>
      </w:r>
      <w:r>
        <w:t xml:space="preserve">“</w:t>
      </w:r>
      <w:r>
        <w:t xml:space="preserve">is</w:t>
      </w:r>
      <w:r>
        <w:t xml:space="preserve"> </w:t>
      </w:r>
      <w:r>
        <w:t xml:space="preserve">non-transferable and non-assignable</w:t>
      </w:r>
      <w:r>
        <w:t xml:space="preserve">”</w:t>
      </w:r>
      <w:r>
        <w:t xml:space="preserve"> </w:t>
      </w:r>
      <w:r>
        <w:t xml:space="preserve">per its terms.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Asset Valuation Summary</w:t>
      </w:r>
      <w:r>
        <w:t xml:space="preserve"> </w:t>
      </w:r>
      <w:r>
        <w:t xml:space="preserve">(A-008 and Note 3) assigns the</w:t>
      </w:r>
      <w:r>
        <w:t xml:space="preserve"> </w:t>
      </w:r>
      <w:r>
        <w:t xml:space="preserve">license</w:t>
      </w:r>
      <w:r>
        <w:t xml:space="preserve"> </w:t>
      </w:r>
      <w:r>
        <w:rPr>
          <w:b/>
          <w:bCs/>
        </w:rPr>
        <w:t xml:space="preserve">$0 fair market value</w:t>
      </w:r>
      <w:r>
        <w:t xml:space="preserve"> </w:t>
      </w:r>
      <w:r>
        <w:t xml:space="preserve">precisely because it</w:t>
      </w:r>
      <w:r>
        <w:t xml:space="preserve"> </w:t>
      </w:r>
      <w:r>
        <w:t xml:space="preserve">“</w:t>
      </w:r>
      <w:r>
        <w:t xml:space="preserve">is</w:t>
      </w:r>
      <w:r>
        <w:t xml:space="preserve"> </w:t>
      </w:r>
      <w:r>
        <w:t xml:space="preserve">non-transferable and non-assignable per license terms. In a deemed</w:t>
      </w:r>
      <w:r>
        <w:t xml:space="preserve"> </w:t>
      </w:r>
      <w:r>
        <w:t xml:space="preserve">asset sale under §338(h)(10), this license cannot be transferred and</w:t>
      </w:r>
      <w:r>
        <w:t xml:space="preserve"> </w:t>
      </w:r>
      <w:r>
        <w:t xml:space="preserve">may need to be re-obtained by the surviving entity.</w:t>
      </w:r>
      <w:r>
        <w:t xml:space="preserve">”</w:t>
      </w:r>
      <w:r>
        <w:t xml:space="preserve"> </w:t>
      </w:r>
      <w:r>
        <w:t xml:space="preserve">Thornfield</w:t>
      </w:r>
      <w:r>
        <w:t xml:space="preserve"> </w:t>
      </w:r>
      <w:r>
        <w:t xml:space="preserve">warns that</w:t>
      </w:r>
      <w:r>
        <w:t xml:space="preserve"> </w:t>
      </w:r>
      <w:r>
        <w:t xml:space="preserve">“</w:t>
      </w:r>
      <w:r>
        <w:t xml:space="preserve">if the license is deemed terminated upon the §338(h)(10)</w:t>
      </w:r>
      <w:r>
        <w:t xml:space="preserve"> </w:t>
      </w:r>
      <w:r>
        <w:t xml:space="preserve">deemed asset sale, the ongoing government-sector revenue (~$19M)</w:t>
      </w:r>
      <w:r>
        <w:t xml:space="preserve"> </w:t>
      </w:r>
      <w:r>
        <w:t xml:space="preserve">attributable to the license may be impaired, affecting the overall</w:t>
      </w:r>
      <w:r>
        <w:t xml:space="preserve"> </w:t>
      </w:r>
      <w:r>
        <w:t xml:space="preserve">enterprise value and PPA.</w:t>
      </w:r>
      <w:r>
        <w:t xml:space="preserve">”</w:t>
      </w:r>
    </w:p>
    <w:p>
      <w:pPr>
        <w:pStyle w:val="FirstParagraph"/>
      </w:pPr>
      <w:r>
        <w:t xml:space="preserve">Prism Data Services’ government-sector business generates approximately</w:t>
      </w:r>
      <w:r>
        <w:t xml:space="preserve"> </w:t>
      </w:r>
      <w:r>
        <w:t xml:space="preserve">$19,000,000 in annual revenue that</w:t>
      </w:r>
      <w:r>
        <w:t xml:space="preserve"> </w:t>
      </w:r>
      <w:r>
        <w:t xml:space="preserve">“</w:t>
      </w:r>
      <w:r>
        <w:t xml:space="preserve">partially depends on this license</w:t>
      </w:r>
      <w:r>
        <w:t xml:space="preserve">”</w:t>
      </w:r>
      <w:r>
        <w:t xml:space="preserve"> </w:t>
      </w:r>
      <w:r>
        <w:t xml:space="preserve">(Asset Valuation A-008). The Memo does not address the</w:t>
      </w:r>
      <w:r>
        <w:t xml:space="preserve"> </w:t>
      </w:r>
      <w:r>
        <w:t xml:space="preserve">non-transferability, the $0 valuation, the possible need to re-obtain</w:t>
      </w:r>
      <w:r>
        <w:t xml:space="preserve"> </w:t>
      </w:r>
      <w:r>
        <w:t xml:space="preserve">the license, or the revenue-impairment risk.</w:t>
      </w:r>
    </w:p>
    <w:p>
      <w:pPr>
        <w:pStyle w:val="BodyText"/>
      </w:pPr>
      <w:r>
        <w:rPr>
          <w:b/>
          <w:bCs/>
        </w:rPr>
        <w:t xml:space="preserve">Internal contradiction with the Memo.</w:t>
      </w:r>
      <w:r>
        <w:t xml:space="preserve"> </w:t>
      </w:r>
      <w:r>
        <w:t xml:space="preserve">The Memo’s transaction-overview</w:t>
      </w:r>
      <w:r>
        <w:t xml:space="preserve"> </w:t>
      </w:r>
      <w:r>
        <w:t xml:space="preserve">section (Section II.B) asserts that the reverse triangular merger</w:t>
      </w:r>
      <w:r>
        <w:t xml:space="preserve"> </w:t>
      </w:r>
      <w:r>
        <w:t xml:space="preserve">“</w:t>
      </w:r>
      <w:r>
        <w:t xml:space="preserve">preserves Prism’s legal existence, including its corporate charter,</w:t>
      </w:r>
      <w:r>
        <w:t xml:space="preserve"> </w:t>
      </w:r>
      <w:r>
        <w:t xml:space="preserve">contracts, government licenses, and other legal relationships.</w:t>
      </w:r>
      <w:r>
        <w:t xml:space="preserve">”</w:t>
      </w:r>
      <w:r>
        <w:t xml:space="preserve"> </w:t>
      </w:r>
      <w:r>
        <w:t xml:space="preserve">The</w:t>
      </w:r>
      <w:r>
        <w:t xml:space="preserve"> </w:t>
      </w:r>
      <w:r>
        <w:t xml:space="preserve">express non-transferability of the NC data processing license directly</w:t>
      </w:r>
      <w:r>
        <w:t xml:space="preserve"> </w:t>
      </w:r>
      <w:r>
        <w:t xml:space="preserve">contradicts the Memo’s representation that the merger</w:t>
      </w:r>
      <w:r>
        <w:t xml:space="preserve"> </w:t>
      </w:r>
      <w:r>
        <w:t xml:space="preserve">“</w:t>
      </w:r>
      <w:r>
        <w:t xml:space="preserve">preserves …</w:t>
      </w:r>
      <w:r>
        <w:t xml:space="preserve"> </w:t>
      </w:r>
      <w:r>
        <w:t xml:space="preserve">government licenses.</w:t>
      </w:r>
      <w:r>
        <w:t xml:space="preserve">”</w:t>
      </w:r>
      <w:r>
        <w:t xml:space="preserve"> </w:t>
      </w:r>
      <w:r>
        <w:t xml:space="preserve">The license is held by Prism Data Services (a</w:t>
      </w:r>
      <w:r>
        <w:t xml:space="preserve"> </w:t>
      </w:r>
      <w:r>
        <w:t xml:space="preserve">Company Subsidiary) and, per its terms and the SPA’s own representation</w:t>
      </w:r>
      <w:r>
        <w:t xml:space="preserve"> </w:t>
      </w:r>
      <w:r>
        <w:t xml:space="preserve">(Section 4.9(i)), cannot be transferred or assigned — the opposite of</w:t>
      </w:r>
      <w:r>
        <w:t xml:space="preserve"> </w:t>
      </w:r>
      <w:r>
        <w:t xml:space="preserve">“</w:t>
      </w:r>
      <w:r>
        <w:t xml:space="preserve">preserved.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Recommendation.</w:t>
      </w:r>
      <w:r>
        <w:t xml:space="preserve"> </w:t>
      </w:r>
      <w:r>
        <w:t xml:space="preserve">Obtain a definitive ruling/confirmation from the NC</w:t>
      </w:r>
      <w:r>
        <w:t xml:space="preserve"> </w:t>
      </w:r>
      <w:r>
        <w:t xml:space="preserve">Department of Information Technology on whether the license survives the</w:t>
      </w:r>
      <w:r>
        <w:t xml:space="preserve"> </w:t>
      </w:r>
      <w:r>
        <w:t xml:space="preserve">reverse triangular merger / change of control or must be re-obtained. If</w:t>
      </w:r>
      <w:r>
        <w:t xml:space="preserve"> </w:t>
      </w:r>
      <w:r>
        <w:t xml:space="preserve">it does not survive, re-evaluate the government-sector revenue</w:t>
      </w:r>
      <w:r>
        <w:t xml:space="preserve"> </w:t>
      </w:r>
      <w:r>
        <w:t xml:space="preserve">assumptions and the PPA. The Memo should not assume the license</w:t>
      </w:r>
      <w:r>
        <w:t xml:space="preserve"> </w:t>
      </w:r>
      <w:r>
        <w:t xml:space="preserve">“</w:t>
      </w:r>
      <w:r>
        <w:t xml:space="preserve">should</w:t>
      </w:r>
      <w:r>
        <w:t xml:space="preserve"> </w:t>
      </w:r>
      <w:r>
        <w:t xml:space="preserve">remain valid</w:t>
      </w:r>
      <w:r>
        <w:t xml:space="preserve">”</w:t>
      </w:r>
      <w:r>
        <w:t xml:space="preserve"> </w:t>
      </w:r>
      <w:r>
        <w:t xml:space="preserve">in the face of express non-transferability.</w:t>
      </w:r>
    </w:p>
    <w:bookmarkEnd w:id="30"/>
    <w:bookmarkStart w:id="31" w:name="Xa2eba6444b9deea3d3081474a773f10c2f821cf"/>
    <w:p>
      <w:pPr>
        <w:pStyle w:val="Heading4"/>
      </w:pPr>
      <w:r>
        <w:t xml:space="preserve">H-6. $3,800,000 Suspended C-Corporation R&amp;D Credits — Risk of Permanent Loss Not Analyzed</w:t>
      </w:r>
    </w:p>
    <w:p>
      <w:pPr>
        <w:pStyle w:val="FirstParagraph"/>
      </w:pPr>
      <w:r>
        <w:rPr>
          <w:b/>
          <w:bCs/>
        </w:rPr>
        <w:t xml:space="preserve">Severity: High</w:t>
      </w:r>
    </w:p>
    <w:p>
      <w:pPr>
        <w:pStyle w:val="BodyText"/>
      </w:pPr>
      <w:r>
        <w:rPr>
          <w:b/>
          <w:bCs/>
        </w:rPr>
        <w:t xml:space="preserve">The issue.</w:t>
      </w:r>
      <w:r>
        <w:t xml:space="preserve"> </w:t>
      </w:r>
      <w:r>
        <w:t xml:space="preserve">The Memo (Section III.D) notes the $3,800,000 in unused</w:t>
      </w:r>
      <w:r>
        <w:t xml:space="preserve"> </w:t>
      </w:r>
      <w:r>
        <w:t xml:space="preserve">federal R&amp;D credits carried forward from Prism’s 2016 C-corporation year</w:t>
      </w:r>
      <w:r>
        <w:t xml:space="preserve"> </w:t>
      </w:r>
      <w:r>
        <w:t xml:space="preserve">and the ~$1,200,000/year North Carolina R&amp;D credits, and states only</w:t>
      </w:r>
      <w:r>
        <w:t xml:space="preserve"> </w:t>
      </w:r>
      <w:r>
        <w:t xml:space="preserve">that</w:t>
      </w:r>
      <w:r>
        <w:t xml:space="preserve"> </w:t>
      </w:r>
      <w:r>
        <w:t xml:space="preserve">“</w:t>
      </w:r>
      <w:r>
        <w:t xml:space="preserve">These credits are noted and will be addressed in the post-closing</w:t>
      </w:r>
      <w:r>
        <w:t xml:space="preserve"> </w:t>
      </w:r>
      <w:r>
        <w:t xml:space="preserve">tax planning.</w:t>
      </w:r>
      <w:r>
        <w:t xml:space="preserve">”</w:t>
      </w:r>
      <w:r>
        <w:t xml:space="preserve"> </w:t>
      </w:r>
      <w:r>
        <w:t xml:space="preserve">The Memo does not analyze the interaction with the</w:t>
      </w:r>
      <w:r>
        <w:t xml:space="preserve"> </w:t>
      </w:r>
      <w:r>
        <w:t xml:space="preserve">Section 338(h)(10) election.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Thornfield report</w:t>
      </w:r>
      <w:r>
        <w:t xml:space="preserve"> </w:t>
      </w:r>
      <w:r>
        <w:t xml:space="preserve">(Sections IV.B and IX.A) flags this as a</w:t>
      </w:r>
      <w:r>
        <w:t xml:space="preserve"> </w:t>
      </w:r>
      <w:r>
        <w:t xml:space="preserve">material risk: the credits are suspended at the corporate level under</w:t>
      </w:r>
      <w:r>
        <w:t xml:space="preserve"> </w:t>
      </w:r>
      <w:r>
        <w:t xml:space="preserve">Section 1371(b)(1) (a C-corporation carryforward may not be used during</w:t>
      </w:r>
      <w:r>
        <w:t xml:space="preserve"> </w:t>
      </w:r>
      <w:r>
        <w:t xml:space="preserve">an S-corporation year); the Section 1374 built-in-gains offset is</w:t>
      </w:r>
      <w:r>
        <w:t xml:space="preserve"> </w:t>
      </w:r>
      <w:r>
        <w:t xml:space="preserve">unavailable because the recognition period expired; and the deemed</w:t>
      </w:r>
      <w:r>
        <w:t xml:space="preserve"> </w:t>
      </w:r>
      <w:r>
        <w:t xml:space="preserve">liquidation under Section 338(h)(10) may cause the credits to be</w:t>
      </w:r>
      <w:r>
        <w:t xml:space="preserve"> </w:t>
      </w:r>
      <w:r>
        <w:rPr>
          <w:b/>
          <w:bCs/>
        </w:rPr>
        <w:t xml:space="preserve">permanently lost</w:t>
      </w:r>
      <w:r>
        <w:t xml:space="preserve">. Thornfield concludes the credits</w:t>
      </w:r>
      <w:r>
        <w:t xml:space="preserve"> </w:t>
      </w:r>
      <w:r>
        <w:t xml:space="preserve">“</w:t>
      </w:r>
      <w:r>
        <w:t xml:space="preserve">appear to be at</w:t>
      </w:r>
      <w:r>
        <w:t xml:space="preserve"> </w:t>
      </w:r>
      <w:r>
        <w:t xml:space="preserve">significant risk of permanent expiration in connection with this</w:t>
      </w:r>
      <w:r>
        <w:t xml:space="preserve"> </w:t>
      </w:r>
      <w:r>
        <w:t xml:space="preserve">transaction</w:t>
      </w:r>
      <w:r>
        <w:t xml:space="preserve">”</w:t>
      </w:r>
      <w:r>
        <w:t xml:space="preserve"> </w:t>
      </w:r>
      <w:r>
        <w:t xml:space="preserve">and recommends tax counsel analyze</w:t>
      </w:r>
      <w:r>
        <w:t xml:space="preserve"> </w:t>
      </w:r>
      <w:r>
        <w:t xml:space="preserve">“</w:t>
      </w:r>
      <w:r>
        <w:t xml:space="preserve">whether any structuring</w:t>
      </w:r>
      <w:r>
        <w:t xml:space="preserve"> </w:t>
      </w:r>
      <w:r>
        <w:t xml:space="preserve">alternatives could preserve these credits.</w:t>
      </w:r>
      <w:r>
        <w:t xml:space="preserve">”</w:t>
      </w:r>
    </w:p>
    <w:p>
      <w:pPr>
        <w:pStyle w:val="BodyText"/>
      </w:pPr>
      <w:r>
        <w:t xml:space="preserve">The Memo’s treatment — deferring the issue to</w:t>
      </w:r>
      <w:r>
        <w:t xml:space="preserve"> </w:t>
      </w:r>
      <w:r>
        <w:t xml:space="preserve">“</w:t>
      </w:r>
      <w:r>
        <w:t xml:space="preserve">post-closing tax</w:t>
      </w:r>
      <w:r>
        <w:t xml:space="preserve"> </w:t>
      </w:r>
      <w:r>
        <w:t xml:space="preserve">planning</w:t>
      </w:r>
      <w:r>
        <w:t xml:space="preserve">”</w:t>
      </w:r>
      <w:r>
        <w:t xml:space="preserve"> </w:t>
      </w:r>
      <w:r>
        <w:t xml:space="preserve">— is an omission because the credits’ fate is determined by</w:t>
      </w:r>
      <w:r>
        <w:t xml:space="preserve"> </w:t>
      </w:r>
      <w:r>
        <w:t xml:space="preserve">the transaction structure itself (the deemed liquidation), which is the</w:t>
      </w:r>
      <w:r>
        <w:t xml:space="preserve"> </w:t>
      </w:r>
      <w:r>
        <w:t xml:space="preserve">very subject of the Memo. Post-closing planning cannot preserve credits</w:t>
      </w:r>
      <w:r>
        <w:t xml:space="preserve"> </w:t>
      </w:r>
      <w:r>
        <w:t xml:space="preserve">lost at the deemed liquidation.</w:t>
      </w:r>
    </w:p>
    <w:p>
      <w:pPr>
        <w:pStyle w:val="BodyText"/>
      </w:pPr>
      <w:r>
        <w:rPr>
          <w:b/>
          <w:bCs/>
        </w:rPr>
        <w:t xml:space="preserve">Recommendation.</w:t>
      </w:r>
      <w:r>
        <w:t xml:space="preserve"> </w:t>
      </w:r>
      <w:r>
        <w:t xml:space="preserve">Analyze the interaction of Sections 1371(b), 1371(e)</w:t>
      </w:r>
      <w:r>
        <w:t xml:space="preserve"> </w:t>
      </w:r>
      <w:r>
        <w:t xml:space="preserve">(post-termination transition period), 1374, and 338(h)(10) to determine</w:t>
      </w:r>
      <w:r>
        <w:t xml:space="preserve"> </w:t>
      </w:r>
      <w:r>
        <w:t xml:space="preserve">whether any portion of the $3,800,000 can be salvaged, and whether any</w:t>
      </w:r>
      <w:r>
        <w:t xml:space="preserve"> </w:t>
      </w:r>
      <w:r>
        <w:t xml:space="preserve">structuring modification would preserve value. Reflect the analysis (and</w:t>
      </w:r>
      <w:r>
        <w:t xml:space="preserve"> </w:t>
      </w:r>
      <w:r>
        <w:t xml:space="preserve">the potential loss) in the Memo’s conclusions.</w:t>
      </w:r>
    </w:p>
    <w:bookmarkEnd w:id="31"/>
    <w:bookmarkStart w:id="32" w:name="X11ce07f6b1fd6d611be4dba9cc1e7577a874ec4"/>
    <w:p>
      <w:pPr>
        <w:pStyle w:val="Heading4"/>
      </w:pPr>
      <w:r>
        <w:t xml:space="preserve">H-7. Section 482 Transfer-Pricing Exposure (~$6,300,000) on Prism/Beacon Intercompany Fees Is Omitted</w:t>
      </w:r>
    </w:p>
    <w:p>
      <w:pPr>
        <w:pStyle w:val="FirstParagraph"/>
      </w:pPr>
      <w:r>
        <w:rPr>
          <w:b/>
          <w:bCs/>
        </w:rPr>
        <w:t xml:space="preserve">Severity: High</w:t>
      </w:r>
    </w:p>
    <w:p>
      <w:pPr>
        <w:pStyle w:val="BodyText"/>
      </w:pPr>
      <w:r>
        <w:rPr>
          <w:b/>
          <w:bCs/>
        </w:rPr>
        <w:t xml:space="preserve">The issue.</w:t>
      </w:r>
      <w:r>
        <w:t xml:space="preserve"> </w:t>
      </w:r>
      <w:r>
        <w:t xml:space="preserve">The Memo (Section VIII) describes the intercompany</w:t>
      </w:r>
      <w:r>
        <w:t xml:space="preserve"> </w:t>
      </w:r>
      <w:r>
        <w:t xml:space="preserve">management fee ($850,000/year) and IP license fee ($400,000/year) and</w:t>
      </w:r>
      <w:r>
        <w:t xml:space="preserve"> </w:t>
      </w:r>
      <w:r>
        <w:t xml:space="preserve">states that</w:t>
      </w:r>
      <w:r>
        <w:t xml:space="preserve"> </w:t>
      </w:r>
      <w:r>
        <w:t xml:space="preserve">“</w:t>
      </w:r>
      <w:r>
        <w:t xml:space="preserve">The intercompany fees have been reported on Prism’s and</w:t>
      </w:r>
      <w:r>
        <w:t xml:space="preserve"> </w:t>
      </w:r>
      <w:r>
        <w:t xml:space="preserve">Beacon’s respective tax returns, and are reflected in the Thornfield due</w:t>
      </w:r>
      <w:r>
        <w:t xml:space="preserve"> </w:t>
      </w:r>
      <w:r>
        <w:t xml:space="preserve">diligence report</w:t>
      </w:r>
      <w:r>
        <w:t xml:space="preserve">”</w:t>
      </w:r>
      <w:r>
        <w:t xml:space="preserve"> </w:t>
      </w:r>
      <w:r>
        <w:t xml:space="preserve">— language that implies the fees are unproblematic.</w:t>
      </w:r>
      <w:r>
        <w:t xml:space="preserve"> </w:t>
      </w:r>
      <w:r>
        <w:t xml:space="preserve">The record shows the opposite: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Thornfield report</w:t>
      </w:r>
      <w:r>
        <w:t xml:space="preserve"> </w:t>
      </w:r>
      <w:r>
        <w:t xml:space="preserve">(Section VII) estimates</w:t>
      </w:r>
      <w:r>
        <w:t xml:space="preserve"> </w:t>
      </w:r>
      <w:r>
        <w:rPr>
          <w:b/>
          <w:bCs/>
        </w:rPr>
        <w:t xml:space="preserve">~$6,300,000</w:t>
      </w:r>
      <w:r>
        <w:rPr>
          <w:b/>
          <w:bCs/>
        </w:rPr>
        <w:t xml:space="preserve"> </w:t>
      </w:r>
      <w:r>
        <w:rPr>
          <w:b/>
          <w:bCs/>
        </w:rPr>
        <w:t xml:space="preserve">cumulative Section 482 exposure</w:t>
      </w:r>
      <w:r>
        <w:t xml:space="preserve"> </w:t>
      </w:r>
      <w:r>
        <w:t xml:space="preserve">for 2019–2024: the management fee</w:t>
      </w:r>
      <w:r>
        <w:t xml:space="preserve"> </w:t>
      </w:r>
      <w:r>
        <w:t xml:space="preserve">appears below arm’s-length (Thornfield estimates actual service cost</w:t>
      </w:r>
      <w:r>
        <w:t xml:space="preserve"> </w:t>
      </w:r>
      <w:r>
        <w:t xml:space="preserve">at $1,100,000–$1,250,000/year, implying ~$2,100,000 cumulative</w:t>
      </w:r>
      <w:r>
        <w:t xml:space="preserve"> </w:t>
      </w:r>
      <w:r>
        <w:t xml:space="preserve">undercharge) and the IP license fee is</w:t>
      </w:r>
      <w:r>
        <w:t xml:space="preserve"> </w:t>
      </w:r>
      <w:r>
        <w:t xml:space="preserve">“</w:t>
      </w:r>
      <w:r>
        <w:t xml:space="preserve">significantly below</w:t>
      </w:r>
      <w:r>
        <w:t xml:space="preserve"> </w:t>
      </w:r>
      <w:r>
        <w:t xml:space="preserve">arm’s-length</w:t>
      </w:r>
      <w:r>
        <w:t xml:space="preserve">”</w:t>
      </w:r>
      <w:r>
        <w:t xml:space="preserve"> </w:t>
      </w:r>
      <w:r>
        <w:t xml:space="preserve">(industry benchmarks of 8–15% of licensee revenue</w:t>
      </w:r>
      <w:r>
        <w:t xml:space="preserve"> </w:t>
      </w:r>
      <w:r>
        <w:t xml:space="preserve">vs. the $400,000 fee at ~3.6%, implying ~$4,200,000 cumulative</w:t>
      </w:r>
      <w:r>
        <w:t xml:space="preserve"> </w:t>
      </w:r>
      <w:r>
        <w:t xml:space="preserve">undercharge). No transfer-pricing study or benchmarking exists</w:t>
      </w:r>
      <w:r>
        <w:t xml:space="preserve"> </w:t>
      </w:r>
      <w:r>
        <w:t xml:space="preserve">(confirmed by Beacon OA Sections 9.01 and 9.02, which state the fees</w:t>
      </w:r>
      <w:r>
        <w:t xml:space="preserve"> </w:t>
      </w:r>
      <w:r>
        <w:t xml:space="preserve">“</w:t>
      </w:r>
      <w:r>
        <w:t xml:space="preserve">have not been the subject of a benchmarking study, transfer pricing</w:t>
      </w:r>
      <w:r>
        <w:t xml:space="preserve"> </w:t>
      </w:r>
      <w:r>
        <w:t xml:space="preserve">analysis, or independent appraisal at any time since execution</w:t>
      </w:r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SPA Section 4.9(h)</w:t>
      </w:r>
      <w:r>
        <w:t xml:space="preserve"> </w:t>
      </w:r>
      <w:r>
        <w:t xml:space="preserve">represents that the fees</w:t>
      </w:r>
      <w:r>
        <w:t xml:space="preserve"> </w:t>
      </w:r>
      <w:r>
        <w:t xml:space="preserve">“</w:t>
      </w:r>
      <w:r>
        <w:t xml:space="preserve">are at arm’s</w:t>
      </w:r>
      <w:r>
        <w:t xml:space="preserve"> </w:t>
      </w:r>
      <w:r>
        <w:t xml:space="preserve">length</w:t>
      </w:r>
      <w:r>
        <w:t xml:space="preserve">”</w:t>
      </w:r>
      <w:r>
        <w:t xml:space="preserve"> </w:t>
      </w:r>
      <w:r>
        <w:t xml:space="preserve">while simultaneously disclosing that</w:t>
      </w:r>
      <w:r>
        <w:t xml:space="preserve"> </w:t>
      </w:r>
      <w:r>
        <w:t xml:space="preserve">“</w:t>
      </w:r>
      <w:r>
        <w:t xml:space="preserve">[n]o formal transfer</w:t>
      </w:r>
      <w:r>
        <w:t xml:space="preserve"> </w:t>
      </w:r>
      <w:r>
        <w:t xml:space="preserve">pricing study has been prepared</w:t>
      </w:r>
      <w:r>
        <w:t xml:space="preserve">”</w:t>
      </w:r>
      <w:r>
        <w:t xml:space="preserve"> </w:t>
      </w:r>
      <w:r>
        <w:t xml:space="preserve">— a representation that is in</w:t>
      </w:r>
      <w:r>
        <w:t xml:space="preserve"> </w:t>
      </w:r>
      <w:r>
        <w:t xml:space="preserve">tension with Thornfield’s below-arm’s-length conclusion.</w:t>
      </w:r>
    </w:p>
    <w:p>
      <w:pPr>
        <w:pStyle w:val="Compact"/>
        <w:numPr>
          <w:ilvl w:val="0"/>
          <w:numId w:val="1005"/>
        </w:numPr>
      </w:pPr>
      <w:r>
        <w:t xml:space="preserve">Thornfield notes the cross-entity impact: a Section 482 reallocation</w:t>
      </w:r>
      <w:r>
        <w:t xml:space="preserve"> </w:t>
      </w:r>
      <w:r>
        <w:t xml:space="preserve">from Beacon to Prism would increase income to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Prism</w:t>
      </w:r>
      <w:r>
        <w:t xml:space="preserve"> </w:t>
      </w:r>
      <w:r>
        <w:t xml:space="preserve">shareholders (including those with no Beacon interest) and decrease</w:t>
      </w:r>
      <w:r>
        <w:t xml:space="preserve"> </w:t>
      </w:r>
      <w:r>
        <w:t xml:space="preserve">income to the Beacon minority members (Delano 12.0%, Avesta 7.5%).</w:t>
      </w:r>
    </w:p>
    <w:p>
      <w:pPr>
        <w:pStyle w:val="FirstParagraph"/>
      </w:pPr>
      <w:r>
        <w:t xml:space="preserve">The Memo does not flag the $6,300,000 exposure, the absence of</w:t>
      </w:r>
      <w:r>
        <w:t xml:space="preserve"> </w:t>
      </w:r>
      <w:r>
        <w:t xml:space="preserve">transfer-pricing documentation, the tension with the SPA representation,</w:t>
      </w:r>
      <w:r>
        <w:t xml:space="preserve"> </w:t>
      </w:r>
      <w:r>
        <w:t xml:space="preserve">or the cross-entity allocation impact.</w:t>
      </w:r>
    </w:p>
    <w:p>
      <w:pPr>
        <w:pStyle w:val="BodyText"/>
      </w:pPr>
      <w:r>
        <w:rPr>
          <w:b/>
          <w:bCs/>
        </w:rPr>
        <w:t xml:space="preserve">Recommendation.</w:t>
      </w:r>
      <w:r>
        <w:t xml:space="preserve"> </w:t>
      </w:r>
      <w:r>
        <w:t xml:space="preserve">Commission a formal transfer-pricing study, consider</w:t>
      </w:r>
      <w:r>
        <w:t xml:space="preserve"> </w:t>
      </w:r>
      <w:r>
        <w:t xml:space="preserve">a true-up or amended returns for prior years, and reflect the potential</w:t>
      </w:r>
      <w:r>
        <w:t xml:space="preserve"> </w:t>
      </w:r>
      <w:r>
        <w:t xml:space="preserve">Section 482 exposure in the transaction’s risk allocation and</w:t>
      </w:r>
      <w:r>
        <w:t xml:space="preserve"> </w:t>
      </w:r>
      <w:r>
        <w:t xml:space="preserve">indemnification provisions. The Memo should disclose the exposure rather</w:t>
      </w:r>
      <w:r>
        <w:t xml:space="preserve"> </w:t>
      </w:r>
      <w:r>
        <w:t xml:space="preserve">than implying the fees are routine.</w:t>
      </w:r>
    </w:p>
    <w:bookmarkEnd w:id="32"/>
    <w:bookmarkEnd w:id="33"/>
    <w:bookmarkStart w:id="48" w:name="c.-medium-severity-findings"/>
    <w:p>
      <w:pPr>
        <w:pStyle w:val="Heading3"/>
      </w:pPr>
      <w:r>
        <w:t xml:space="preserve">C. Medium-Severity Findings</w:t>
      </w:r>
    </w:p>
    <w:bookmarkStart w:id="34" w:name="Xb57b2f935be287f352fc17e747b2309f5d56d2e"/>
    <w:p>
      <w:pPr>
        <w:pStyle w:val="Heading4"/>
      </w:pPr>
      <w:r>
        <w:t xml:space="preserve">M-1. Beacon Right of First Refusal Is Triggered by the Change of Control — Consequences Not Analyzed</w:t>
      </w:r>
    </w:p>
    <w:p>
      <w:pPr>
        <w:pStyle w:val="FirstParagraph"/>
      </w:pPr>
      <w:r>
        <w:rPr>
          <w:b/>
          <w:bCs/>
        </w:rPr>
        <w:t xml:space="preserve">Severity: Medium</w:t>
      </w:r>
    </w:p>
    <w:p>
      <w:pPr>
        <w:pStyle w:val="BodyText"/>
      </w:pPr>
      <w:r>
        <w:t xml:space="preserve">The Beacon Operating Agreement (Section 8.03(a)(ii)) triggers a right of</w:t>
      </w:r>
      <w:r>
        <w:t xml:space="preserve"> </w:t>
      </w:r>
      <w:r>
        <w:t xml:space="preserve">first refusal (</w:t>
      </w:r>
      <w:r>
        <w:t xml:space="preserve">“</w:t>
      </w:r>
      <w:r>
        <w:t xml:space="preserve">ROFR</w:t>
      </w:r>
      <w:r>
        <w:t xml:space="preserve">”</w:t>
      </w:r>
      <w:r>
        <w:t xml:space="preserve">) upon</w:t>
      </w:r>
      <w:r>
        <w:t xml:space="preserve"> </w:t>
      </w:r>
      <w:r>
        <w:t xml:space="preserve">“</w:t>
      </w:r>
      <w:r>
        <w:t xml:space="preserve">a Change of Control of any Member that is</w:t>
      </w:r>
      <w:r>
        <w:t xml:space="preserve"> </w:t>
      </w:r>
      <w:r>
        <w:t xml:space="preserve">an entity.</w:t>
      </w:r>
      <w:r>
        <w:t xml:space="preserve">”</w:t>
      </w:r>
      <w:r>
        <w:t xml:space="preserve"> </w:t>
      </w:r>
      <w:r>
        <w:t xml:space="preserve">Prism is an entity member; the merger is a Change of</w:t>
      </w:r>
      <w:r>
        <w:t xml:space="preserve"> </w:t>
      </w:r>
      <w:r>
        <w:t xml:space="preserve">Control. The non-transferring members (Marcus Delano 12.0% and Shirin</w:t>
      </w:r>
      <w:r>
        <w:t xml:space="preserve"> </w:t>
      </w:r>
      <w:r>
        <w:t xml:space="preserve">Avesta 7.5%) therefore have a 45-calendar-day window to elect to</w:t>
      </w:r>
      <w:r>
        <w:t xml:space="preserve"> </w:t>
      </w:r>
      <w:r>
        <w:t xml:space="preserve">purchase Prism’s 80.5% Beacon interest at fair market value</w:t>
      </w:r>
      <w:r>
        <w:t xml:space="preserve"> </w:t>
      </w:r>
      <w:r>
        <w:t xml:space="preserve">($28,500,000). The ROFR Notice was required within 10 business days of</w:t>
      </w:r>
      <w:r>
        <w:t xml:space="preserve"> </w:t>
      </w:r>
      <w:r>
        <w:t xml:space="preserve">the earlier of SPA execution (January 28, 2025) or consummation. The</w:t>
      </w:r>
      <w:r>
        <w:t xml:space="preserve"> </w:t>
      </w:r>
      <w:r>
        <w:t xml:space="preserve">Memo (Section VIII) mentions only that the Beacon agreement</w:t>
      </w:r>
      <w:r>
        <w:t xml:space="preserve"> </w:t>
      </w:r>
      <w:r>
        <w:t xml:space="preserve">“</w:t>
      </w:r>
      <w:r>
        <w:t xml:space="preserve">contains</w:t>
      </w:r>
      <w:r>
        <w:t xml:space="preserve"> </w:t>
      </w:r>
      <w:r>
        <w:t xml:space="preserve">customary transfer restrictions, including a right of first refusal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that the parties</w:t>
      </w:r>
      <w:r>
        <w:t xml:space="preserve"> </w:t>
      </w:r>
      <w:r>
        <w:t xml:space="preserve">“</w:t>
      </w:r>
      <w:r>
        <w:t xml:space="preserve">are addressing these transfer provisions</w:t>
      </w:r>
      <w:r>
        <w:t xml:space="preserve">”</w:t>
      </w:r>
      <w:r>
        <w:t xml:space="preserve"> </w:t>
      </w:r>
      <w:r>
        <w:t xml:space="preserve">— it does</w:t>
      </w:r>
      <w:r>
        <w:t xml:space="preserve"> </w:t>
      </w:r>
      <w:r>
        <w:t xml:space="preserve">not analyze (a) that the ROFR is triggered by Change of Control (not</w:t>
      </w:r>
      <w:r>
        <w:t xml:space="preserve"> </w:t>
      </w:r>
      <w:r>
        <w:t xml:space="preserve">merely a transfer), (b) the timing, (c) the tax consequences if</w:t>
      </w:r>
      <w:r>
        <w:t xml:space="preserve"> </w:t>
      </w:r>
      <w:r>
        <w:t xml:space="preserve">exercised (a taxable sale of the Beacon interest separate from the</w:t>
      </w:r>
      <w:r>
        <w:t xml:space="preserve"> </w:t>
      </w:r>
      <w:r>
        <w:t xml:space="preserve">338(h)(10), with Section 751 ordinary-income exposure), or (d) the</w:t>
      </w:r>
      <w:r>
        <w:t xml:space="preserve"> </w:t>
      </w:r>
      <w:r>
        <w:t xml:space="preserve">structural impact (the $28,500,000 Beacon interest would not transfer</w:t>
      </w:r>
      <w:r>
        <w:t xml:space="preserve"> </w:t>
      </w:r>
      <w:r>
        <w:t xml:space="preserve">to new Target and would drop out of the deemed-asset-sale PPA). SPA</w:t>
      </w:r>
      <w:r>
        <w:t xml:space="preserve"> </w:t>
      </w:r>
      <w:r>
        <w:t xml:space="preserve">Section 8.2(g) acknowledges the issue by making Beacon</w:t>
      </w:r>
      <w:r>
        <w:t xml:space="preserve"> </w:t>
      </w:r>
      <w:r>
        <w:t xml:space="preserve">operating-agreement consents a closing condition. The Memo should</w:t>
      </w:r>
      <w:r>
        <w:t xml:space="preserve"> </w:t>
      </w:r>
      <w:r>
        <w:t xml:space="preserve">analyze the consequences, including the contingency that Beacon is</w:t>
      </w:r>
      <w:r>
        <w:t xml:space="preserve"> </w:t>
      </w:r>
      <w:r>
        <w:t xml:space="preserve">carved out of the transaction.</w:t>
      </w:r>
    </w:p>
    <w:bookmarkEnd w:id="34"/>
    <w:bookmarkStart w:id="35" w:name="X4567d18395c3873e59f858abcf8612c36e59b09"/>
    <w:p>
      <w:pPr>
        <w:pStyle w:val="Heading4"/>
      </w:pPr>
      <w:r>
        <w:t xml:space="preserve">M-2. Section 751</w:t>
      </w:r>
      <w:r>
        <w:t xml:space="preserve"> </w:t>
      </w:r>
      <w:r>
        <w:t xml:space="preserve">“</w:t>
      </w:r>
      <w:r>
        <w:t xml:space="preserve">Hot Assets</w:t>
      </w:r>
      <w:r>
        <w:t xml:space="preserve">”</w:t>
      </w:r>
      <w:r>
        <w:t xml:space="preserve"> </w:t>
      </w:r>
      <w:r>
        <w:t xml:space="preserve">at Beacon Not Addressed — Beacon Gain Characterized as Long-Term Capital</w:t>
      </w:r>
    </w:p>
    <w:p>
      <w:pPr>
        <w:pStyle w:val="FirstParagraph"/>
      </w:pPr>
      <w:r>
        <w:rPr>
          <w:b/>
          <w:bCs/>
        </w:rPr>
        <w:t xml:space="preserve">Severity: Medium</w:t>
      </w:r>
    </w:p>
    <w:p>
      <w:pPr>
        <w:pStyle w:val="BodyText"/>
      </w:pPr>
      <w:r>
        <w:t xml:space="preserve">The Memo (Section VIII) states that the $22,100,000 gain on the deemed</w:t>
      </w:r>
      <w:r>
        <w:t xml:space="preserve"> </w:t>
      </w:r>
      <w:r>
        <w:t xml:space="preserve">disposition of Prism’s Beacon interest</w:t>
      </w:r>
      <w:r>
        <w:t xml:space="preserve"> </w:t>
      </w:r>
      <w:r>
        <w:t xml:space="preserve">“</w:t>
      </w:r>
      <w:r>
        <w:t xml:space="preserve">is expected to be long-term</w:t>
      </w:r>
      <w:r>
        <w:t xml:space="preserve"> </w:t>
      </w:r>
      <w:r>
        <w:t xml:space="preserve">capital gain, given that Prism has held its membership interest in</w:t>
      </w:r>
      <w:r>
        <w:t xml:space="preserve"> </w:t>
      </w:r>
      <w:r>
        <w:t xml:space="preserve">Beacon for more than one year.</w:t>
      </w:r>
      <w:r>
        <w:t xml:space="preserve">”</w:t>
      </w:r>
      <w:r>
        <w:t xml:space="preserve"> </w:t>
      </w:r>
      <w:r>
        <w:t xml:space="preserve">The Thornfield report (Section VI.B) and</w:t>
      </w:r>
      <w:r>
        <w:t xml:space="preserve"> </w:t>
      </w:r>
      <w:r>
        <w:t xml:space="preserve">the Beacon Operating Agreement (Section 6.05) note that Beacon’s assets</w:t>
      </w:r>
      <w:r>
        <w:t xml:space="preserve"> </w:t>
      </w:r>
      <w:r>
        <w:t xml:space="preserve">include accounts receivable (~$2,100,000 at 12/31/2023) and accrued</w:t>
      </w:r>
      <w:r>
        <w:t xml:space="preserve"> </w:t>
      </w:r>
      <w:r>
        <w:t xml:space="preserve">but unbilled revenue (~$1,800,000) —</w:t>
      </w:r>
      <w:r>
        <w:t xml:space="preserve"> </w:t>
      </w:r>
      <w:r>
        <w:t xml:space="preserve">“</w:t>
      </w:r>
      <w:r>
        <w:t xml:space="preserve">hot assets</w:t>
      </w:r>
      <w:r>
        <w:t xml:space="preserve">”</w:t>
      </w:r>
      <w:r>
        <w:t xml:space="preserve"> </w:t>
      </w:r>
      <w:r>
        <w:t xml:space="preserve">under Section 751</w:t>
      </w:r>
      <w:r>
        <w:t xml:space="preserve"> </w:t>
      </w:r>
      <w:r>
        <w:t xml:space="preserve">that can produce</w:t>
      </w:r>
      <w:r>
        <w:t xml:space="preserve"> </w:t>
      </w:r>
      <w:r>
        <w:rPr>
          <w:b/>
          <w:bCs/>
        </w:rPr>
        <w:t xml:space="preserve">ordinary income</w:t>
      </w:r>
      <w:r>
        <w:t xml:space="preserve"> </w:t>
      </w:r>
      <w:r>
        <w:t xml:space="preserve">(not capital gain) on the sale or</w:t>
      </w:r>
      <w:r>
        <w:t xml:space="preserve"> </w:t>
      </w:r>
      <w:r>
        <w:t xml:space="preserve">exchange of a partnership interest. The Memo’s blanket</w:t>
      </w:r>
      <w:r>
        <w:t xml:space="preserve"> </w:t>
      </w:r>
      <w:r>
        <w:t xml:space="preserve">long-term-capital-gain characterization is potentially incorrect to the</w:t>
      </w:r>
      <w:r>
        <w:t xml:space="preserve"> </w:t>
      </w:r>
      <w:r>
        <w:t xml:space="preserve">extent of Beacon’s unrealized receivables and unbilled revenue. The Memo</w:t>
      </w:r>
      <w:r>
        <w:t xml:space="preserve"> </w:t>
      </w:r>
      <w:r>
        <w:t xml:space="preserve">should analyze Section 751 and quantify the ordinary-income portion.</w:t>
      </w:r>
    </w:p>
    <w:bookmarkEnd w:id="35"/>
    <w:bookmarkStart w:id="36" w:name="X7bff4bee71dfec151811b9f66a9941a125ae1b5"/>
    <w:p>
      <w:pPr>
        <w:pStyle w:val="Heading4"/>
      </w:pPr>
      <w:r>
        <w:t xml:space="preserve">M-3. Section 754 Election at Beacon Not Addressed</w:t>
      </w:r>
    </w:p>
    <w:p>
      <w:pPr>
        <w:pStyle w:val="FirstParagraph"/>
      </w:pPr>
      <w:r>
        <w:rPr>
          <w:b/>
          <w:bCs/>
        </w:rPr>
        <w:t xml:space="preserve">Severity: Medium</w:t>
      </w:r>
    </w:p>
    <w:p>
      <w:pPr>
        <w:pStyle w:val="BodyText"/>
      </w:pPr>
      <w:r>
        <w:t xml:space="preserve">The Beacon Operating Agreement (Section 11.05) confirms no Section 754</w:t>
      </w:r>
      <w:r>
        <w:t xml:space="preserve"> </w:t>
      </w:r>
      <w:r>
        <w:t xml:space="preserve">election is currently in effect and gives the Partnership Representative</w:t>
      </w:r>
      <w:r>
        <w:t xml:space="preserve"> </w:t>
      </w:r>
      <w:r>
        <w:t xml:space="preserve">(Prism) authority to make one. The Asset Valuation Summary (A-009, Note</w:t>
      </w:r>
      <w:r>
        <w:t xml:space="preserve"> </w:t>
      </w:r>
      <w:r>
        <w:t xml:space="preserve">2) states that</w:t>
      </w:r>
      <w:r>
        <w:t xml:space="preserve"> </w:t>
      </w:r>
      <w:r>
        <w:t xml:space="preserve">“</w:t>
      </w:r>
      <w:r>
        <w:t xml:space="preserve">the amortization and depreciation treatment of the</w:t>
      </w:r>
      <w:r>
        <w:t xml:space="preserve"> </w:t>
      </w:r>
      <w:r>
        <w:t xml:space="preserve">step-up allocated to this interest will depend on the nature of Beacon’s</w:t>
      </w:r>
      <w:r>
        <w:t xml:space="preserve"> </w:t>
      </w:r>
      <w:r>
        <w:t xml:space="preserve">underlying assets and whether a §754 election is made by Beacon,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recommends Buyer’s counsel</w:t>
      </w:r>
      <w:r>
        <w:t xml:space="preserve"> </w:t>
      </w:r>
      <w:r>
        <w:t xml:space="preserve">“</w:t>
      </w:r>
      <w:r>
        <w:t xml:space="preserve">determine whether a §754 election is</w:t>
      </w:r>
      <w:r>
        <w:t xml:space="preserve"> </w:t>
      </w:r>
      <w:r>
        <w:t xml:space="preserve">advisable and, if so, prepare the §743(b) basis adjustment</w:t>
      </w:r>
      <w:r>
        <w:t xml:space="preserve"> </w:t>
      </w:r>
      <w:r>
        <w:t xml:space="preserve">computations.</w:t>
      </w:r>
      <w:r>
        <w:t xml:space="preserve">”</w:t>
      </w:r>
      <w:r>
        <w:t xml:space="preserve"> </w:t>
      </w:r>
      <w:r>
        <w:t xml:space="preserve">The Memo does not address a Section 754 election, a</w:t>
      </w:r>
      <w:r>
        <w:t xml:space="preserve"> </w:t>
      </w:r>
      <w:r>
        <w:t xml:space="preserve">look-through of Beacon’s underlying assets, or how the Class V step-up</w:t>
      </w:r>
      <w:r>
        <w:t xml:space="preserve"> </w:t>
      </w:r>
      <w:r>
        <w:t xml:space="preserve">allocated to the Beacon interest translates into inside-basis</w:t>
      </w:r>
      <w:r>
        <w:t xml:space="preserve"> </w:t>
      </w:r>
      <w:r>
        <w:t xml:space="preserve">adjustments at Beacon. This affects Buyer’s future</w:t>
      </w:r>
      <w:r>
        <w:t xml:space="preserve"> </w:t>
      </w:r>
      <w:r>
        <w:t xml:space="preserve">depreciation/amortization with respect to Beacon’s assets.</w:t>
      </w:r>
    </w:p>
    <w:bookmarkEnd w:id="36"/>
    <w:bookmarkStart w:id="37" w:name="Xa156ed70cf10eeb311fa1d3211f4ea03be6e147"/>
    <w:p>
      <w:pPr>
        <w:pStyle w:val="Heading4"/>
      </w:pPr>
      <w:r>
        <w:t xml:space="preserve">M-4. AAA / AE&amp;P / Deemed-Liquidation Distribution Ordering Not Addressed</w:t>
      </w:r>
    </w:p>
    <w:p>
      <w:pPr>
        <w:pStyle w:val="FirstParagraph"/>
      </w:pPr>
      <w:r>
        <w:rPr>
          <w:b/>
          <w:bCs/>
        </w:rPr>
        <w:t xml:space="preserve">Severity: Medium</w:t>
      </w:r>
    </w:p>
    <w:p>
      <w:pPr>
        <w:pStyle w:val="BodyText"/>
      </w:pPr>
      <w:r>
        <w:t xml:space="preserve">The Thornfield report (Section IX.C) reports an Accumulated Adjustments</w:t>
      </w:r>
      <w:r>
        <w:t xml:space="preserve"> </w:t>
      </w:r>
      <w:r>
        <w:t xml:space="preserve">Account balance of $64,200,000 (12/31/2023), Accumulated Earnings &amp;</w:t>
      </w:r>
      <w:r>
        <w:t xml:space="preserve"> </w:t>
      </w:r>
      <w:r>
        <w:t xml:space="preserve">Profits of $792,000, and Previously Taxed Income of $792,000 from the</w:t>
      </w:r>
      <w:r>
        <w:t xml:space="preserve"> </w:t>
      </w:r>
      <w:r>
        <w:t xml:space="preserve">C-corporation year. In the deemed liquidation under Section 338(h)(10),</w:t>
      </w:r>
      <w:r>
        <w:t xml:space="preserve"> </w:t>
      </w:r>
      <w:r>
        <w:t xml:space="preserve">deemed liquidating distributions are characterized first against AAA</w:t>
      </w:r>
      <w:r>
        <w:t xml:space="preserve"> </w:t>
      </w:r>
      <w:r>
        <w:t xml:space="preserve">(tax-free to the extent of stock basis), then against AE&amp;P (taxable as a</w:t>
      </w:r>
      <w:r>
        <w:t xml:space="preserve"> </w:t>
      </w:r>
      <w:r>
        <w:t xml:space="preserve">dividend), then as return of capital/capital gain. The $792,000 of AE&amp;P</w:t>
      </w:r>
      <w:r>
        <w:t xml:space="preserve"> </w:t>
      </w:r>
      <w:r>
        <w:t xml:space="preserve">could give rise to dividend income. The Memo’s shareholder-consequences</w:t>
      </w:r>
      <w:r>
        <w:t xml:space="preserve"> </w:t>
      </w:r>
      <w:r>
        <w:t xml:space="preserve">analysis (Section V) computes gain solely as the pro-rata share of the</w:t>
      </w:r>
      <w:r>
        <w:t xml:space="preserve"> </w:t>
      </w:r>
      <w:r>
        <w:t xml:space="preserve">deemed sale gain and does not address the AAA/AE&amp;P/PTI ordering or the</w:t>
      </w:r>
      <w:r>
        <w:t xml:space="preserve"> </w:t>
      </w:r>
      <w:r>
        <w:t xml:space="preserve">potential dividend characterization. The Memo should incorporate the</w:t>
      </w:r>
      <w:r>
        <w:t xml:space="preserve"> </w:t>
      </w:r>
      <w:r>
        <w:t xml:space="preserve">distribution-ordering analysis.</w:t>
      </w:r>
    </w:p>
    <w:bookmarkEnd w:id="37"/>
    <w:bookmarkStart w:id="38" w:name="X8486f7bf55b1d2d2c87660a1b891c0dc1f9b6b1"/>
    <w:p>
      <w:pPr>
        <w:pStyle w:val="Heading4"/>
      </w:pPr>
      <w:r>
        <w:t xml:space="preserve">M-5. Per-Shareholder Gain Allocated on Basic Ownership (52/28/20) Rather Than Fully-Diluted Ownership</w:t>
      </w:r>
    </w:p>
    <w:p>
      <w:pPr>
        <w:pStyle w:val="FirstParagraph"/>
      </w:pPr>
      <w:r>
        <w:rPr>
          <w:b/>
          <w:bCs/>
        </w:rPr>
        <w:t xml:space="preserve">Severity: Medium</w:t>
      </w:r>
    </w:p>
    <w:p>
      <w:pPr>
        <w:pStyle w:val="BodyText"/>
      </w:pPr>
      <w:r>
        <w:t xml:space="preserve">The Memo allocates the deemed sale gain using basic ownership</w:t>
      </w:r>
      <w:r>
        <w:t xml:space="preserve"> </w:t>
      </w:r>
      <w:r>
        <w:t xml:space="preserve">percentages (Dr. Chandra 52%, Ms. Stowe 28%, others 20%). The</w:t>
      </w:r>
      <w:r>
        <w:t xml:space="preserve"> </w:t>
      </w:r>
      <w:r>
        <w:t xml:space="preserve">capitalization table shows fully-diluted ownership of 50.83% / 27.37% /</w:t>
      </w:r>
      <w:r>
        <w:t xml:space="preserve"> </w:t>
      </w:r>
      <w:r>
        <w:t xml:space="preserve">21.80%. Because all restricted stock accelerates and vests at closing</w:t>
      </w:r>
      <w:r>
        <w:t xml:space="preserve"> </w:t>
      </w:r>
      <w:r>
        <w:t xml:space="preserve">(SPA Section 2.5) and Section 83(b) elections were timely filed (so the</w:t>
      </w:r>
      <w:r>
        <w:t xml:space="preserve"> </w:t>
      </w:r>
      <w:r>
        <w:t xml:space="preserve">restricted shares are</w:t>
      </w:r>
      <w:r>
        <w:t xml:space="preserve"> </w:t>
      </w:r>
      <w:r>
        <w:t xml:space="preserve">“</w:t>
      </w:r>
      <w:r>
        <w:t xml:space="preserve">treated as outstanding</w:t>
      </w:r>
      <w:r>
        <w:t xml:space="preserve">”</w:t>
      </w:r>
      <w:r>
        <w:t xml:space="preserve"> </w:t>
      </w:r>
      <w:r>
        <w:t xml:space="preserve">for S-corporation</w:t>
      </w:r>
      <w:r>
        <w:t xml:space="preserve"> </w:t>
      </w:r>
      <w:r>
        <w:t xml:space="preserve">purposes, as the Memo itself states in Section III.A), the deemed sale</w:t>
      </w:r>
      <w:r>
        <w:t xml:space="preserve"> </w:t>
      </w:r>
      <w:r>
        <w:t xml:space="preserve">gain — recognized at the close of the acquisition date — should be</w:t>
      </w:r>
      <w:r>
        <w:t xml:space="preserve"> </w:t>
      </w:r>
      <w:r>
        <w:t xml:space="preserve">allocated on a fully-diluted basis (1,995,000 shares). The Memo is</w:t>
      </w:r>
      <w:r>
        <w:t xml:space="preserve"> </w:t>
      </w:r>
      <w:r>
        <w:t xml:space="preserve">internally inconsistent: it states the restricted shares are treated as</w:t>
      </w:r>
      <w:r>
        <w:t xml:space="preserve"> </w:t>
      </w:r>
      <w:r>
        <w:t xml:space="preserve">outstanding, yet uses basic percentages (1,950,000 shares) that exclude</w:t>
      </w:r>
      <w:r>
        <w:t xml:space="preserve"> </w:t>
      </w:r>
      <w:r>
        <w:t xml:space="preserve">them from the denominator. Using basic percentages over-allocates gain</w:t>
      </w:r>
      <w:r>
        <w:t xml:space="preserve"> </w:t>
      </w:r>
      <w:r>
        <w:t xml:space="preserve">to Dr. Chandra and Ms. Stowe and under-allocates to the other</w:t>
      </w:r>
      <w:r>
        <w:t xml:space="preserve"> </w:t>
      </w:r>
      <w:r>
        <w:t xml:space="preserve">shareholders (e.g., Dr. Chandra’s share: 52% × $430,200,000 =</w:t>
      </w:r>
      <w:r>
        <w:t xml:space="preserve"> </w:t>
      </w:r>
      <w:r>
        <w:t xml:space="preserve">$223,704,000 vs. 50.83% = ~$218,670,660, a ~$5,000,000 difference</w:t>
      </w:r>
      <w:r>
        <w:t xml:space="preserve"> </w:t>
      </w:r>
      <w:r>
        <w:t xml:space="preserve">on the Memo’s figures; larger once the gain itself is corrected per C-2</w:t>
      </w:r>
      <w:r>
        <w:t xml:space="preserve"> </w:t>
      </w:r>
      <w:r>
        <w:t xml:space="preserve">and H-2).</w:t>
      </w:r>
    </w:p>
    <w:bookmarkEnd w:id="38"/>
    <w:bookmarkStart w:id="39" w:name="X610c051896621f18e7a6dc184988c5c91f319c0"/>
    <w:p>
      <w:pPr>
        <w:pStyle w:val="Heading4"/>
      </w:pPr>
      <w:r>
        <w:t xml:space="preserve">M-6. Shareholder Count and State Residency Discrepancy vs. the Capitalization Table</w:t>
      </w:r>
    </w:p>
    <w:p>
      <w:pPr>
        <w:pStyle w:val="FirstParagraph"/>
      </w:pPr>
      <w:r>
        <w:rPr>
          <w:b/>
          <w:bCs/>
        </w:rPr>
        <w:t xml:space="preserve">Severity: Medium</w:t>
      </w:r>
    </w:p>
    <w:p>
      <w:pPr>
        <w:pStyle w:val="BodyText"/>
      </w:pPr>
      <w:r>
        <w:t xml:space="preserve">The Memo (Section II.A) states that</w:t>
      </w:r>
      <w:r>
        <w:t xml:space="preserve"> </w:t>
      </w:r>
      <w:r>
        <w:t xml:space="preserve">“</w:t>
      </w:r>
      <w:r>
        <w:t xml:space="preserve">Fourteen (14) angel investors and</w:t>
      </w:r>
      <w:r>
        <w:t xml:space="preserve"> </w:t>
      </w:r>
      <w:r>
        <w:t xml:space="preserve">early employees hold the remaining 20%</w:t>
      </w:r>
      <w:r>
        <w:t xml:space="preserve">”</w:t>
      </w:r>
      <w:r>
        <w:t xml:space="preserve"> </w:t>
      </w:r>
      <w:r>
        <w:t xml:space="preserve">with residency of</w:t>
      </w:r>
      <w:r>
        <w:t xml:space="preserve"> </w:t>
      </w:r>
      <w:r>
        <w:t xml:space="preserve">“</w:t>
      </w:r>
      <w:r>
        <w:t xml:space="preserve">eleven (11)</w:t>
      </w:r>
      <w:r>
        <w:t xml:space="preserve"> </w:t>
      </w:r>
      <w:r>
        <w:t xml:space="preserve">in North Carolina, two (2) in California, and one (1) in New York.</w:t>
      </w:r>
      <w:r>
        <w:t xml:space="preserve">”</w:t>
      </w:r>
      <w:r>
        <w:t xml:space="preserve"> </w:t>
      </w:r>
      <w:r>
        <w:t xml:space="preserve">The</w:t>
      </w:r>
      <w:r>
        <w:t xml:space="preserve"> </w:t>
      </w:r>
      <w:r>
        <w:t xml:space="preserve">capitalization table lists</w:t>
      </w:r>
      <w:r>
        <w:t xml:space="preserve"> </w:t>
      </w:r>
      <w:r>
        <w:rPr>
          <w:b/>
          <w:bCs/>
        </w:rPr>
        <w:t xml:space="preserve">seventeen (17)</w:t>
      </w:r>
      <w:r>
        <w:t xml:space="preserve"> </w:t>
      </w:r>
      <w:r>
        <w:t xml:space="preserve">individual non-founder</w:t>
      </w:r>
      <w:r>
        <w:t xml:space="preserve"> </w:t>
      </w:r>
      <w:r>
        <w:t xml:space="preserve">shareholders, with residency of</w:t>
      </w:r>
      <w:r>
        <w:t xml:space="preserve"> </w:t>
      </w:r>
      <w:r>
        <w:rPr>
          <w:b/>
          <w:bCs/>
        </w:rPr>
        <w:t xml:space="preserve">fourteen (14) in North Carolina, two</w:t>
      </w:r>
      <w:r>
        <w:rPr>
          <w:b/>
          <w:bCs/>
        </w:rPr>
        <w:t xml:space="preserve"> </w:t>
      </w:r>
      <w:r>
        <w:rPr>
          <w:b/>
          <w:bCs/>
        </w:rPr>
        <w:t xml:space="preserve">(2) in California, and one (1) in New York.</w:t>
      </w:r>
      <w:r>
        <w:t xml:space="preserve"> </w:t>
      </w:r>
      <w:r>
        <w:t xml:space="preserve">The Memo understates the</w:t>
      </w:r>
      <w:r>
        <w:t xml:space="preserve"> </w:t>
      </w:r>
      <w:r>
        <w:t xml:space="preserve">non-founder count by three and the North Carolina-resident count by</w:t>
      </w:r>
      <w:r>
        <w:t xml:space="preserve"> </w:t>
      </w:r>
      <w:r>
        <w:t xml:space="preserve">three. (The Thornfield report also states 14, suggesting both relied on</w:t>
      </w:r>
      <w:r>
        <w:t xml:space="preserve"> </w:t>
      </w:r>
      <w:r>
        <w:t xml:space="preserve">a different or earlier count.) This affects the accuracy of the</w:t>
      </w:r>
      <w:r>
        <w:t xml:space="preserve"> </w:t>
      </w:r>
      <w:r>
        <w:t xml:space="preserve">state-tax analysis (Section VI.A), which is built on the understated</w:t>
      </w:r>
      <w:r>
        <w:t xml:space="preserve"> </w:t>
      </w:r>
      <w:r>
        <w:t xml:space="preserve">North Carolina headcount, and the accuracy of the factual record</w:t>
      </w:r>
      <w:r>
        <w:t xml:space="preserve"> </w:t>
      </w:r>
      <w:r>
        <w:t xml:space="preserve">generally.</w:t>
      </w:r>
    </w:p>
    <w:bookmarkEnd w:id="39"/>
    <w:bookmarkStart w:id="40" w:name="X104c916a18d2540d59e61935eadba46a097f525"/>
    <w:p>
      <w:pPr>
        <w:pStyle w:val="Heading4"/>
      </w:pPr>
      <w:r>
        <w:t xml:space="preserve">M-7. Rollover Tax-Funding Gap Not Addressed</w:t>
      </w:r>
    </w:p>
    <w:p>
      <w:pPr>
        <w:pStyle w:val="FirstParagraph"/>
      </w:pPr>
      <w:r>
        <w:rPr>
          <w:b/>
          <w:bCs/>
        </w:rPr>
        <w:t xml:space="preserve">Severity: Medium</w:t>
      </w:r>
    </w:p>
    <w:p>
      <w:pPr>
        <w:pStyle w:val="BodyText"/>
      </w:pPr>
      <w:r>
        <w:t xml:space="preserve">The Memo (Section V.B) states that Dr. Chandra</w:t>
      </w:r>
      <w:r>
        <w:t xml:space="preserve"> </w:t>
      </w:r>
      <w:r>
        <w:t xml:space="preserve">“</w:t>
      </w:r>
      <w:r>
        <w:t xml:space="preserve">will recognize his full</w:t>
      </w:r>
      <w:r>
        <w:t xml:space="preserve"> </w:t>
      </w:r>
      <w:r>
        <w:t xml:space="preserve">pro rata share of the deemed sale gain and then contribute a portion of</w:t>
      </w:r>
      <w:r>
        <w:t xml:space="preserve"> </w:t>
      </w:r>
      <w:r>
        <w:t xml:space="preserve">his after-tax proceeds to the new entity,</w:t>
      </w:r>
      <w:r>
        <w:t xml:space="preserve">”</w:t>
      </w:r>
      <w:r>
        <w:t xml:space="preserve"> </w:t>
      </w:r>
      <w:r>
        <w:t xml:space="preserve">and that</w:t>
      </w:r>
      <w:r>
        <w:t xml:space="preserve"> </w:t>
      </w:r>
      <w:r>
        <w:t xml:space="preserve">“</w:t>
      </w:r>
      <w:r>
        <w:t xml:space="preserve">[t]he rollover</w:t>
      </w:r>
      <w:r>
        <w:t xml:space="preserve"> </w:t>
      </w:r>
      <w:r>
        <w:t xml:space="preserve">does not reduce or defer Dr. Chandra’s recognition of deemed sale gain.</w:t>
      </w:r>
      <w:r>
        <w:t xml:space="preserve">”</w:t>
      </w:r>
      <w:r>
        <w:t xml:space="preserve"> </w:t>
      </w:r>
      <w:r>
        <w:t xml:space="preserve">On the Memo’s figures, Dr. Chandra recognizes ~$223,704,000 of deemed</w:t>
      </w:r>
      <w:r>
        <w:t xml:space="preserve"> </w:t>
      </w:r>
      <w:r>
        <w:t xml:space="preserve">sale gain but receives only $155,400,000 in cash at closing (less his</w:t>
      </w:r>
      <w:r>
        <w:t xml:space="preserve"> </w:t>
      </w:r>
      <w:r>
        <w:t xml:space="preserve">~$10,264,865 pro-rata escrow holdback, per the cap table) plus</w:t>
      </w:r>
      <w:r>
        <w:t xml:space="preserve"> </w:t>
      </w:r>
      <w:r>
        <w:t xml:space="preserve">$37,000,000 of rolled equity. The federal and North Carolina tax on the</w:t>
      </w:r>
      <w:r>
        <w:t xml:space="preserve"> </w:t>
      </w:r>
      <w:r>
        <w:t xml:space="preserve">full deemed sale gain (~$53,000,000 federal at 23.8% plus</w:t>
      </w:r>
      <w:r>
        <w:t xml:space="preserve"> </w:t>
      </w:r>
      <w:r>
        <w:t xml:space="preserve">~$10,000,000 North Carolina) must be funded from the cash proceeds</w:t>
      </w:r>
      <w:r>
        <w:t xml:space="preserve"> </w:t>
      </w:r>
      <w:r>
        <w:t xml:space="preserve">while $37,000,000 is committed to the rollover and ~$10,300,000 of</w:t>
      </w:r>
      <w:r>
        <w:t xml:space="preserve"> </w:t>
      </w:r>
      <w:r>
        <w:t xml:space="preserve">cash is tied up in escrow until September 2026. The Memo does not flag</w:t>
      </w:r>
      <w:r>
        <w:t xml:space="preserve"> </w:t>
      </w:r>
      <w:r>
        <w:t xml:space="preserve">this tax-funding/liquidity friction, does not analyze whether the</w:t>
      </w:r>
      <w:r>
        <w:t xml:space="preserve"> </w:t>
      </w:r>
      <w:r>
        <w:t xml:space="preserve">rollover could be structured to mitigate it (e.g., a deferral-oriented</w:t>
      </w:r>
      <w:r>
        <w:t xml:space="preserve"> </w:t>
      </w:r>
      <w:r>
        <w:t xml:space="preserve">structure), and does not reconcile its</w:t>
      </w:r>
      <w:r>
        <w:t xml:space="preserve"> </w:t>
      </w:r>
      <w:r>
        <w:t xml:space="preserve">“</w:t>
      </w:r>
      <w:r>
        <w:t xml:space="preserve">receive cash then contribute</w:t>
      </w:r>
      <w:r>
        <w:t xml:space="preserve">”</w:t>
      </w:r>
      <w:r>
        <w:t xml:space="preserve"> </w:t>
      </w:r>
      <w:r>
        <w:t xml:space="preserve">framing with SPA Section 2.4(b), which provides that the rollover shares</w:t>
      </w:r>
      <w:r>
        <w:t xml:space="preserve"> </w:t>
      </w:r>
      <w:r>
        <w:t xml:space="preserve">“</w:t>
      </w:r>
      <w:r>
        <w:t xml:space="preserve">shall be converted into the right to receive equity interests in</w:t>
      </w:r>
      <w:r>
        <w:t xml:space="preserve"> </w:t>
      </w:r>
      <w:r>
        <w:t xml:space="preserve">Parent</w:t>
      </w:r>
      <w:r>
        <w:t xml:space="preserve">”</w:t>
      </w:r>
      <w:r>
        <w:t xml:space="preserve"> </w:t>
      </w:r>
      <w:r>
        <w:t xml:space="preserve">(an exchange, not a cash-then-contribute sequence).</w:t>
      </w:r>
    </w:p>
    <w:bookmarkEnd w:id="40"/>
    <w:bookmarkStart w:id="41" w:name="X6d8420547d4ab74efc607ca68d9b538b9f1c22c"/>
    <w:p>
      <w:pPr>
        <w:pStyle w:val="Heading4"/>
      </w:pPr>
      <w:r>
        <w:t xml:space="preserve">M-8. Tension Between SPA Representations/Closing Conditions and the S-Election Findings Not Flagged</w:t>
      </w:r>
    </w:p>
    <w:p>
      <w:pPr>
        <w:pStyle w:val="FirstParagraph"/>
      </w:pPr>
      <w:r>
        <w:rPr>
          <w:b/>
          <w:bCs/>
        </w:rPr>
        <w:t xml:space="preserve">Severity: Medium</w:t>
      </w:r>
    </w:p>
    <w:p>
      <w:pPr>
        <w:pStyle w:val="BodyText"/>
      </w:pPr>
      <w:r>
        <w:t xml:space="preserve">As detailed in C-1, the SPA contains an unqualified representation</w:t>
      </w:r>
      <w:r>
        <w:t xml:space="preserve"> </w:t>
      </w:r>
      <w:r>
        <w:t xml:space="preserve">(Section 4.9(a)) that each shareholder is an eligible S-corporation</w:t>
      </w:r>
      <w:r>
        <w:t xml:space="preserve"> </w:t>
      </w:r>
      <w:r>
        <w:t xml:space="preserve">shareholder, a representation (Section 2.5) that each restricted-stock</w:t>
      </w:r>
      <w:r>
        <w:t xml:space="preserve"> </w:t>
      </w:r>
      <w:r>
        <w:t xml:space="preserve">holder is a U.S. citizen or resident, and a closing condition (Section</w:t>
      </w:r>
      <w:r>
        <w:t xml:space="preserve"> </w:t>
      </w:r>
      <w:r>
        <w:t xml:space="preserve">8.2(c)) that the Company maintained valid S-corporation status</w:t>
      </w:r>
      <w:r>
        <w:t xml:space="preserve"> </w:t>
      </w:r>
      <w:r>
        <w:t xml:space="preserve">continuously through closing. The Thornfield report and the cap table</w:t>
      </w:r>
      <w:r>
        <w:t xml:space="preserve"> </w:t>
      </w:r>
      <w:r>
        <w:t xml:space="preserve">place these representations and the closing condition at risk. The Memo</w:t>
      </w:r>
      <w:r>
        <w:t xml:space="preserve"> </w:t>
      </w:r>
      <w:r>
        <w:t xml:space="preserve">does not flag the tension between the SPA’s unqualified eligibility</w:t>
      </w:r>
      <w:r>
        <w:t xml:space="preserve"> </w:t>
      </w:r>
      <w:r>
        <w:t xml:space="preserve">representations and the open eligibility items, nor the risk that the</w:t>
      </w:r>
      <w:r>
        <w:t xml:space="preserve"> </w:t>
      </w:r>
      <w:r>
        <w:t xml:space="preserve">closing condition cannot be satisfied. The Memo should cross-reference</w:t>
      </w:r>
      <w:r>
        <w:t xml:space="preserve"> </w:t>
      </w:r>
      <w:r>
        <w:t xml:space="preserve">these provisions and the diligence findings.</w:t>
      </w:r>
    </w:p>
    <w:bookmarkEnd w:id="41"/>
    <w:bookmarkStart w:id="42" w:name="X7b07018df84a9c1a2d96b932a52444e2f5748fe"/>
    <w:p>
      <w:pPr>
        <w:pStyle w:val="Heading4"/>
      </w:pPr>
      <w:r>
        <w:t xml:space="preserve">M-9. New York Sales-and-Use Tax Exposure ($150,000–$300,000) Omitted</w:t>
      </w:r>
    </w:p>
    <w:p>
      <w:pPr>
        <w:pStyle w:val="FirstParagraph"/>
      </w:pPr>
      <w:r>
        <w:rPr>
          <w:b/>
          <w:bCs/>
        </w:rPr>
        <w:t xml:space="preserve">Severity: Medium</w:t>
      </w:r>
    </w:p>
    <w:p>
      <w:pPr>
        <w:pStyle w:val="BodyText"/>
      </w:pPr>
      <w:r>
        <w:t xml:space="preserve">The Thornfield report (Section X.A) identifies a New York sales-and-use</w:t>
      </w:r>
      <w:r>
        <w:t xml:space="preserve"> </w:t>
      </w:r>
      <w:r>
        <w:t xml:space="preserve">tax exposure of $150,000–$300,000 (including penalties and interest)</w:t>
      </w:r>
      <w:r>
        <w:t xml:space="preserve"> </w:t>
      </w:r>
      <w:r>
        <w:t xml:space="preserve">arising from Prism’s failure to collect New York sales tax on SaaS</w:t>
      </w:r>
      <w:r>
        <w:t xml:space="preserve"> </w:t>
      </w:r>
      <w:r>
        <w:t xml:space="preserve">subscription revenue sourced to New York customers (New York treats</w:t>
      </w:r>
      <w:r>
        <w:t xml:space="preserve"> </w:t>
      </w:r>
      <w:r>
        <w:t xml:space="preserve">certain SaaS as taxable pre-written computer software), and recommends a</w:t>
      </w:r>
      <w:r>
        <w:t xml:space="preserve"> </w:t>
      </w:r>
      <w:r>
        <w:t xml:space="preserve">voluntary disclosure agreement. The Memo’s state-tax analysis (Section</w:t>
      </w:r>
      <w:r>
        <w:t xml:space="preserve"> </w:t>
      </w:r>
      <w:r>
        <w:t xml:space="preserve">VI) addresses only income taxes and does not mention sales-and-use tax</w:t>
      </w:r>
      <w:r>
        <w:t xml:space="preserve"> </w:t>
      </w:r>
      <w:r>
        <w:t xml:space="preserve">or this exposure. Sales-and-use tax liabilities survive closing and are</w:t>
      </w:r>
      <w:r>
        <w:t xml:space="preserve"> </w:t>
      </w:r>
      <w:r>
        <w:t xml:space="preserve">typically allocated to the seller under the indemnity; the omission is</w:t>
      </w:r>
      <w:r>
        <w:t xml:space="preserve"> </w:t>
      </w:r>
      <w:r>
        <w:t xml:space="preserve">relevant to the parties’ risk allocation.</w:t>
      </w:r>
    </w:p>
    <w:bookmarkEnd w:id="42"/>
    <w:bookmarkStart w:id="43" w:name="X76341cfb3ab24a5704471cb802c42b013267265"/>
    <w:p>
      <w:pPr>
        <w:pStyle w:val="Heading4"/>
      </w:pPr>
      <w:r>
        <w:t xml:space="preserve">M-10. Gain Character (Ordinary vs. Capital) Not Quantified</w:t>
      </w:r>
    </w:p>
    <w:p>
      <w:pPr>
        <w:pStyle w:val="FirstParagraph"/>
      </w:pPr>
      <w:r>
        <w:rPr>
          <w:b/>
          <w:bCs/>
        </w:rPr>
        <w:t xml:space="preserve">Severity: Medium</w:t>
      </w:r>
    </w:p>
    <w:p>
      <w:pPr>
        <w:pStyle w:val="BodyText"/>
      </w:pPr>
      <w:r>
        <w:t xml:space="preserve">The Memo (Section V.A) correctly states that gain attributable to</w:t>
      </w:r>
      <w:r>
        <w:t xml:space="preserve"> </w:t>
      </w:r>
      <w:r>
        <w:t xml:space="preserve">accounts receivable, Section 1245/1250 depreciation recapture, and other</w:t>
      </w:r>
      <w:r>
        <w:t xml:space="preserve"> </w:t>
      </w:r>
      <w:r>
        <w:t xml:space="preserve">ordinary-income assets will be ordinary, while gain on capital assets</w:t>
      </w:r>
      <w:r>
        <w:t xml:space="preserve"> </w:t>
      </w:r>
      <w:r>
        <w:t xml:space="preserve">and Section 1231 property will be long-term capital. However, the Memo</w:t>
      </w:r>
      <w:r>
        <w:t xml:space="preserve"> </w:t>
      </w:r>
      <w:r>
        <w:t xml:space="preserve">does not quantify the ordinary vs. capital split, and the</w:t>
      </w:r>
      <w:r>
        <w:t xml:space="preserve"> </w:t>
      </w:r>
      <w:r>
        <w:t xml:space="preserve">per-shareholder gain figures (Section V.B) are presented without</w:t>
      </w:r>
      <w:r>
        <w:t xml:space="preserve"> </w:t>
      </w:r>
      <w:r>
        <w:t xml:space="preserve">character breakdown — effectively implying the gain is capital and</w:t>
      </w:r>
      <w:r>
        <w:t xml:space="preserve"> </w:t>
      </w:r>
      <w:r>
        <w:t xml:space="preserve">eligible for the 20% preferential rate. The accounts receivable alone</w:t>
      </w:r>
      <w:r>
        <w:t xml:space="preserve"> </w:t>
      </w:r>
      <w:r>
        <w:t xml:space="preserve">($24,300,000, Class III) is ordinary income, and a portion of the</w:t>
      </w:r>
      <w:r>
        <w:t xml:space="preserve"> </w:t>
      </w:r>
      <w:r>
        <w:t xml:space="preserve">real-property and FF&amp;E gain is depreciation recapture. The Memo should</w:t>
      </w:r>
      <w:r>
        <w:t xml:space="preserve"> </w:t>
      </w:r>
      <w:r>
        <w:t xml:space="preserve">quantify the ordinary-income component, which is taxed at up to 37%</w:t>
      </w:r>
      <w:r>
        <w:t xml:space="preserve"> </w:t>
      </w:r>
      <w:r>
        <w:t xml:space="preserve">(plus 3.8% NIIT) rather than 23.8%.</w:t>
      </w:r>
    </w:p>
    <w:bookmarkEnd w:id="43"/>
    <w:bookmarkStart w:id="44" w:name="X8b389a61aca43461f9a024b4f70ead199cb94fd"/>
    <w:p>
      <w:pPr>
        <w:pStyle w:val="Heading4"/>
      </w:pPr>
      <w:r>
        <w:t xml:space="preserve">M-11. State-Tax Analysis Incomplete for Virginia and New York; Non-Resident Withholding/Composite Returns Not Addressed</w:t>
      </w:r>
    </w:p>
    <w:p>
      <w:pPr>
        <w:pStyle w:val="FirstParagraph"/>
      </w:pPr>
      <w:r>
        <w:rPr>
          <w:b/>
          <w:bCs/>
        </w:rPr>
        <w:t xml:space="preserve">Severity: Medium</w:t>
      </w:r>
    </w:p>
    <w:p>
      <w:pPr>
        <w:pStyle w:val="BodyText"/>
      </w:pPr>
      <w:r>
        <w:t xml:space="preserve">The Memo (Section VI.C) addresses Virginia and New York only</w:t>
      </w:r>
      <w:r>
        <w:t xml:space="preserve"> </w:t>
      </w:r>
      <w:r>
        <w:t xml:space="preserve">generically, advising shareholders to</w:t>
      </w:r>
      <w:r>
        <w:t xml:space="preserve"> </w:t>
      </w:r>
      <w:r>
        <w:t xml:space="preserve">“</w:t>
      </w:r>
      <w:r>
        <w:t xml:space="preserve">consult with their individual tax</w:t>
      </w:r>
      <w:r>
        <w:t xml:space="preserve"> </w:t>
      </w:r>
      <w:r>
        <w:t xml:space="preserve">advisors.</w:t>
      </w:r>
      <w:r>
        <w:t xml:space="preserve">”</w:t>
      </w:r>
      <w:r>
        <w:t xml:space="preserve"> </w:t>
      </w:r>
      <w:r>
        <w:t xml:space="preserve">The Memo does not address: (a) Virginia and New York</w:t>
      </w:r>
      <w:r>
        <w:t xml:space="preserve"> </w:t>
      </w:r>
      <w:r>
        <w:t xml:space="preserve">conformity to the Section 338(h)(10) election; (b) non-resident</w:t>
      </w:r>
      <w:r>
        <w:t xml:space="preserve"> </w:t>
      </w:r>
      <w:r>
        <w:t xml:space="preserve">shareholder withholding obligations and the availability of composite</w:t>
      </w:r>
      <w:r>
        <w:t xml:space="preserve"> </w:t>
      </w:r>
      <w:r>
        <w:t xml:space="preserve">returns in North Carolina, Virginia, California, and New York; or (c)</w:t>
      </w:r>
      <w:r>
        <w:t xml:space="preserve"> </w:t>
      </w:r>
      <w:r>
        <w:t xml:space="preserve">the validity of the New York state-level S election (Form CT-6,</w:t>
      </w:r>
      <w:r>
        <w:t xml:space="preserve"> </w:t>
      </w:r>
      <w:r>
        <w:t xml:space="preserve">effective 2019, per Thornfield Section V.B), which would be invalid if</w:t>
      </w:r>
      <w:r>
        <w:t xml:space="preserve"> </w:t>
      </w:r>
      <w:r>
        <w:t xml:space="preserve">the federal S election is invalid. The state-tax analysis is materially</w:t>
      </w:r>
      <w:r>
        <w:t xml:space="preserve"> </w:t>
      </w:r>
      <w:r>
        <w:t xml:space="preserve">incomplete for a transaction generating nine-figure pass-through gain</w:t>
      </w:r>
      <w:r>
        <w:t xml:space="preserve"> </w:t>
      </w:r>
      <w:r>
        <w:t xml:space="preserve">across four states.</w:t>
      </w:r>
    </w:p>
    <w:bookmarkEnd w:id="44"/>
    <w:bookmarkStart w:id="45" w:name="X653af73dfe5cfe80707337fa0f346c2de3876e2"/>
    <w:p>
      <w:pPr>
        <w:pStyle w:val="Heading4"/>
      </w:pPr>
      <w:r>
        <w:t xml:space="preserve">M-12. California Sourcing of the Deemed Sale Gain and CA Conformity to Section 338(h)(10) Not Analyzed</w:t>
      </w:r>
    </w:p>
    <w:p>
      <w:pPr>
        <w:pStyle w:val="FirstParagraph"/>
      </w:pPr>
      <w:r>
        <w:rPr>
          <w:b/>
          <w:bCs/>
        </w:rPr>
        <w:t xml:space="preserve">Severity: Medium</w:t>
      </w:r>
    </w:p>
    <w:p>
      <w:pPr>
        <w:pStyle w:val="BodyText"/>
      </w:pPr>
      <w:r>
        <w:t xml:space="preserve">The Memo (Section VI.B) assumes the California 1.5% entity-level</w:t>
      </w:r>
      <w:r>
        <w:t xml:space="preserve"> </w:t>
      </w:r>
      <w:r>
        <w:t xml:space="preserve">S-corporation tax applies to the</w:t>
      </w:r>
      <w:r>
        <w:t xml:space="preserve"> </w:t>
      </w:r>
      <w:r>
        <w:t xml:space="preserve">“</w:t>
      </w:r>
      <w:r>
        <w:t xml:space="preserve">California-apportioned share of the</w:t>
      </w:r>
      <w:r>
        <w:t xml:space="preserve"> </w:t>
      </w:r>
      <w:r>
        <w:t xml:space="preserve">deemed sale gain,</w:t>
      </w:r>
      <w:r>
        <w:t xml:space="preserve">”</w:t>
      </w:r>
      <w:r>
        <w:t xml:space="preserve"> </w:t>
      </w:r>
      <w:r>
        <w:t xml:space="preserve">but does not analyze (a) whether California conforms</w:t>
      </w:r>
      <w:r>
        <w:t xml:space="preserve"> </w:t>
      </w:r>
      <w:r>
        <w:t xml:space="preserve">to the federal Section 338(h)(10) election for state purposes, or (b)</w:t>
      </w:r>
      <w:r>
        <w:t xml:space="preserve"> </w:t>
      </w:r>
      <w:r>
        <w:t xml:space="preserve">how the one-time deemed sale gain on all assets is sourced/apportioned</w:t>
      </w:r>
      <w:r>
        <w:t xml:space="preserve"> </w:t>
      </w:r>
      <w:r>
        <w:t xml:space="preserve">to California (the deemed sale of all assets in a 338(h)(10) may be</w:t>
      </w:r>
      <w:r>
        <w:t xml:space="preserve"> </w:t>
      </w:r>
      <w:r>
        <w:t xml:space="preserve">treated as a non-recurring transaction with sourcing rules that differ</w:t>
      </w:r>
      <w:r>
        <w:t xml:space="preserve"> </w:t>
      </w:r>
      <w:r>
        <w:t xml:space="preserve">from ordinary business-income apportionment). The Memo acknowledges its</w:t>
      </w:r>
      <w:r>
        <w:t xml:space="preserve"> </w:t>
      </w:r>
      <w:r>
        <w:t xml:space="preserve">California analysis is</w:t>
      </w:r>
      <w:r>
        <w:t xml:space="preserve"> </w:t>
      </w:r>
      <w:r>
        <w:t xml:space="preserve">“</w:t>
      </w:r>
      <w:r>
        <w:t xml:space="preserve">brief,</w:t>
      </w:r>
      <w:r>
        <w:t xml:space="preserve">”</w:t>
      </w:r>
      <w:r>
        <w:t xml:space="preserve"> </w:t>
      </w:r>
      <w:r>
        <w:t xml:space="preserve">but the sourcing of a ~$360,000,000+</w:t>
      </w:r>
      <w:r>
        <w:t xml:space="preserve"> </w:t>
      </w:r>
      <w:r>
        <w:t xml:space="preserve">deemed sale gain is a material dollar item for the two</w:t>
      </w:r>
      <w:r>
        <w:t xml:space="preserve"> </w:t>
      </w:r>
      <w:r>
        <w:t xml:space="preserve">California-resident shareholders and for the entity-level tax.</w:t>
      </w:r>
    </w:p>
    <w:bookmarkEnd w:id="45"/>
    <w:bookmarkStart w:id="46" w:name="X29e9c3e1fc17d3457c2616a63812bedbf375977"/>
    <w:p>
      <w:pPr>
        <w:pStyle w:val="Heading4"/>
      </w:pPr>
      <w:r>
        <w:t xml:space="preserve">M-13. Counsel-Role Inconsistency: Memo Says CSW Is Buyer’s Counsel; SPA Pays CSW</w:t>
      </w:r>
      <w:r>
        <w:t xml:space="preserve"> </w:t>
      </w:r>
      <w:r>
        <w:t xml:space="preserve">“</w:t>
      </w:r>
      <w:r>
        <w:t xml:space="preserve">as Company Counsel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Severity: Medium</w:t>
      </w:r>
    </w:p>
    <w:p>
      <w:pPr>
        <w:pStyle w:val="BodyText"/>
      </w:pPr>
      <w:r>
        <w:rPr>
          <w:b/>
          <w:bCs/>
        </w:rPr>
        <w:t xml:space="preserve">The issue.</w:t>
      </w:r>
      <w:r>
        <w:t xml:space="preserve"> </w:t>
      </w:r>
      <w:r>
        <w:t xml:space="preserve">The Memo is addressed</w:t>
      </w:r>
      <w:r>
        <w:t xml:space="preserve"> </w:t>
      </w:r>
      <w:r>
        <w:t xml:space="preserve">“</w:t>
      </w:r>
      <w:r>
        <w:t xml:space="preserve">TO: Ridgeline Capital Partners</w:t>
      </w:r>
      <w:r>
        <w:t xml:space="preserve"> </w:t>
      </w:r>
      <w:r>
        <w:t xml:space="preserve">Fund III, LP</w:t>
      </w:r>
      <w:r>
        <w:t xml:space="preserve">”</w:t>
      </w:r>
      <w:r>
        <w:t xml:space="preserve"> </w:t>
      </w:r>
      <w:r>
        <w:t xml:space="preserve">“</w:t>
      </w:r>
      <w:r>
        <w:t xml:space="preserve">FROM: James Calloway, Senior Tax Partner, Calloway, Stern</w:t>
      </w:r>
      <w:r>
        <w:t xml:space="preserve"> </w:t>
      </w:r>
      <w:r>
        <w:t xml:space="preserve">&amp; Whitaker LLP,</w:t>
      </w:r>
      <w:r>
        <w:t xml:space="preserve">”</w:t>
      </w:r>
      <w:r>
        <w:t xml:space="preserve"> </w:t>
      </w:r>
      <w:r>
        <w:t xml:space="preserve">and the Memo’s advisor list (Section II.A) describes</w:t>
      </w:r>
      <w:r>
        <w:t xml:space="preserve"> </w:t>
      </w:r>
      <w:r>
        <w:t xml:space="preserve">“</w:t>
      </w:r>
      <w:r>
        <w:t xml:space="preserve">Calloway, Stern &amp; Whitaker LLP — Tax and deal counsel to Ridgeline</w:t>
      </w:r>
      <w:r>
        <w:t xml:space="preserve"> </w:t>
      </w:r>
      <w:r>
        <w:t xml:space="preserve">Capital Partners.</w:t>
      </w:r>
      <w:r>
        <w:t xml:space="preserve">”</w:t>
      </w:r>
      <w:r>
        <w:t xml:space="preserve"> </w:t>
      </w:r>
      <w:r>
        <w:t xml:space="preserve">The Thornfield report likewise states it was engaged</w:t>
      </w:r>
      <w:r>
        <w:t xml:space="preserve"> </w:t>
      </w:r>
      <w:r>
        <w:t xml:space="preserve">“</w:t>
      </w:r>
      <w:r>
        <w:t xml:space="preserve">through its tax counsel Calloway, Stern &amp; Whitaker LLP.</w:t>
      </w:r>
      <w:r>
        <w:t xml:space="preserve">”</w:t>
      </w:r>
      <w:r>
        <w:t xml:space="preserve"> </w:t>
      </w:r>
      <w:r>
        <w:t xml:space="preserve">In his</w:t>
      </w:r>
      <w:r>
        <w:t xml:space="preserve"> </w:t>
      </w:r>
      <w:r>
        <w:t xml:space="preserve">November 20, 2024 email, Mr. Calloway himself writes:</w:t>
      </w:r>
      <w:r>
        <w:t xml:space="preserve"> </w:t>
      </w:r>
      <w:r>
        <w:t xml:space="preserve">“</w:t>
      </w:r>
      <w:r>
        <w:t xml:space="preserve">I recognize that</w:t>
      </w:r>
      <w:r>
        <w:t xml:space="preserve"> </w:t>
      </w:r>
      <w:r>
        <w:t xml:space="preserve">our primary engagement is with Ridgeline as the buyer, and the selling</w:t>
      </w:r>
      <w:r>
        <w:t xml:space="preserve"> </w:t>
      </w:r>
      <w:r>
        <w:t xml:space="preserve">shareholders are not our clients.</w:t>
      </w:r>
      <w:r>
        <w:t xml:space="preserve">”</w:t>
      </w:r>
    </w:p>
    <w:p>
      <w:pPr>
        <w:pStyle w:val="BodyText"/>
      </w:pPr>
      <w:r>
        <w:t xml:space="preserve">The Stock Purchase Agreement says the opposite.</w:t>
      </w:r>
      <w:r>
        <w:t xml:space="preserve"> </w:t>
      </w:r>
      <w:r>
        <w:rPr>
          <w:b/>
          <w:bCs/>
        </w:rPr>
        <w:t xml:space="preserve">SPA Section 2.6(b)</w:t>
      </w:r>
      <w:r>
        <w:t xml:space="preserve"> </w:t>
      </w:r>
      <w:r>
        <w:t xml:space="preserve">provides that the $7,000,000 in seller transaction expenses includes</w:t>
      </w:r>
      <w:r>
        <w:t xml:space="preserve"> </w:t>
      </w:r>
      <w:r>
        <w:t xml:space="preserve">“</w:t>
      </w:r>
      <w:r>
        <w:t xml:space="preserve">legal fees of Two Million Two Hundred Thousand Dollars ($2,200,000)</w:t>
      </w:r>
      <w:r>
        <w:t xml:space="preserve"> </w:t>
      </w:r>
      <w:r>
        <w:t xml:space="preserve">payable to Calloway, Stern &amp; Whitaker LLP</w:t>
      </w:r>
      <w:r>
        <w:t xml:space="preserve"> </w:t>
      </w:r>
      <w:r>
        <w:rPr>
          <w:b/>
          <w:bCs/>
        </w:rPr>
        <w:t xml:space="preserve">(as Company counsel)</w:t>
      </w:r>
      <w:r>
        <w:t xml:space="preserve">.</w:t>
      </w:r>
      <w:r>
        <w:t xml:space="preserve">”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 </w:t>
      </w:r>
      <w:r>
        <w:t xml:space="preserve">is defined in SPA Section 1.1 as Prism Health Analytics, Inc.</w:t>
      </w:r>
      <w:r>
        <w:t xml:space="preserve"> </w:t>
      </w:r>
      <w:r>
        <w:t xml:space="preserve">— the seller/target, not the buyer. Seller transaction expenses are</w:t>
      </w:r>
      <w:r>
        <w:t xml:space="preserve"> </w:t>
      </w:r>
      <w:r>
        <w:t xml:space="preserve">borne by the selling shareholders (SPA Section 2.6(b)). CSW is therefore</w:t>
      </w:r>
      <w:r>
        <w:t xml:space="preserve"> </w:t>
      </w:r>
      <w:r>
        <w:t xml:space="preserve">being paid $2,200,000 as Prism’s (the seller’s) counsel, out of the</w:t>
      </w:r>
      <w:r>
        <w:t xml:space="preserve"> </w:t>
      </w:r>
      <w:r>
        <w:t xml:space="preserve">sellers’ proceeds, while simultaneously representing to Ridgeline (the</w:t>
      </w:r>
      <w:r>
        <w:t xml:space="preserve"> </w:t>
      </w:r>
      <w:r>
        <w:t xml:space="preserve">buyer) that it is the buyer’s tax and deal counsel and producing a</w:t>
      </w:r>
      <w:r>
        <w:t xml:space="preserve"> </w:t>
      </w:r>
      <w:r>
        <w:t xml:space="preserve">privileged memo addressed to the buyer.</w:t>
      </w:r>
    </w:p>
    <w:p>
      <w:pPr>
        <w:pStyle w:val="BodyText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This is not a tax-math error, but it is a</w:t>
      </w:r>
      <w:r>
        <w:t xml:space="preserve"> </w:t>
      </w:r>
      <w:r>
        <w:t xml:space="preserve">significant inconsistency that bears on (a) the scope and reliability of</w:t>
      </w:r>
      <w:r>
        <w:t xml:space="preserve"> </w:t>
      </w:r>
      <w:r>
        <w:t xml:space="preserve">the Memo (whose client is CSW actually advising — the buyer or the</w:t>
      </w:r>
      <w:r>
        <w:t xml:space="preserve"> </w:t>
      </w:r>
      <w:r>
        <w:t xml:space="preserve">seller?), (b) the attorney-client privilege analysis attaching to the</w:t>
      </w:r>
      <w:r>
        <w:t xml:space="preserve"> </w:t>
      </w:r>
      <w:r>
        <w:t xml:space="preserve">Memo, and (c) potential conflict-of-interest concerns where the same</w:t>
      </w:r>
      <w:r>
        <w:t xml:space="preserve"> </w:t>
      </w:r>
      <w:r>
        <w:t xml:space="preserve">firm purports to represent both sides of a transaction. The Memo’s</w:t>
      </w:r>
      <w:r>
        <w:t xml:space="preserve"> </w:t>
      </w:r>
      <w:r>
        <w:t xml:space="preserve">preamble asserts the attorney-client privilege</w:t>
      </w:r>
      <w:r>
        <w:t xml:space="preserve"> </w:t>
      </w:r>
      <w:r>
        <w:t xml:space="preserve">“</w:t>
      </w:r>
      <w:r>
        <w:t xml:space="preserve">for the sole use of</w:t>
      </w:r>
      <w:r>
        <w:t xml:space="preserve">”</w:t>
      </w:r>
      <w:r>
        <w:t xml:space="preserve"> </w:t>
      </w:r>
      <w:r>
        <w:t xml:space="preserve">Ridgeline, yet the SPA compensates CSW as the Company’s counsel. The</w:t>
      </w:r>
      <w:r>
        <w:t xml:space="preserve"> </w:t>
      </w:r>
      <w:r>
        <w:t xml:space="preserve">parties and the investment committee should clarify CSW’s engagement</w:t>
      </w:r>
      <w:r>
        <w:t xml:space="preserve"> </w:t>
      </w:r>
      <w:r>
        <w:t xml:space="preserve">scope and confirm the Memo’s intended beneficiary and privilege</w:t>
      </w:r>
      <w:r>
        <w:t xml:space="preserve"> </w:t>
      </w:r>
      <w:r>
        <w:t xml:space="preserve">position.</w:t>
      </w:r>
    </w:p>
    <w:p>
      <w:pPr>
        <w:pStyle w:val="BodyText"/>
      </w:pPr>
      <w:r>
        <w:rPr>
          <w:b/>
          <w:bCs/>
        </w:rPr>
        <w:t xml:space="preserve">Recommendation.</w:t>
      </w:r>
      <w:r>
        <w:t xml:space="preserve"> </w:t>
      </w:r>
      <w:r>
        <w:t xml:space="preserve">Clarify and document CSW’s engagement (buyer</w:t>
      </w:r>
      <w:r>
        <w:t xml:space="preserve"> </w:t>
      </w:r>
      <w:r>
        <w:t xml:space="preserve">counsel, seller counsel, or both with informed consent/waivers). Confirm</w:t>
      </w:r>
      <w:r>
        <w:t xml:space="preserve"> </w:t>
      </w:r>
      <w:r>
        <w:t xml:space="preserve">the privilege analysis for the Memo. If CSW represents both sides,</w:t>
      </w:r>
      <w:r>
        <w:t xml:space="preserve"> </w:t>
      </w:r>
      <w:r>
        <w:t xml:space="preserve">confirm that appropriate conflict waivers were obtained.</w:t>
      </w:r>
    </w:p>
    <w:bookmarkEnd w:id="46"/>
    <w:bookmarkStart w:id="47" w:name="Xcdfe3fa60188627d2b2f5c038e58bbc4857a8b6"/>
    <w:p>
      <w:pPr>
        <w:pStyle w:val="Heading4"/>
      </w:pPr>
      <w:r>
        <w:t xml:space="preserve">M-14. Memo’s</w:t>
      </w:r>
      <w:r>
        <w:t xml:space="preserve"> </w:t>
      </w:r>
      <w:r>
        <w:t xml:space="preserve">“</w:t>
      </w:r>
      <w:r>
        <w:t xml:space="preserve">Items Noted for Further Analysis</w:t>
      </w:r>
      <w:r>
        <w:t xml:space="preserve">”</w:t>
      </w:r>
      <w:r>
        <w:t xml:space="preserve"> </w:t>
      </w:r>
      <w:r>
        <w:t xml:space="preserve">(Section IX.C) and Conclusions (Section X) Omit Every Critical and High-Severity Open Item</w:t>
      </w:r>
    </w:p>
    <w:p>
      <w:pPr>
        <w:pStyle w:val="FirstParagraph"/>
      </w:pPr>
      <w:r>
        <w:rPr>
          <w:b/>
          <w:bCs/>
        </w:rPr>
        <w:t xml:space="preserve">Severity: Medium</w:t>
      </w:r>
    </w:p>
    <w:p>
      <w:pPr>
        <w:pStyle w:val="BodyText"/>
      </w:pPr>
      <w:r>
        <w:rPr>
          <w:b/>
          <w:bCs/>
        </w:rPr>
        <w:t xml:space="preserve">The issue.</w:t>
      </w:r>
      <w:r>
        <w:t xml:space="preserve"> </w:t>
      </w:r>
      <w:r>
        <w:t xml:space="preserve">The Memo’s Section IX.C (</w:t>
      </w:r>
      <w:r>
        <w:t xml:space="preserve">“</w:t>
      </w:r>
      <w:r>
        <w:t xml:space="preserve">Items Noted for Further</w:t>
      </w:r>
      <w:r>
        <w:t xml:space="preserve"> </w:t>
      </w:r>
      <w:r>
        <w:t xml:space="preserve">Analysis</w:t>
      </w:r>
      <w:r>
        <w:t xml:space="preserve">”</w:t>
      </w:r>
      <w:r>
        <w:t xml:space="preserve">) lists only four items: (1) final asset valuation from</w:t>
      </w:r>
      <w:r>
        <w:t xml:space="preserve"> </w:t>
      </w:r>
      <w:r>
        <w:t xml:space="preserve">Thornfield; (2) confirm shareholder consents for the 338(h)(10)</w:t>
      </w:r>
      <w:r>
        <w:t xml:space="preserve"> </w:t>
      </w:r>
      <w:r>
        <w:t xml:space="preserve">election; (3) coordinate with employment counsel on the Chandra</w:t>
      </w:r>
      <w:r>
        <w:t xml:space="preserve"> </w:t>
      </w:r>
      <w:r>
        <w:t xml:space="preserve">employment and Stowe consulting agreements; and (4) review post-closing</w:t>
      </w:r>
      <w:r>
        <w:t xml:space="preserve"> </w:t>
      </w:r>
      <w:r>
        <w:t xml:space="preserve">entity structure. The Memo’s Section X (</w:t>
      </w:r>
      <w:r>
        <w:t xml:space="preserve">“</w:t>
      </w:r>
      <w:r>
        <w:t xml:space="preserve">Conclusions and</w:t>
      </w:r>
      <w:r>
        <w:t xml:space="preserve"> </w:t>
      </w:r>
      <w:r>
        <w:t xml:space="preserve">Recommendations</w:t>
      </w:r>
      <w:r>
        <w:t xml:space="preserve">”</w:t>
      </w:r>
      <w:r>
        <w:t xml:space="preserve">) reaches seven conclusions, all favorable, and none</w:t>
      </w:r>
      <w:r>
        <w:t xml:space="preserve"> </w:t>
      </w:r>
      <w:r>
        <w:t xml:space="preserve">flag any open risk.</w:t>
      </w:r>
    </w:p>
    <w:p>
      <w:pPr>
        <w:pStyle w:val="BodyText"/>
      </w:pPr>
      <w:r>
        <w:t xml:space="preserve">Neither section mentions any of the critical or high-severity open items</w:t>
      </w:r>
      <w:r>
        <w:t xml:space="preserve"> </w:t>
      </w:r>
      <w:r>
        <w:t xml:space="preserve">that the supporting documents raise and that this review identifies:</w:t>
      </w:r>
      <w:r>
        <w:t xml:space="preserve"> </w:t>
      </w:r>
      <w:r>
        <w:t xml:space="preserve">S-election eligibility (C-1), the ADSP double-count (C-2), QSBS (C-3),</w:t>
      </w:r>
      <w:r>
        <w:t xml:space="preserve"> </w:t>
      </w:r>
      <w:r>
        <w:t xml:space="preserve">the escrow/SPA conflict (H-1), the basis reconciliation gap (H-2), the</w:t>
      </w:r>
      <w:r>
        <w:t xml:space="preserve"> </w:t>
      </w:r>
      <w:r>
        <w:t xml:space="preserve">Class V software understatement (H-3), the Beacon IP license</w:t>
      </w:r>
      <w:r>
        <w:t xml:space="preserve"> </w:t>
      </w:r>
      <w:r>
        <w:t xml:space="preserve">auto-termination (H-4), the NC license non-transferability (H-5), the</w:t>
      </w:r>
      <w:r>
        <w:t xml:space="preserve"> </w:t>
      </w:r>
      <w:r>
        <w:t xml:space="preserve">$3,800,000 R&amp;D-credit loss risk (H-6), the $6,300,000 Section 482</w:t>
      </w:r>
      <w:r>
        <w:t xml:space="preserve"> </w:t>
      </w:r>
      <w:r>
        <w:t xml:space="preserve">transfer-pricing exposure (H-7), the New York sales-tax exposure (M-9),</w:t>
      </w:r>
      <w:r>
        <w:t xml:space="preserve"> </w:t>
      </w:r>
      <w:r>
        <w:t xml:space="preserve">or the Section 751/754 Beacon issues (M-2, M-3). The Memo’s open-items</w:t>
      </w:r>
      <w:r>
        <w:t xml:space="preserve"> </w:t>
      </w:r>
      <w:r>
        <w:t xml:space="preserve">list and conclusions therefore present an incomplete and unduly</w:t>
      </w:r>
      <w:r>
        <w:t xml:space="preserve"> </w:t>
      </w:r>
      <w:r>
        <w:t xml:space="preserve">optimistic picture of the transaction’s tax risks, omitting the very</w:t>
      </w:r>
      <w:r>
        <w:t xml:space="preserve"> </w:t>
      </w:r>
      <w:r>
        <w:t xml:space="preserve">items the diligence record flags as most consequential.</w:t>
      </w:r>
    </w:p>
    <w:p>
      <w:pPr>
        <w:pStyle w:val="BodyText"/>
      </w:pPr>
      <w:r>
        <w:rPr>
          <w:b/>
          <w:bCs/>
        </w:rPr>
        <w:t xml:space="preserve">Recommendation.</w:t>
      </w:r>
      <w:r>
        <w:t xml:space="preserve"> </w:t>
      </w:r>
      <w:r>
        <w:t xml:space="preserve">Revise Section IX.C to include all open items</w:t>
      </w:r>
      <w:r>
        <w:t xml:space="preserve"> </w:t>
      </w:r>
      <w:r>
        <w:t xml:space="preserve">identified in the diligence record, and revise Section X to condition</w:t>
      </w:r>
      <w:r>
        <w:t xml:space="preserve"> </w:t>
      </w:r>
      <w:r>
        <w:t xml:space="preserve">the favorable conclusions on resolution of the S-election, ADSP, QSBS,</w:t>
      </w:r>
      <w:r>
        <w:t xml:space="preserve"> </w:t>
      </w:r>
      <w:r>
        <w:t xml:space="preserve">transfer-pricing, R&amp;D-credit, and license items.</w:t>
      </w:r>
    </w:p>
    <w:bookmarkEnd w:id="47"/>
    <w:bookmarkEnd w:id="48"/>
    <w:bookmarkStart w:id="74" w:name="d.-low-severity-findings"/>
    <w:p>
      <w:pPr>
        <w:pStyle w:val="Heading3"/>
      </w:pPr>
      <w:r>
        <w:t xml:space="preserve">D. Low-Severity Findings</w:t>
      </w:r>
    </w:p>
    <w:bookmarkStart w:id="49" w:name="l-1.-thornfield-report-date-mis-cited"/>
    <w:p>
      <w:pPr>
        <w:pStyle w:val="Heading4"/>
      </w:pPr>
      <w:r>
        <w:t xml:space="preserve">L-1. Thornfield Report Date Mis-Cited</w:t>
      </w:r>
    </w:p>
    <w:p>
      <w:pPr>
        <w:pStyle w:val="FirstParagraph"/>
      </w:pPr>
      <w:r>
        <w:t xml:space="preserve">The Memo (preamble) states it relies on</w:t>
      </w:r>
      <w:r>
        <w:t xml:space="preserve"> </w:t>
      </w:r>
      <w:r>
        <w:t xml:space="preserve">“</w:t>
      </w:r>
      <w:r>
        <w:t xml:space="preserve">the quality of earnings and tax</w:t>
      </w:r>
      <w:r>
        <w:t xml:space="preserve"> </w:t>
      </w:r>
      <w:r>
        <w:t xml:space="preserve">due diligence report prepared by Thornfield Accounting Group, LLP dated</w:t>
      </w:r>
      <w:r>
        <w:t xml:space="preserve"> </w:t>
      </w:r>
      <w:r>
        <w:t xml:space="preserve">January 10, 2025.</w:t>
      </w:r>
      <w:r>
        <w:t xml:space="preserve">”</w:t>
      </w:r>
      <w:r>
        <w:t xml:space="preserve"> </w:t>
      </w:r>
      <w:r>
        <w:t xml:space="preserve">The Thornfield report is dated</w:t>
      </w:r>
      <w:r>
        <w:t xml:space="preserve"> </w:t>
      </w:r>
      <w:r>
        <w:rPr>
          <w:b/>
          <w:bCs/>
        </w:rPr>
        <w:t xml:space="preserve">January 15, 2025</w:t>
      </w:r>
      <w:r>
        <w:t xml:space="preserve">;</w:t>
      </w:r>
      <w:r>
        <w:t xml:space="preserve"> </w:t>
      </w:r>
      <w:r>
        <w:t xml:space="preserve">January 10, 2025 is the information cutoff date, not the report date.</w:t>
      </w:r>
      <w:r>
        <w:t xml:space="preserve"> </w:t>
      </w:r>
      <w:r>
        <w:t xml:space="preserve">Minor, but the citation should be corrected.</w:t>
      </w:r>
    </w:p>
    <w:bookmarkEnd w:id="49"/>
    <w:bookmarkStart w:id="50" w:name="X8fc8964bd10398b3f290ddc195c910d8cace4d8"/>
    <w:p>
      <w:pPr>
        <w:pStyle w:val="Heading4"/>
      </w:pPr>
      <w:r>
        <w:t xml:space="preserve">L-2. SPA Section Citation Error (Consent Requirement)</w:t>
      </w:r>
    </w:p>
    <w:p>
      <w:pPr>
        <w:pStyle w:val="FirstParagraph"/>
      </w:pPr>
      <w:r>
        <w:t xml:space="preserve">The Memo (Section IV.A) states that the shareholder-consent requirement</w:t>
      </w:r>
      <w:r>
        <w:t xml:space="preserve"> </w:t>
      </w:r>
      <w:r>
        <w:t xml:space="preserve">“</w:t>
      </w:r>
      <w:r>
        <w:t xml:space="preserve">is reflected in Section 7.04 of the Stock Purchase Agreement.</w:t>
      </w:r>
      <w:r>
        <w:t xml:space="preserve">”</w:t>
      </w:r>
      <w:r>
        <w:t xml:space="preserve"> </w:t>
      </w:r>
      <w:r>
        <w:t xml:space="preserve">In the</w:t>
      </w:r>
      <w:r>
        <w:t xml:space="preserve"> </w:t>
      </w:r>
      <w:r>
        <w:t xml:space="preserve">actual agreement, the consent requirement is in</w:t>
      </w:r>
      <w:r>
        <w:t xml:space="preserve"> </w:t>
      </w:r>
      <w:r>
        <w:rPr>
          <w:b/>
          <w:bCs/>
        </w:rPr>
        <w:t xml:space="preserve">Section 7.3(a)</w:t>
      </w:r>
      <w:r>
        <w:t xml:space="preserve"> </w:t>
      </w:r>
      <w:r>
        <w:t xml:space="preserve">(and</w:t>
      </w:r>
      <w:r>
        <w:t xml:space="preserve"> </w:t>
      </w:r>
      <w:r>
        <w:t xml:space="preserve">the closing condition is in</w:t>
      </w:r>
      <w:r>
        <w:t xml:space="preserve"> </w:t>
      </w:r>
      <w:r>
        <w:rPr>
          <w:b/>
          <w:bCs/>
        </w:rPr>
        <w:t xml:space="preserve">Section 8.2(d)</w:t>
      </w:r>
      <w:r>
        <w:t xml:space="preserve">).</w:t>
      </w:r>
      <w:r>
        <w:t xml:space="preserve"> </w:t>
      </w:r>
      <w:r>
        <w:rPr>
          <w:b/>
          <w:bCs/>
        </w:rPr>
        <w:t xml:space="preserve">Section 7.4</w:t>
      </w:r>
      <w:r>
        <w:t xml:space="preserve"> </w:t>
      </w:r>
      <w:r>
        <w:t xml:space="preserve">is the</w:t>
      </w:r>
      <w:r>
        <w:t xml:space="preserve"> </w:t>
      </w:r>
      <w:r>
        <w:t xml:space="preserve">escrow/tax-treatment provision, not the consent provision. The citation</w:t>
      </w:r>
      <w:r>
        <w:t xml:space="preserve"> </w:t>
      </w:r>
      <w:r>
        <w:t xml:space="preserve">should be corrected.</w:t>
      </w:r>
    </w:p>
    <w:bookmarkEnd w:id="50"/>
    <w:bookmarkStart w:id="51" w:name="Xc8926dafacf543f6568a3d1b57be8e88c8b4c36"/>
    <w:p>
      <w:pPr>
        <w:pStyle w:val="Heading4"/>
      </w:pPr>
      <w:r>
        <w:t xml:space="preserve">L-3. Document Nomenclature:</w:t>
      </w:r>
      <w:r>
        <w:t xml:space="preserve"> </w:t>
      </w:r>
      <w:r>
        <w:t xml:space="preserve">“</w:t>
      </w:r>
      <w:r>
        <w:t xml:space="preserve">Stock Purchase Agreement</w:t>
      </w:r>
      <w:r>
        <w:t xml:space="preserve">”</w:t>
      </w:r>
      <w:r>
        <w:t xml:space="preserve"> </w:t>
      </w:r>
      <w:r>
        <w:t xml:space="preserve">vs. </w:t>
      </w:r>
      <w:r>
        <w:t xml:space="preserve">“</w:t>
      </w:r>
      <w:r>
        <w:t xml:space="preserve">Agreement and Plan of Merger</w:t>
      </w:r>
      <w:r>
        <w:t xml:space="preserve">”</w:t>
      </w:r>
    </w:p>
    <w:p>
      <w:pPr>
        <w:pStyle w:val="FirstParagraph"/>
      </w:pPr>
      <w:r>
        <w:t xml:space="preserve">The Memo repeatedly refers to the</w:t>
      </w:r>
      <w:r>
        <w:t xml:space="preserve"> </w:t>
      </w:r>
      <w:r>
        <w:t xml:space="preserve">“</w:t>
      </w:r>
      <w:r>
        <w:t xml:space="preserve">Stock Purchase Agreement.</w:t>
      </w:r>
      <w:r>
        <w:t xml:space="preserve">”</w:t>
      </w:r>
      <w:r>
        <w:t xml:space="preserve"> </w:t>
      </w:r>
      <w:r>
        <w:t xml:space="preserve">The</w:t>
      </w:r>
      <w:r>
        <w:t xml:space="preserve"> </w:t>
      </w:r>
      <w:r>
        <w:t xml:space="preserve">operative agreement is titled</w:t>
      </w:r>
      <w:r>
        <w:t xml:space="preserve"> </w:t>
      </w:r>
      <w:r>
        <w:t xml:space="preserve">“</w:t>
      </w:r>
      <w:r>
        <w:t xml:space="preserve">Agreement and Plan of Merger.</w:t>
      </w:r>
      <w:r>
        <w:t xml:space="preserve">”</w:t>
      </w:r>
      <w:r>
        <w:t xml:space="preserve"> </w:t>
      </w:r>
      <w:r>
        <w:t xml:space="preserve">While</w:t>
      </w:r>
      <w:r>
        <w:t xml:space="preserve"> </w:t>
      </w:r>
      <w:r>
        <w:t xml:space="preserve">functionally similar for the Memo’s purposes, the nomenclature should</w:t>
      </w:r>
      <w:r>
        <w:t xml:space="preserve"> </w:t>
      </w:r>
      <w:r>
        <w:t xml:space="preserve">match the actual document.</w:t>
      </w:r>
    </w:p>
    <w:bookmarkEnd w:id="51"/>
    <w:bookmarkStart w:id="52" w:name="l-4.-treasury-regulation-citation-error"/>
    <w:p>
      <w:pPr>
        <w:pStyle w:val="Heading4"/>
      </w:pPr>
      <w:r>
        <w:t xml:space="preserve">L-4. Treasury Regulation Citation Error</w:t>
      </w:r>
    </w:p>
    <w:p>
      <w:pPr>
        <w:pStyle w:val="FirstParagraph"/>
      </w:pPr>
      <w:r>
        <w:t xml:space="preserve">The Memo (Sections II.A and III.C) cites</w:t>
      </w:r>
      <w:r>
        <w:t xml:space="preserve"> </w:t>
      </w:r>
      <w:r>
        <w:t xml:space="preserve">“</w:t>
      </w:r>
      <w:r>
        <w:t xml:space="preserve">Treas. Reg. 1.301-7701-3</w:t>
      </w:r>
      <w:r>
        <w:t xml:space="preserve">”</w:t>
      </w:r>
      <w:r>
        <w:t xml:space="preserve"> </w:t>
      </w:r>
      <w:r>
        <w:t xml:space="preserve">for</w:t>
      </w:r>
      <w:r>
        <w:t xml:space="preserve"> </w:t>
      </w:r>
      <w:r>
        <w:t xml:space="preserve">the check-the-box/disregarded-entity classification rules. The correct</w:t>
      </w:r>
      <w:r>
        <w:t xml:space="preserve"> </w:t>
      </w:r>
      <w:r>
        <w:t xml:space="preserve">citation is</w:t>
      </w:r>
      <w:r>
        <w:t xml:space="preserve"> </w:t>
      </w:r>
      <w:r>
        <w:rPr>
          <w:b/>
          <w:bCs/>
        </w:rPr>
        <w:t xml:space="preserve">Treas. Reg. §301.7701-3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1.</w:t>
      </w:r>
      <w:r>
        <w:t xml:space="preserve">”</w:t>
      </w:r>
      <w:r>
        <w:t xml:space="preserve"> </w:t>
      </w:r>
      <w:r>
        <w:t xml:space="preserve">prefix is incorrect).</w:t>
      </w:r>
      <w:r>
        <w:t xml:space="preserve"> </w:t>
      </w:r>
      <w:r>
        <w:t xml:space="preserve">The SPA correctly cites</w:t>
      </w:r>
      <w:r>
        <w:t xml:space="preserve"> </w:t>
      </w:r>
      <w:r>
        <w:t xml:space="preserve">“</w:t>
      </w:r>
      <w:r>
        <w:t xml:space="preserve">Treasury Regulation Section 301.7701-3.</w:t>
      </w:r>
      <w:r>
        <w:t xml:space="preserve">”</w:t>
      </w:r>
    </w:p>
    <w:bookmarkEnd w:id="52"/>
    <w:bookmarkStart w:id="53" w:name="X13bf04102e8086cbe9dc2d23efac55380ffd3f3"/>
    <w:p>
      <w:pPr>
        <w:pStyle w:val="Heading4"/>
      </w:pPr>
      <w:r>
        <w:t xml:space="preserve">L-5. H-1B Holder Nationality Discrepancy Between Supporting Documents</w:t>
      </w:r>
    </w:p>
    <w:p>
      <w:pPr>
        <w:pStyle w:val="FirstParagraph"/>
      </w:pPr>
      <w:r>
        <w:t xml:space="preserve">The Thornfield report (Section III.B) describes the unconfirmed H-1B</w:t>
      </w:r>
      <w:r>
        <w:t xml:space="preserve"> </w:t>
      </w:r>
      <w:r>
        <w:t xml:space="preserve">restricted-stock holder as a</w:t>
      </w:r>
      <w:r>
        <w:t xml:space="preserve"> </w:t>
      </w:r>
      <w:r>
        <w:t xml:space="preserve">“</w:t>
      </w:r>
      <w:r>
        <w:t xml:space="preserve">Canadian national.</w:t>
      </w:r>
      <w:r>
        <w:t xml:space="preserve">”</w:t>
      </w:r>
      <w:r>
        <w:t xml:space="preserve"> </w:t>
      </w:r>
      <w:r>
        <w:t xml:space="preserve">The capitalization</w:t>
      </w:r>
      <w:r>
        <w:t xml:space="preserve"> </w:t>
      </w:r>
      <w:r>
        <w:t xml:space="preserve">table identifies Lin Wei Zhang as a</w:t>
      </w:r>
      <w:r>
        <w:t xml:space="preserve"> </w:t>
      </w:r>
      <w:r>
        <w:t xml:space="preserve">“</w:t>
      </w:r>
      <w:r>
        <w:t xml:space="preserve">citizen of the People’s Republic of</w:t>
      </w:r>
      <w:r>
        <w:t xml:space="preserve"> </w:t>
      </w:r>
      <w:r>
        <w:t xml:space="preserve">China.</w:t>
      </w:r>
      <w:r>
        <w:t xml:space="preserve">”</w:t>
      </w:r>
      <w:r>
        <w:t xml:space="preserve"> </w:t>
      </w:r>
      <w:r>
        <w:t xml:space="preserve">The underlying fact should be reconciled, as it bears on the</w:t>
      </w:r>
      <w:r>
        <w:t xml:space="preserve"> </w:t>
      </w:r>
      <w:r>
        <w:t xml:space="preserve">substantial-presence analysis.</w:t>
      </w:r>
    </w:p>
    <w:bookmarkEnd w:id="53"/>
    <w:bookmarkStart w:id="54" w:name="X09fc91fd9a86d19def30b244c2df00f1a440f47"/>
    <w:p>
      <w:pPr>
        <w:pStyle w:val="Heading4"/>
      </w:pPr>
      <w:r>
        <w:t xml:space="preserve">L-6. Beacon Management Fee CPI Adjustment Not Followed</w:t>
      </w:r>
    </w:p>
    <w:p>
      <w:pPr>
        <w:pStyle w:val="FirstParagraph"/>
      </w:pPr>
      <w:r>
        <w:t xml:space="preserve">The Beacon Operating Agreement (Section 9.01) requires the $850,000</w:t>
      </w:r>
      <w:r>
        <w:t xml:space="preserve"> </w:t>
      </w:r>
      <w:r>
        <w:t xml:space="preserve">management fee to be</w:t>
      </w:r>
      <w:r>
        <w:t xml:space="preserve"> </w:t>
      </w:r>
      <w:r>
        <w:t xml:space="preserve">“</w:t>
      </w:r>
      <w:r>
        <w:t xml:space="preserve">adjusted annually on January 1 of each year by the</w:t>
      </w:r>
      <w:r>
        <w:t xml:space="preserve"> </w:t>
      </w:r>
      <w:r>
        <w:t xml:space="preserve">percentage increase (if any) in the [CPI-U] … provided that the</w:t>
      </w:r>
      <w:r>
        <w:t xml:space="preserve"> </w:t>
      </w:r>
      <w:r>
        <w:t xml:space="preserve">annual increase shall not exceed three percent (3%).</w:t>
      </w:r>
      <w:r>
        <w:t xml:space="preserve">”</w:t>
      </w:r>
      <w:r>
        <w:t xml:space="preserve"> </w:t>
      </w:r>
      <w:r>
        <w:t xml:space="preserve">The Thornfield</w:t>
      </w:r>
      <w:r>
        <w:t xml:space="preserve"> </w:t>
      </w:r>
      <w:r>
        <w:t xml:space="preserve">report (Section VII.A) and the Memo state the fee has been flat at</w:t>
      </w:r>
      <w:r>
        <w:t xml:space="preserve"> </w:t>
      </w:r>
      <w:r>
        <w:t xml:space="preserve">$850,000 since 2019. Over 2019–2024, CPI increased materially, so the</w:t>
      </w:r>
      <w:r>
        <w:t xml:space="preserve"> </w:t>
      </w:r>
      <w:r>
        <w:t xml:space="preserve">fee should have risen (capped at 3%/year) if the agreement were</w:t>
      </w:r>
      <w:r>
        <w:t xml:space="preserve"> </w:t>
      </w:r>
      <w:r>
        <w:t xml:space="preserve">followed. The divergence between the written agreement and actual</w:t>
      </w:r>
      <w:r>
        <w:t xml:space="preserve"> </w:t>
      </w:r>
      <w:r>
        <w:t xml:space="preserve">practice is an inconsistency in the record (and, if the fee should have</w:t>
      </w:r>
      <w:r>
        <w:t xml:space="preserve"> </w:t>
      </w:r>
      <w:r>
        <w:t xml:space="preserve">been higher, it worsens the below-arm’s-length conclusion in H-7).</w:t>
      </w:r>
    </w:p>
    <w:bookmarkEnd w:id="54"/>
    <w:bookmarkStart w:id="55" w:name="X4d52bc61379db60015fdefa48579fba10e69354"/>
    <w:p>
      <w:pPr>
        <w:pStyle w:val="Heading4"/>
      </w:pPr>
      <w:r>
        <w:t xml:space="preserve">L-7. Thornfield Report’s Beacon Section Citations and</w:t>
      </w:r>
      <w:r>
        <w:t xml:space="preserve"> </w:t>
      </w:r>
      <w:r>
        <w:t xml:space="preserve">“</w:t>
      </w:r>
      <w:r>
        <w:t xml:space="preserve">No Formal Agreement</w:t>
      </w:r>
      <w:r>
        <w:t xml:space="preserve">”</w:t>
      </w:r>
      <w:r>
        <w:t xml:space="preserve"> </w:t>
      </w:r>
      <w:r>
        <w:t xml:space="preserve">Statement Conflict with the Operating Agreement</w:t>
      </w:r>
    </w:p>
    <w:p>
      <w:pPr>
        <w:pStyle w:val="FirstParagraph"/>
      </w:pPr>
      <w:r>
        <w:t xml:space="preserve">The Thornfield report (Section VII.A/VII.B) cites</w:t>
      </w:r>
      <w:r>
        <w:t xml:space="preserve"> </w:t>
      </w:r>
      <w:r>
        <w:t xml:space="preserve">“</w:t>
      </w:r>
      <w:r>
        <w:t xml:space="preserve">Section 6.4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Section 6.5</w:t>
      </w:r>
      <w:r>
        <w:t xml:space="preserve">”</w:t>
      </w:r>
      <w:r>
        <w:t xml:space="preserve"> </w:t>
      </w:r>
      <w:r>
        <w:t xml:space="preserve">of the Beacon Operating Agreement for the management fee</w:t>
      </w:r>
      <w:r>
        <w:t xml:space="preserve"> </w:t>
      </w:r>
      <w:r>
        <w:t xml:space="preserve">and IP license fee, and states that</w:t>
      </w:r>
      <w:r>
        <w:t xml:space="preserve"> </w:t>
      </w:r>
      <w:r>
        <w:t xml:space="preserve">“</w:t>
      </w:r>
      <w:r>
        <w:t xml:space="preserve">[n]o formal management services</w:t>
      </w:r>
      <w:r>
        <w:t xml:space="preserve"> </w:t>
      </w:r>
      <w:r>
        <w:t xml:space="preserve">agreement exists between Prism and Beacon.</w:t>
      </w:r>
      <w:r>
        <w:t xml:space="preserve">”</w:t>
      </w:r>
      <w:r>
        <w:t xml:space="preserve"> </w:t>
      </w:r>
      <w:r>
        <w:t xml:space="preserve">The actual Beacon Operating</w:t>
      </w:r>
      <w:r>
        <w:t xml:space="preserve"> </w:t>
      </w:r>
      <w:r>
        <w:t xml:space="preserve">Agreement addresses these fees in</w:t>
      </w:r>
      <w:r>
        <w:t xml:space="preserve"> </w:t>
      </w:r>
      <w:r>
        <w:rPr>
          <w:b/>
          <w:bCs/>
        </w:rPr>
        <w:t xml:space="preserve">Sections 9.01 and 9.02</w:t>
      </w:r>
      <w:r>
        <w:t xml:space="preserve">, and</w:t>
      </w:r>
      <w:r>
        <w:t xml:space="preserve"> </w:t>
      </w:r>
      <w:r>
        <w:t xml:space="preserve">expressly references a</w:t>
      </w:r>
      <w:r>
        <w:t xml:space="preserve"> </w:t>
      </w:r>
      <w:r>
        <w:t xml:space="preserve">“</w:t>
      </w:r>
      <w:r>
        <w:t xml:space="preserve">Management Services Agreement dated August 1,</w:t>
      </w:r>
      <w:r>
        <w:t xml:space="preserve"> </w:t>
      </w:r>
      <w:r>
        <w:t xml:space="preserve">2018</w:t>
      </w:r>
      <w:r>
        <w:t xml:space="preserve">”</w:t>
      </w:r>
      <w:r>
        <w:t xml:space="preserve"> </w:t>
      </w:r>
      <w:r>
        <w:t xml:space="preserve">and an</w:t>
      </w:r>
      <w:r>
        <w:t xml:space="preserve"> </w:t>
      </w:r>
      <w:r>
        <w:t xml:space="preserve">“</w:t>
      </w:r>
      <w:r>
        <w:t xml:space="preserve">IP License Agreement dated August 1, 2018.</w:t>
      </w:r>
      <w:r>
        <w:t xml:space="preserve">”</w:t>
      </w:r>
      <w:r>
        <w:t xml:space="preserve"> </w:t>
      </w:r>
      <w:r>
        <w:t xml:space="preserve">The Thornfield</w:t>
      </w:r>
      <w:r>
        <w:t xml:space="preserve"> </w:t>
      </w:r>
      <w:r>
        <w:t xml:space="preserve">section citations are incorrect, and the</w:t>
      </w:r>
      <w:r>
        <w:t xml:space="preserve"> </w:t>
      </w:r>
      <w:r>
        <w:t xml:space="preserve">“</w:t>
      </w:r>
      <w:r>
        <w:t xml:space="preserve">no formal agreement</w:t>
      </w:r>
      <w:r>
        <w:t xml:space="preserve">”</w:t>
      </w:r>
      <w:r>
        <w:t xml:space="preserve"> </w:t>
      </w:r>
      <w:r>
        <w:t xml:space="preserve">statement</w:t>
      </w:r>
      <w:r>
        <w:t xml:space="preserve"> </w:t>
      </w:r>
      <w:r>
        <w:t xml:space="preserve">conflicts with the operating agreement’s references to formal</w:t>
      </w:r>
      <w:r>
        <w:t xml:space="preserve"> </w:t>
      </w:r>
      <w:r>
        <w:t xml:space="preserve">agreements. (The Memo’s statement that the arrangements are</w:t>
      </w:r>
      <w:r>
        <w:t xml:space="preserve"> </w:t>
      </w:r>
      <w:r>
        <w:t xml:space="preserve">“</w:t>
      </w:r>
      <w:r>
        <w:t xml:space="preserve">documented</w:t>
      </w:r>
      <w:r>
        <w:t xml:space="preserve"> </w:t>
      </w:r>
      <w:r>
        <w:t xml:space="preserve">in separate services and license agreements</w:t>
      </w:r>
      <w:r>
        <w:t xml:space="preserve">”</w:t>
      </w:r>
      <w:r>
        <w:t xml:space="preserve"> </w:t>
      </w:r>
      <w:r>
        <w:t xml:space="preserve">aligns with the operating</w:t>
      </w:r>
      <w:r>
        <w:t xml:space="preserve"> </w:t>
      </w:r>
      <w:r>
        <w:t xml:space="preserve">agreement and is therefore preferable, but the Memo does not flag the</w:t>
      </w:r>
      <w:r>
        <w:t xml:space="preserve"> </w:t>
      </w:r>
      <w:r>
        <w:t xml:space="preserve">Thornfield inconsistency.)</w:t>
      </w:r>
    </w:p>
    <w:bookmarkEnd w:id="55"/>
    <w:bookmarkStart w:id="56" w:name="Xb670f4c16bdda17522d52eec602134147370dbb"/>
    <w:p>
      <w:pPr>
        <w:pStyle w:val="Heading4"/>
      </w:pPr>
      <w:r>
        <w:t xml:space="preserve">L-8. Dr. Chandra Stock Basis: $1,500,000 (Memo) vs. $1,014 (Cap Table)</w:t>
      </w:r>
    </w:p>
    <w:p>
      <w:pPr>
        <w:pStyle w:val="FirstParagraph"/>
      </w:pPr>
      <w:r>
        <w:t xml:space="preserve">The Memo (Section V.B) estimates Dr. Chandra’s tax basis in his Prism</w:t>
      </w:r>
      <w:r>
        <w:t xml:space="preserve"> </w:t>
      </w:r>
      <w:r>
        <w:t xml:space="preserve">stock at</w:t>
      </w:r>
      <w:r>
        <w:t xml:space="preserve"> </w:t>
      </w:r>
      <w:r>
        <w:t xml:space="preserve">“</w:t>
      </w:r>
      <w:r>
        <w:t xml:space="preserve">approximately $1,500,000 based on his original investment at</w:t>
      </w:r>
      <w:r>
        <w:t xml:space="preserve"> </w:t>
      </w:r>
      <w:r>
        <w:t xml:space="preserve">the time of founding.</w:t>
      </w:r>
      <w:r>
        <w:t xml:space="preserve">”</w:t>
      </w:r>
      <w:r>
        <w:t xml:space="preserve"> </w:t>
      </w:r>
      <w:r>
        <w:t xml:space="preserve">The capitalization table shows Dr. Chandra’s</w:t>
      </w:r>
      <w:r>
        <w:t xml:space="preserve"> </w:t>
      </w:r>
      <w:r>
        <w:t xml:space="preserve">total cost basis at</w:t>
      </w:r>
      <w:r>
        <w:t xml:space="preserve"> </w:t>
      </w:r>
      <w:r>
        <w:rPr>
          <w:b/>
          <w:bCs/>
        </w:rPr>
        <w:t xml:space="preserve">$1,014.00</w:t>
      </w:r>
      <w:r>
        <w:t xml:space="preserve"> </w:t>
      </w:r>
      <w:r>
        <w:t xml:space="preserve">(1,014,000 shares at $0.001 par</w:t>
      </w:r>
      <w:r>
        <w:t xml:space="preserve"> </w:t>
      </w:r>
      <w:r>
        <w:t xml:space="preserve">value). The ~$1,500,000 estimate does not reconcile to the cap table.</w:t>
      </w:r>
      <w:r>
        <w:t xml:space="preserve"> </w:t>
      </w:r>
      <w:r>
        <w:t xml:space="preserve">While the stock basis is secondary in a 338(h)(10) (gain is driven by</w:t>
      </w:r>
      <w:r>
        <w:t xml:space="preserve"> </w:t>
      </w:r>
      <w:r>
        <w:t xml:space="preserve">the deemed sale gain pass-through, not stock basis), the discrepancy</w:t>
      </w:r>
      <w:r>
        <w:t xml:space="preserve"> </w:t>
      </w:r>
      <w:r>
        <w:t xml:space="preserve">should be reconciled.</w:t>
      </w:r>
    </w:p>
    <w:bookmarkEnd w:id="56"/>
    <w:bookmarkStart w:id="57" w:name="X7c0304c54821698e4861faddc0aabc3586f4fa2"/>
    <w:p>
      <w:pPr>
        <w:pStyle w:val="Heading4"/>
      </w:pPr>
      <w:r>
        <w:t xml:space="preserve">L-9. Rollover Destination Entity Is Ambiguous/Inconsistent Across Documents</w:t>
      </w:r>
    </w:p>
    <w:p>
      <w:pPr>
        <w:pStyle w:val="FirstParagraph"/>
      </w:pPr>
      <w:r>
        <w:t xml:space="preserve">The Memo refers to the rollover going into</w:t>
      </w:r>
      <w:r>
        <w:t xml:space="preserve"> </w:t>
      </w:r>
      <w:r>
        <w:t xml:space="preserve">“</w:t>
      </w:r>
      <w:r>
        <w:t xml:space="preserve">the post-closing acquisition</w:t>
      </w:r>
      <w:r>
        <w:t xml:space="preserve"> </w:t>
      </w:r>
      <w:r>
        <w:t xml:space="preserve">vehicle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Newco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the new entity</w:t>
      </w:r>
      <w:r>
        <w:t xml:space="preserve">”</w:t>
      </w:r>
      <w:r>
        <w:t xml:space="preserve"> </w:t>
      </w:r>
      <w:r>
        <w:t xml:space="preserve">without naming it. The SPA</w:t>
      </w:r>
      <w:r>
        <w:t xml:space="preserve"> </w:t>
      </w:r>
      <w:r>
        <w:t xml:space="preserve">(Section 2.4(b)) provides for equity interests in</w:t>
      </w:r>
      <w:r>
        <w:t xml:space="preserve"> </w:t>
      </w:r>
      <w:r>
        <w:t xml:space="preserve">“</w:t>
      </w:r>
      <w:r>
        <w:t xml:space="preserve">Parent (or a</w:t>
      </w:r>
      <w:r>
        <w:t xml:space="preserve"> </w:t>
      </w:r>
      <w:r>
        <w:t xml:space="preserve">designated acquisition vehicle thereof).</w:t>
      </w:r>
      <w:r>
        <w:t xml:space="preserve">”</w:t>
      </w:r>
      <w:r>
        <w:t xml:space="preserve"> </w:t>
      </w:r>
      <w:r>
        <w:t xml:space="preserve">The capitalization table</w:t>
      </w:r>
      <w:r>
        <w:t xml:space="preserve"> </w:t>
      </w:r>
      <w:r>
        <w:t xml:space="preserve">states the rollover goes</w:t>
      </w:r>
      <w:r>
        <w:t xml:space="preserve"> </w:t>
      </w:r>
      <w:r>
        <w:t xml:space="preserve">“</w:t>
      </w:r>
      <w:r>
        <w:t xml:space="preserve">into Ridgeline Acquisition Sub, Inc.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i.e., Merger Sub, which ceases to exist in the merger and therefore</w:t>
      </w:r>
      <w:r>
        <w:t xml:space="preserve"> </w:t>
      </w:r>
      <w:r>
        <w:t xml:space="preserve">cannot receive the rollover. The destination entity should be specified</w:t>
      </w:r>
      <w:r>
        <w:t xml:space="preserve"> </w:t>
      </w:r>
      <w:r>
        <w:t xml:space="preserve">consistently, as it affects the contribution/exchange analysis (see</w:t>
      </w:r>
      <w:r>
        <w:t xml:space="preserve"> </w:t>
      </w:r>
      <w:r>
        <w:t xml:space="preserve">M-7).</w:t>
      </w:r>
    </w:p>
    <w:bookmarkEnd w:id="57"/>
    <w:bookmarkStart w:id="58" w:name="X429d48d35e70a2ad502ea1afdd5f4b079c0b038"/>
    <w:p>
      <w:pPr>
        <w:pStyle w:val="Heading4"/>
      </w:pPr>
      <w:r>
        <w:t xml:space="preserve">L-10. Form 8883 and State 338(h)(10) Forms Omitted from Post-Closing Filings List</w:t>
      </w:r>
    </w:p>
    <w:p>
      <w:pPr>
        <w:pStyle w:val="FirstParagraph"/>
      </w:pPr>
      <w:r>
        <w:t xml:space="preserve">The Memo’s post-closing filings list (Section IX.B) omits IRS Form 8883</w:t>
      </w:r>
      <w:r>
        <w:t xml:space="preserve"> </w:t>
      </w:r>
      <w:r>
        <w:t xml:space="preserve">(Asset Acquisition Statement Under Section 338), which the SPA (Section</w:t>
      </w:r>
      <w:r>
        <w:t xml:space="preserve"> </w:t>
      </w:r>
      <w:r>
        <w:t xml:space="preserve">7.3(b)) expressly requires each party to file consistent with the final</w:t>
      </w:r>
      <w:r>
        <w:t xml:space="preserve"> </w:t>
      </w:r>
      <w:r>
        <w:t xml:space="preserve">allocation, and the analogous state and local Section 338(h)(10) forms</w:t>
      </w:r>
      <w:r>
        <w:t xml:space="preserve"> </w:t>
      </w:r>
      <w:r>
        <w:t xml:space="preserve">referenced in SPA Section 7.3(a). These should be added.</w:t>
      </w:r>
    </w:p>
    <w:bookmarkEnd w:id="58"/>
    <w:bookmarkStart w:id="59" w:name="X23c9e421ed7b585641bdddb983d1fddfa8451b0"/>
    <w:p>
      <w:pPr>
        <w:pStyle w:val="Heading4"/>
      </w:pPr>
      <w:r>
        <w:t xml:space="preserve">L-11. North Carolina 2025 Individual Income Tax Rate (4.5%) Should Be Verified</w:t>
      </w:r>
    </w:p>
    <w:p>
      <w:pPr>
        <w:pStyle w:val="FirstParagraph"/>
      </w:pPr>
      <w:r>
        <w:t xml:space="preserve">The Memo (Section VI.A) states the 2025 North Carolina individual income</w:t>
      </w:r>
      <w:r>
        <w:t xml:space="preserve"> </w:t>
      </w:r>
      <w:r>
        <w:t xml:space="preserve">tax rate is 4.5%. North Carolina has a statutory phased-reduction</w:t>
      </w:r>
      <w:r>
        <w:t xml:space="preserve"> </w:t>
      </w:r>
      <w:r>
        <w:t xml:space="preserve">schedule that may lower the rate for the 2025 tax year (the 2024 rate is</w:t>
      </w:r>
      <w:r>
        <w:t xml:space="preserve"> </w:t>
      </w:r>
      <w:r>
        <w:t xml:space="preserve">4.5%). The applicable 2025 rate should be confirmed against the</w:t>
      </w:r>
      <w:r>
        <w:t xml:space="preserve"> </w:t>
      </w:r>
      <w:r>
        <w:t xml:space="preserve">then-current statute and any revenue-trigger conditions before the rate</w:t>
      </w:r>
      <w:r>
        <w:t xml:space="preserve"> </w:t>
      </w:r>
      <w:r>
        <w:t xml:space="preserve">is relied upon in the state-tax analysis.</w:t>
      </w:r>
    </w:p>
    <w:bookmarkEnd w:id="59"/>
    <w:bookmarkStart w:id="60" w:name="X65b44914dc195245b538c6d2b480e50b7b0582a"/>
    <w:p>
      <w:pPr>
        <w:pStyle w:val="Heading4"/>
      </w:pPr>
      <w:r>
        <w:t xml:space="preserve">L-12. Post-Closing C-Corporation-to-Partnership Conversion Recommendation Is Oversimplified</w:t>
      </w:r>
    </w:p>
    <w:p>
      <w:pPr>
        <w:pStyle w:val="FirstParagraph"/>
      </w:pPr>
      <w:r>
        <w:t xml:space="preserve">The Memo (Section VII.B) recommends that Buyer</w:t>
      </w:r>
      <w:r>
        <w:t xml:space="preserve"> </w:t>
      </w:r>
      <w:r>
        <w:t xml:space="preserve">“</w:t>
      </w:r>
      <w:r>
        <w:t xml:space="preserve">consider converting</w:t>
      </w:r>
      <w:r>
        <w:t xml:space="preserve"> </w:t>
      </w:r>
      <w:r>
        <w:t xml:space="preserve">Prism from a C corporation to a disregarded entity or partnership for</w:t>
      </w:r>
      <w:r>
        <w:t xml:space="preserve"> </w:t>
      </w:r>
      <w:r>
        <w:t xml:space="preserve">federal income tax purposes following the closing, by making a</w:t>
      </w:r>
      <w:r>
        <w:t xml:space="preserve"> </w:t>
      </w:r>
      <w:r>
        <w:t xml:space="preserve">check-the-box election.</w:t>
      </w:r>
      <w:r>
        <w:t xml:space="preserve">”</w:t>
      </w:r>
      <w:r>
        <w:t xml:space="preserve"> </w:t>
      </w:r>
      <w:r>
        <w:t xml:space="preserve">The Memo does not address that converting a C</w:t>
      </w:r>
      <w:r>
        <w:t xml:space="preserve"> </w:t>
      </w:r>
      <w:r>
        <w:t xml:space="preserve">corporation to a partnership under Treas. Reg. §301.7701-3(g) is</w:t>
      </w:r>
      <w:r>
        <w:t xml:space="preserve"> </w:t>
      </w:r>
      <w:r>
        <w:t xml:space="preserve">generally a taxable deemed liquidation (triggering gain under Section</w:t>
      </w:r>
      <w:r>
        <w:t xml:space="preserve"> </w:t>
      </w:r>
      <w:r>
        <w:t xml:space="preserve">331 at the corporate level), and does not analyze the timing conditions</w:t>
      </w:r>
      <w:r>
        <w:t xml:space="preserve"> </w:t>
      </w:r>
      <w:r>
        <w:t xml:space="preserve">under which the conversion could be tax-efficient (e.g., immediately</w:t>
      </w:r>
      <w:r>
        <w:t xml:space="preserve"> </w:t>
      </w:r>
      <w:r>
        <w:t xml:space="preserve">after the 338(h)(10) step-up, when basis ≈ fair market value). The</w:t>
      </w:r>
      <w:r>
        <w:t xml:space="preserve"> </w:t>
      </w:r>
      <w:r>
        <w:t xml:space="preserve">recommendation should be qualified with the tax-cost analysis.</w:t>
      </w:r>
    </w:p>
    <w:bookmarkEnd w:id="60"/>
    <w:bookmarkStart w:id="61" w:name="Xc351244b4a4de914660650dd41723766464116f"/>
    <w:p>
      <w:pPr>
        <w:pStyle w:val="Heading4"/>
      </w:pPr>
      <w:r>
        <w:t xml:space="preserve">L-13. Non-Compete vs. Employment/Consulting Compensation Recharacterization Risk Not Addressed</w:t>
      </w:r>
    </w:p>
    <w:p>
      <w:pPr>
        <w:pStyle w:val="FirstParagraph"/>
      </w:pPr>
      <w:r>
        <w:t xml:space="preserve">The Memo allocates $15,000,000 to non-compete agreements (Class VI:</w:t>
      </w:r>
      <w:r>
        <w:t xml:space="preserve"> </w:t>
      </w:r>
      <w:r>
        <w:t xml:space="preserve">Dr. Chandra $10,500,000; Ms. Stowe $4,500,000) while treating the</w:t>
      </w:r>
      <w:r>
        <w:t xml:space="preserve"> </w:t>
      </w:r>
      <w:r>
        <w:t xml:space="preserve">employment and consulting agreements as separate compensatory</w:t>
      </w:r>
      <w:r>
        <w:t xml:space="preserve"> </w:t>
      </w:r>
      <w:r>
        <w:t xml:space="preserve">arrangements (Section V.B). The Memo does not address the IRS’s</w:t>
      </w:r>
      <w:r>
        <w:t xml:space="preserve"> </w:t>
      </w:r>
      <w:r>
        <w:t xml:space="preserve">historical scrutiny of non-compete value bundled with</w:t>
      </w:r>
      <w:r>
        <w:t xml:space="preserve"> </w:t>
      </w:r>
      <w:r>
        <w:t xml:space="preserve">employment/consulting arrangements, particularly where (as here)</w:t>
      </w:r>
      <w:r>
        <w:t xml:space="preserve"> </w:t>
      </w:r>
      <w:r>
        <w:t xml:space="preserve">Dr. Chandra is rolling equity and will have an ongoing relationship with</w:t>
      </w:r>
      <w:r>
        <w:t xml:space="preserve"> </w:t>
      </w:r>
      <w:r>
        <w:t xml:space="preserve">the buyer. The risk that a portion of the non-compete value could be</w:t>
      </w:r>
      <w:r>
        <w:t xml:space="preserve"> </w:t>
      </w:r>
      <w:r>
        <w:t xml:space="preserve">recharacterized as additional compensation (ordinary income to the</w:t>
      </w:r>
      <w:r>
        <w:t xml:space="preserve"> </w:t>
      </w:r>
      <w:r>
        <w:t xml:space="preserve">employee, not amortizable under Section 197 for the buyer in the same</w:t>
      </w:r>
      <w:r>
        <w:t xml:space="preserve"> </w:t>
      </w:r>
      <w:r>
        <w:t xml:space="preserve">way) should be noted.</w:t>
      </w:r>
    </w:p>
    <w:bookmarkEnd w:id="61"/>
    <w:bookmarkStart w:id="62" w:name="X8a18aee2760b38ef5c4bd7f006b1ca2ec1f01cc"/>
    <w:p>
      <w:pPr>
        <w:pStyle w:val="Heading4"/>
      </w:pPr>
      <w:r>
        <w:t xml:space="preserve">L-14. Asset Valuation Summary Mis-Dates the Memo</w:t>
      </w:r>
    </w:p>
    <w:p>
      <w:pPr>
        <w:pStyle w:val="FirstParagraph"/>
      </w:pPr>
      <w:r>
        <w:t xml:space="preserve">The Asset Valuation Summary’s Allocation Summary tab labels the memo</w:t>
      </w:r>
      <w:r>
        <w:t xml:space="preserve"> </w:t>
      </w:r>
      <w:r>
        <w:t xml:space="preserve">allocation column</w:t>
      </w:r>
      <w:r>
        <w:t xml:space="preserve"> </w:t>
      </w:r>
      <w:r>
        <w:t xml:space="preserve">“</w:t>
      </w:r>
      <w:r>
        <w:t xml:space="preserve">per Calloway, Stern &amp; Whitaker LLP Memo dated</w:t>
      </w:r>
      <w:r>
        <w:t xml:space="preserve"> </w:t>
      </w:r>
      <w:r>
        <w:t xml:space="preserve">1/28/2025.</w:t>
      </w:r>
      <w:r>
        <w:t xml:space="preserve">”</w:t>
      </w:r>
      <w:r>
        <w:t xml:space="preserve"> </w:t>
      </w:r>
      <w:r>
        <w:t xml:space="preserve">The actual Memo is dated</w:t>
      </w:r>
      <w:r>
        <w:t xml:space="preserve"> </w:t>
      </w:r>
      <w:r>
        <w:rPr>
          <w:b/>
          <w:bCs/>
        </w:rPr>
        <w:t xml:space="preserve">February 10, 2025</w:t>
      </w:r>
      <w:r>
        <w:t xml:space="preserve"> </w:t>
      </w:r>
      <w:r>
        <w:t xml:space="preserve">(January 28,</w:t>
      </w:r>
      <w:r>
        <w:t xml:space="preserve"> </w:t>
      </w:r>
      <w:r>
        <w:t xml:space="preserve">2025 is the SPA date). This is a supporting-document inconsistency</w:t>
      </w:r>
      <w:r>
        <w:t xml:space="preserve"> </w:t>
      </w:r>
      <w:r>
        <w:t xml:space="preserve">suggesting Thornfield may have referenced an earlier draft or conflated</w:t>
      </w:r>
      <w:r>
        <w:t xml:space="preserve"> </w:t>
      </w:r>
      <w:r>
        <w:t xml:space="preserve">the dates; the allocation figures themselves match, so the impact is</w:t>
      </w:r>
      <w:r>
        <w:t xml:space="preserve"> </w:t>
      </w:r>
      <w:r>
        <w:t xml:space="preserve">limited, but the cross-reference should be corrected.</w:t>
      </w:r>
    </w:p>
    <w:bookmarkEnd w:id="62"/>
    <w:bookmarkStart w:id="63" w:name="X7d6e3546344b74961a032dc41211b6780c871e0"/>
    <w:p>
      <w:pPr>
        <w:pStyle w:val="Heading4"/>
      </w:pPr>
      <w:r>
        <w:t xml:space="preserve">L-15. Financing Summary Does Not Address Source of Funds for the $48,000,000 Debt Repayment and $7,000,000 Seller Expenses</w:t>
      </w:r>
    </w:p>
    <w:p>
      <w:pPr>
        <w:pStyle w:val="FirstParagraph"/>
      </w:pPr>
      <w:r>
        <w:t xml:space="preserve">The Memo (Section II.C) computes Fund III’s equity contribution as</w:t>
      </w:r>
      <w:r>
        <w:t xml:space="preserve"> </w:t>
      </w:r>
      <w:r>
        <w:t xml:space="preserve">$370,000,000 − $37,000,000 (rollover) − $190,000,000 (Term Loan A) =</w:t>
      </w:r>
      <w:r>
        <w:t xml:space="preserve"> </w:t>
      </w:r>
      <w:r>
        <w:t xml:space="preserve">$143,000,000. This funds the $370,000,000 equity consideration but</w:t>
      </w:r>
      <w:r>
        <w:t xml:space="preserve"> </w:t>
      </w:r>
      <w:r>
        <w:t xml:space="preserve">does not address the source of funds for the</w:t>
      </w:r>
      <w:r>
        <w:t xml:space="preserve"> </w:t>
      </w:r>
      <w:r>
        <w:rPr>
          <w:b/>
          <w:bCs/>
        </w:rPr>
        <w:t xml:space="preserve">$48,000,000 funded-debt</w:t>
      </w:r>
      <w:r>
        <w:rPr>
          <w:b/>
          <w:bCs/>
        </w:rPr>
        <w:t xml:space="preserve"> </w:t>
      </w:r>
      <w:r>
        <w:rPr>
          <w:b/>
          <w:bCs/>
        </w:rPr>
        <w:t xml:space="preserve">repayment</w:t>
      </w:r>
      <w:r>
        <w:t xml:space="preserve"> </w:t>
      </w:r>
      <w:r>
        <w:t xml:space="preserve">required by SPA Section 2.6(a) (the existing debt is repaid</w:t>
      </w:r>
      <w:r>
        <w:t xml:space="preserve"> </w:t>
      </w:r>
      <w:r>
        <w:t xml:space="preserve">in full at closing, not assumed) or the</w:t>
      </w:r>
      <w:r>
        <w:t xml:space="preserve"> </w:t>
      </w:r>
      <w:r>
        <w:rPr>
          <w:b/>
          <w:bCs/>
        </w:rPr>
        <w:t xml:space="preserve">$7,000,000 seller transaction</w:t>
      </w:r>
      <w:r>
        <w:rPr>
          <w:b/>
          <w:bCs/>
        </w:rPr>
        <w:t xml:space="preserve"> </w:t>
      </w:r>
      <w:r>
        <w:rPr>
          <w:b/>
          <w:bCs/>
        </w:rPr>
        <w:t xml:space="preserve">expenses</w:t>
      </w:r>
      <w:r>
        <w:t xml:space="preserve"> </w:t>
      </w:r>
      <w:r>
        <w:t xml:space="preserve">(SPA Section 2.6(b)). Depending on how those uses are funded,</w:t>
      </w:r>
      <w:r>
        <w:t xml:space="preserve"> </w:t>
      </w:r>
      <w:r>
        <w:t xml:space="preserve">Fund III’s total equity contribution may exceed $143,000,000. The</w:t>
      </w:r>
      <w:r>
        <w:t xml:space="preserve"> </w:t>
      </w:r>
      <w:r>
        <w:t xml:space="preserve">financing summary should be completed to show all closing sources and</w:t>
      </w:r>
      <w:r>
        <w:t xml:space="preserve"> </w:t>
      </w:r>
      <w:r>
        <w:t xml:space="preserve">uses.</w:t>
      </w:r>
    </w:p>
    <w:bookmarkEnd w:id="63"/>
    <w:bookmarkStart w:id="64" w:name="Xe2ad9c019e764e405b98aaf7fa9ad631d32802c"/>
    <w:p>
      <w:pPr>
        <w:pStyle w:val="Heading4"/>
      </w:pPr>
      <w:r>
        <w:t xml:space="preserve">L-16. 2024 Form 1120-S Due March 15, 2025 (Same Day as Closing) — Not Addressed</w:t>
      </w:r>
    </w:p>
    <w:p>
      <w:pPr>
        <w:pStyle w:val="FirstParagraph"/>
      </w:pPr>
      <w:r>
        <w:t xml:space="preserve">The Thornfield report (Section IV.A) states that the 2024 Form 1120-S</w:t>
      </w:r>
      <w:r>
        <w:t xml:space="preserve"> </w:t>
      </w:r>
      <w:r>
        <w:t xml:space="preserve">has not yet been filed and that its filing deadline is</w:t>
      </w:r>
      <w:r>
        <w:t xml:space="preserve"> </w:t>
      </w:r>
      <w:r>
        <w:rPr>
          <w:b/>
          <w:bCs/>
        </w:rPr>
        <w:t xml:space="preserve">March 15,</w:t>
      </w:r>
      <w:r>
        <w:rPr>
          <w:b/>
          <w:bCs/>
        </w:rPr>
        <w:t xml:space="preserve"> </w:t>
      </w:r>
      <w:r>
        <w:rPr>
          <w:b/>
          <w:bCs/>
        </w:rPr>
        <w:t xml:space="preserve">2025</w:t>
      </w:r>
      <w:r>
        <w:t xml:space="preserve">, which</w:t>
      </w:r>
      <w:r>
        <w:t xml:space="preserve"> </w:t>
      </w:r>
      <w:r>
        <w:t xml:space="preserve">“</w:t>
      </w:r>
      <w:r>
        <w:t xml:space="preserve">coincides with the expected transaction closing date,</w:t>
      </w:r>
      <w:r>
        <w:t xml:space="preserve">”</w:t>
      </w:r>
      <w:r>
        <w:t xml:space="preserve"> </w:t>
      </w:r>
      <w:r>
        <w:t xml:space="preserve">and that</w:t>
      </w:r>
      <w:r>
        <w:t xml:space="preserve"> </w:t>
      </w:r>
      <w:r>
        <w:t xml:space="preserve">“</w:t>
      </w:r>
      <w:r>
        <w:t xml:space="preserve">an extension of time to file will likely be required.</w:t>
      </w:r>
      <w:r>
        <w:t xml:space="preserve">”</w:t>
      </w:r>
      <w:r>
        <w:t xml:space="preserve"> </w:t>
      </w:r>
      <w:r>
        <w:t xml:space="preserve">The</w:t>
      </w:r>
      <w:r>
        <w:t xml:space="preserve"> </w:t>
      </w:r>
      <w:r>
        <w:t xml:space="preserve">Memo (Section III.A) notes only that</w:t>
      </w:r>
      <w:r>
        <w:t xml:space="preserve"> </w:t>
      </w:r>
      <w:r>
        <w:t xml:space="preserve">“</w:t>
      </w:r>
      <w:r>
        <w:t xml:space="preserve">The 2024 return is currently in</w:t>
      </w:r>
      <w:r>
        <w:t xml:space="preserve"> </w:t>
      </w:r>
      <w:r>
        <w:t xml:space="preserve">preparation,</w:t>
      </w:r>
      <w:r>
        <w:t xml:space="preserve">”</w:t>
      </w:r>
      <w:r>
        <w:t xml:space="preserve"> </w:t>
      </w:r>
      <w:r>
        <w:t xml:space="preserve">and the Memo’s post-closing filings list (Section IX.B)</w:t>
      </w:r>
      <w:r>
        <w:t xml:space="preserve"> </w:t>
      </w:r>
      <w:r>
        <w:t xml:space="preserve">addresses only the final short-period return for January 1 – March 15,</w:t>
      </w:r>
      <w:r>
        <w:t xml:space="preserve"> </w:t>
      </w:r>
      <w:r>
        <w:t xml:space="preserve">2025 — it does not address the 2024 full-year return, its</w:t>
      </w:r>
      <w:r>
        <w:t xml:space="preserve"> </w:t>
      </w:r>
      <w:r>
        <w:t xml:space="preserve">same-day-as-closing deadline, or the likely need for an extension. The</w:t>
      </w:r>
      <w:r>
        <w:t xml:space="preserve"> </w:t>
      </w:r>
      <w:r>
        <w:t xml:space="preserve">2024 return must be filed or extended on or before March 15, 2025, and</w:t>
      </w:r>
      <w:r>
        <w:t xml:space="preserve"> </w:t>
      </w:r>
      <w:r>
        <w:t xml:space="preserve">its preparation should be coordinated with the closing to avoid a</w:t>
      </w:r>
      <w:r>
        <w:t xml:space="preserve"> </w:t>
      </w:r>
      <w:r>
        <w:t xml:space="preserve">late-filing penalty and to ensure the 2024 K-1s are issued correctly.</w:t>
      </w:r>
    </w:p>
    <w:bookmarkEnd w:id="64"/>
    <w:bookmarkStart w:id="65" w:name="Xed1f3224a4b2fbd291e003645c14c4056cdb0d1"/>
    <w:p>
      <w:pPr>
        <w:pStyle w:val="Heading4"/>
      </w:pPr>
      <w:r>
        <w:t xml:space="preserve">L-17. North Carolina R&amp;D Credits Lack a Formal Third-Party Credit Study</w:t>
      </w:r>
    </w:p>
    <w:p>
      <w:pPr>
        <w:pStyle w:val="FirstParagraph"/>
      </w:pPr>
      <w:r>
        <w:t xml:space="preserve">The Thornfield report (Section IV.C and Summary Finding 6) states that</w:t>
      </w:r>
      <w:r>
        <w:t xml:space="preserve"> </w:t>
      </w:r>
      <w:r>
        <w:t xml:space="preserve">Prism claims approximately $1,200,000 per year in North Carolina R&amp;D</w:t>
      </w:r>
      <w:r>
        <w:t xml:space="preserve"> </w:t>
      </w:r>
      <w:r>
        <w:t xml:space="preserve">credits but</w:t>
      </w:r>
      <w:r>
        <w:t xml:space="preserve"> </w:t>
      </w:r>
      <w:r>
        <w:t xml:space="preserve">“</w:t>
      </w:r>
      <w:r>
        <w:t xml:space="preserve">relies on internal calculations rather than a formal,</w:t>
      </w:r>
      <w:r>
        <w:t xml:space="preserve"> </w:t>
      </w:r>
      <w:r>
        <w:t xml:space="preserve">third-party R&amp;D credit study,</w:t>
      </w:r>
      <w:r>
        <w:t xml:space="preserve">”</w:t>
      </w:r>
      <w:r>
        <w:t xml:space="preserve"> </w:t>
      </w:r>
      <w:r>
        <w:t xml:space="preserve">and that</w:t>
      </w:r>
      <w:r>
        <w:t xml:space="preserve"> </w:t>
      </w:r>
      <w:r>
        <w:t xml:space="preserve">“</w:t>
      </w:r>
      <w:r>
        <w:t xml:space="preserve">in the event of a state audit,</w:t>
      </w:r>
      <w:r>
        <w:t xml:space="preserve"> </w:t>
      </w:r>
      <w:r>
        <w:t xml:space="preserve">the absence of a contemporaneous credit study could increase the risk of</w:t>
      </w:r>
      <w:r>
        <w:t xml:space="preserve"> </w:t>
      </w:r>
      <w:r>
        <w:t xml:space="preserve">disallowance.</w:t>
      </w:r>
      <w:r>
        <w:t xml:space="preserve">”</w:t>
      </w:r>
      <w:r>
        <w:t xml:space="preserve"> </w:t>
      </w:r>
      <w:r>
        <w:t xml:space="preserve">Thornfield recommends obtaining a formal Section 41 /</w:t>
      </w:r>
      <w:r>
        <w:t xml:space="preserve"> </w:t>
      </w:r>
      <w:r>
        <w:t xml:space="preserve">North Carolina R&amp;D credit study. The Memo (Section III.D) mentions the</w:t>
      </w:r>
      <w:r>
        <w:t xml:space="preserve"> </w:t>
      </w:r>
      <w:r>
        <w:t xml:space="preserve">North Carolina R&amp;D credits but does not flag the absence of a formal</w:t>
      </w:r>
      <w:r>
        <w:t xml:space="preserve"> </w:t>
      </w:r>
      <w:r>
        <w:t xml:space="preserve">study or the audit-disallowance risk. This exposure survives closing and</w:t>
      </w:r>
      <w:r>
        <w:t xml:space="preserve"> </w:t>
      </w:r>
      <w:r>
        <w:t xml:space="preserve">is relevant to the seller’s indemnity obligations.</w:t>
      </w:r>
    </w:p>
    <w:bookmarkEnd w:id="65"/>
    <w:bookmarkStart w:id="66" w:name="X12897ca74e5f611d2531f31e99b78f2886c389c"/>
    <w:p>
      <w:pPr>
        <w:pStyle w:val="Heading4"/>
      </w:pPr>
      <w:r>
        <w:t xml:space="preserve">L-18. Funded Debt Characterized as</w:t>
      </w:r>
      <w:r>
        <w:t xml:space="preserve"> </w:t>
      </w:r>
      <w:r>
        <w:t xml:space="preserve">“</w:t>
      </w:r>
      <w:r>
        <w:t xml:space="preserve">Assumed by the Buyer</w:t>
      </w:r>
      <w:r>
        <w:t xml:space="preserve">”</w:t>
      </w:r>
      <w:r>
        <w:t xml:space="preserve"> </w:t>
      </w:r>
      <w:r>
        <w:t xml:space="preserve">(Memo) vs. </w:t>
      </w:r>
      <w:r>
        <w:t xml:space="preserve">“</w:t>
      </w:r>
      <w:r>
        <w:t xml:space="preserve">Repaid in Full</w:t>
      </w:r>
      <w:r>
        <w:t xml:space="preserve">”</w:t>
      </w:r>
      <w:r>
        <w:t xml:space="preserve"> </w:t>
      </w:r>
      <w:r>
        <w:t xml:space="preserve">(SPA)</w:t>
      </w:r>
    </w:p>
    <w:p>
      <w:pPr>
        <w:pStyle w:val="FirstParagraph"/>
      </w:pPr>
      <w:r>
        <w:t xml:space="preserve">The Memo (Section IV.B) states that the ADSP reflects</w:t>
      </w:r>
      <w:r>
        <w:t xml:space="preserve"> </w:t>
      </w:r>
      <w:r>
        <w:t xml:space="preserve">“</w:t>
      </w:r>
      <w:r>
        <w:t xml:space="preserve">the funded debt</w:t>
      </w:r>
      <w:r>
        <w:t xml:space="preserve"> </w:t>
      </w:r>
      <w:r>
        <w:t xml:space="preserve">obligations that are</w:t>
      </w:r>
      <w:r>
        <w:t xml:space="preserve"> </w:t>
      </w:r>
      <w:r>
        <w:rPr>
          <w:b/>
          <w:bCs/>
        </w:rPr>
        <w:t xml:space="preserve">assumed by the Buyer</w:t>
      </w:r>
      <w:r>
        <w:t xml:space="preserve"> </w:t>
      </w:r>
      <w:r>
        <w:t xml:space="preserve">in connection with the</w:t>
      </w:r>
      <w:r>
        <w:t xml:space="preserve"> </w:t>
      </w:r>
      <w:r>
        <w:t xml:space="preserve">transaction</w:t>
      </w:r>
      <w:r>
        <w:t xml:space="preserve">”</w:t>
      </w:r>
      <w:r>
        <w:t xml:space="preserve"> </w:t>
      </w:r>
      <w:r>
        <w:t xml:space="preserve">and that</w:t>
      </w:r>
      <w:r>
        <w:t xml:space="preserve"> </w:t>
      </w:r>
      <w:r>
        <w:t xml:space="preserve">“</w:t>
      </w:r>
      <w:r>
        <w:t xml:space="preserve">The funded debt of $48,000,000 is treated as a</w:t>
      </w:r>
      <w:r>
        <w:t xml:space="preserve"> </w:t>
      </w:r>
      <w:r>
        <w:t xml:space="preserve">liability of old Target</w:t>
      </w:r>
      <w:r>
        <w:t xml:space="preserve"> </w:t>
      </w:r>
      <w:r>
        <w:rPr>
          <w:b/>
          <w:bCs/>
        </w:rPr>
        <w:t xml:space="preserve">assumed</w:t>
      </w:r>
      <w:r>
        <w:t xml:space="preserve"> </w:t>
      </w:r>
      <w:r>
        <w:t xml:space="preserve">in the deemed asset sale.</w:t>
      </w:r>
      <w:r>
        <w:t xml:space="preserve">”</w:t>
      </w:r>
      <w:r>
        <w:t xml:space="preserve"> </w:t>
      </w:r>
      <w:r>
        <w:t xml:space="preserve">The SPA</w:t>
      </w:r>
      <w:r>
        <w:t xml:space="preserve"> </w:t>
      </w:r>
      <w:r>
        <w:t xml:space="preserve">(Section 2.6(a)) provides the opposite:</w:t>
      </w:r>
      <w:r>
        <w:t xml:space="preserve"> </w:t>
      </w:r>
      <w:r>
        <w:t xml:space="preserve">“</w:t>
      </w:r>
      <w:r>
        <w:t xml:space="preserve">Parent shall cause all Funded</w:t>
      </w:r>
      <w:r>
        <w:t xml:space="preserve"> </w:t>
      </w:r>
      <w:r>
        <w:t xml:space="preserve">Indebtedness of the Company and its Subsidiaries …</w:t>
      </w:r>
      <w:r>
        <w:t xml:space="preserve"> </w:t>
      </w:r>
      <w:r>
        <w:rPr>
          <w:b/>
          <w:bCs/>
        </w:rPr>
        <w:t xml:space="preserve">to be repaid in</w:t>
      </w:r>
      <w:r>
        <w:rPr>
          <w:b/>
          <w:bCs/>
        </w:rPr>
        <w:t xml:space="preserve"> </w:t>
      </w:r>
      <w:r>
        <w:rPr>
          <w:b/>
          <w:bCs/>
        </w:rPr>
        <w:t xml:space="preserve">full</w:t>
      </w:r>
      <w:r>
        <w:t xml:space="preserve"> </w:t>
      </w:r>
      <w:r>
        <w:t xml:space="preserve">in accordance with payoff letters delivered by the applicable</w:t>
      </w:r>
      <w:r>
        <w:t xml:space="preserve"> </w:t>
      </w:r>
      <w:r>
        <w:t xml:space="preserve">lenders.</w:t>
      </w:r>
      <w:r>
        <w:t xml:space="preserve">”</w:t>
      </w:r>
      <w:r>
        <w:t xml:space="preserve"> </w:t>
      </w:r>
      <w:r>
        <w:t xml:space="preserve">The existing debt is repaid (not assumed) at closing. While</w:t>
      </w:r>
      <w:r>
        <w:t xml:space="preserve"> </w:t>
      </w:r>
      <w:r>
        <w:t xml:space="preserve">this characterization difference does not change the ADSP computation</w:t>
      </w:r>
      <w:r>
        <w:t xml:space="preserve"> </w:t>
      </w:r>
      <w:r>
        <w:t xml:space="preserve">(target liabilities are included in ADSP whether assumed or paid off),</w:t>
      </w:r>
      <w:r>
        <w:t xml:space="preserve"> </w:t>
      </w:r>
      <w:r>
        <w:t xml:space="preserve">the Memo’s factual statement that the debt is</w:t>
      </w:r>
      <w:r>
        <w:t xml:space="preserve"> </w:t>
      </w:r>
      <w:r>
        <w:t xml:space="preserve">“</w:t>
      </w:r>
      <w:r>
        <w:t xml:space="preserve">assumed by the Buyer</w:t>
      </w:r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inaccurate per the SPA and should be corrected.</w:t>
      </w:r>
    </w:p>
    <w:bookmarkEnd w:id="66"/>
    <w:bookmarkStart w:id="67" w:name="X19647d3d4b45efcb5c8e602f8db7bc5efd929fe"/>
    <w:p>
      <w:pPr>
        <w:pStyle w:val="Heading4"/>
      </w:pPr>
      <w:r>
        <w:t xml:space="preserve">L-19. $58,000,000 EBITDA Figure (Memo Section VII.B) Is Uncorroborated and Appears High</w:t>
      </w:r>
    </w:p>
    <w:p>
      <w:pPr>
        <w:pStyle w:val="FirstParagraph"/>
      </w:pPr>
      <w:r>
        <w:t xml:space="preserve">The Memo (Section VII.B) states that</w:t>
      </w:r>
      <w:r>
        <w:t xml:space="preserve"> </w:t>
      </w:r>
      <w:r>
        <w:t xml:space="preserve">“</w:t>
      </w:r>
      <w:r>
        <w:t xml:space="preserve">Prism’s historical EBITDA of</w:t>
      </w:r>
      <w:r>
        <w:t xml:space="preserve"> </w:t>
      </w:r>
      <w:r>
        <w:t xml:space="preserve">approximately $58,000,000 (2024 estimate)</w:t>
      </w:r>
      <w:r>
        <w:t xml:space="preserve">”</w:t>
      </w:r>
      <w:r>
        <w:t xml:space="preserve"> </w:t>
      </w:r>
      <w:r>
        <w:t xml:space="preserve">supports the conclusion that</w:t>
      </w:r>
      <w:r>
        <w:t xml:space="preserve"> </w:t>
      </w:r>
      <w:r>
        <w:t xml:space="preserve">new Target has sufficient adjusted taxable income to deduct the</w:t>
      </w:r>
      <w:r>
        <w:t xml:space="preserve"> </w:t>
      </w:r>
      <w:r>
        <w:t xml:space="preserve">anticipated interest expense under Section 163(j). No other document in</w:t>
      </w:r>
      <w:r>
        <w:t xml:space="preserve"> </w:t>
      </w:r>
      <w:r>
        <w:t xml:space="preserve">the record states Prism’s EBITDA. The Memo elsewhere (Section III.A)</w:t>
      </w:r>
      <w:r>
        <w:t xml:space="preserve"> </w:t>
      </w:r>
      <w:r>
        <w:t xml:space="preserve">reports 2024 revenue of approximately $87,000,000; a $58,000,000</w:t>
      </w:r>
      <w:r>
        <w:t xml:space="preserve"> </w:t>
      </w:r>
      <w:r>
        <w:t xml:space="preserve">EBITDA figure implies a</w:t>
      </w:r>
      <w:r>
        <w:t xml:space="preserve"> </w:t>
      </w:r>
      <w:r>
        <w:rPr>
          <w:b/>
          <w:bCs/>
        </w:rPr>
        <w:t xml:space="preserve">~67% EBITDA margin</w:t>
      </w:r>
      <w:r>
        <w:t xml:space="preserve">, which is unusually high</w:t>
      </w:r>
      <w:r>
        <w:t xml:space="preserve"> </w:t>
      </w:r>
      <w:r>
        <w:t xml:space="preserve">for a healthcare data-analytics/software company (Beacon’s own EBITDA</w:t>
      </w:r>
      <w:r>
        <w:t xml:space="preserve"> </w:t>
      </w:r>
      <w:r>
        <w:t xml:space="preserve">margin, by comparison, is ~29% on $11,000,000 of revenue). The</w:t>
      </w:r>
      <w:r>
        <w:t xml:space="preserve"> </w:t>
      </w:r>
      <w:r>
        <w:t xml:space="preserve">Section 163(j) interest-deductibility conclusion depends on this</w:t>
      </w:r>
      <w:r>
        <w:t xml:space="preserve"> </w:t>
      </w:r>
      <w:r>
        <w:t xml:space="preserve">figure: at $190,000,000 of Term Loan A debt at SOFR + 350 bps, annual</w:t>
      </w:r>
      <w:r>
        <w:t xml:space="preserve"> </w:t>
      </w:r>
      <w:r>
        <w:t xml:space="preserve">interest is roughly $15,000,000, and 30% of $58,000,000 EBITDA is</w:t>
      </w:r>
      <w:r>
        <w:t xml:space="preserve"> </w:t>
      </w:r>
      <w:r>
        <w:t xml:space="preserve">$17,400,000 — just enough capacity. If EBITDA is materially lower,</w:t>
      </w:r>
      <w:r>
        <w:t xml:space="preserve"> </w:t>
      </w:r>
      <w:r>
        <w:t xml:space="preserve">the interest may not be fully deductible. The EBITDA figure should be</w:t>
      </w:r>
      <w:r>
        <w:t xml:space="preserve"> </w:t>
      </w:r>
      <w:r>
        <w:t xml:space="preserve">corroborated with Thornfield’s quality-of-earnings analysis.</w:t>
      </w:r>
    </w:p>
    <w:bookmarkEnd w:id="67"/>
    <w:bookmarkStart w:id="68" w:name="X71a189a7422d8d24597f59a23a80476561913b8"/>
    <w:p>
      <w:pPr>
        <w:pStyle w:val="Heading4"/>
      </w:pPr>
      <w:r>
        <w:t xml:space="preserve">L-20. Tax Indemnification Structure (SPA Section 7.6) Not Addressed</w:t>
      </w:r>
    </w:p>
    <w:p>
      <w:pPr>
        <w:pStyle w:val="FirstParagraph"/>
      </w:pPr>
      <w:r>
        <w:t xml:space="preserve">SPA Section 7.6 provides that the Shareholders indemnify Parent, the</w:t>
      </w:r>
      <w:r>
        <w:t xml:space="preserve"> </w:t>
      </w:r>
      <w:r>
        <w:t xml:space="preserve">Surviving Corporation, and their affiliates against</w:t>
      </w:r>
      <w:r>
        <w:t xml:space="preserve"> </w:t>
      </w:r>
      <w:r>
        <w:t xml:space="preserve">“</w:t>
      </w:r>
      <w:r>
        <w:t xml:space="preserve">any and all Taxes</w:t>
      </w:r>
      <w:r>
        <w:t xml:space="preserve"> </w:t>
      </w:r>
      <w:r>
        <w:t xml:space="preserve">of the Company or any Company Subsidiary attributable to any pre-Closing</w:t>
      </w:r>
      <w:r>
        <w:t xml:space="preserve"> </w:t>
      </w:r>
      <w:r>
        <w:t xml:space="preserve">Tax period … including any Taxes arising from the deemed asset sale</w:t>
      </w:r>
      <w:r>
        <w:t xml:space="preserve"> </w:t>
      </w:r>
      <w:r>
        <w:t xml:space="preserve">under the Section 338(h)(10) Election that are the responsibility of the</w:t>
      </w:r>
      <w:r>
        <w:t xml:space="preserve"> </w:t>
      </w:r>
      <w:r>
        <w:t xml:space="preserve">Shareholders under applicable law.</w:t>
      </w:r>
      <w:r>
        <w:t xml:space="preserve">”</w:t>
      </w:r>
      <w:r>
        <w:t xml:space="preserve"> </w:t>
      </w:r>
      <w:r>
        <w:t xml:space="preserve">The Memo does not address this</w:t>
      </w:r>
      <w:r>
        <w:t xml:space="preserve"> </w:t>
      </w:r>
      <w:r>
        <w:t xml:space="preserve">indemnity structure. It is directly relevant to the risk allocation for</w:t>
      </w:r>
      <w:r>
        <w:t xml:space="preserve"> </w:t>
      </w:r>
      <w:r>
        <w:t xml:space="preserve">the Section 482 transfer-pricing exposure (H-7, ~$6,300,000), the New</w:t>
      </w:r>
      <w:r>
        <w:t xml:space="preserve"> </w:t>
      </w:r>
      <w:r>
        <w:t xml:space="preserve">York sales-tax exposure (M-9, $150,000–$300,000), the NC R&amp;D-credit</w:t>
      </w:r>
      <w:r>
        <w:t xml:space="preserve"> </w:t>
      </w:r>
      <w:r>
        <w:t xml:space="preserve">disallowance risk (L-17), and any pre-closing tax liability arising if</w:t>
      </w:r>
      <w:r>
        <w:t xml:space="preserve"> </w:t>
      </w:r>
      <w:r>
        <w:t xml:space="preserve">the S election is invalidated (C-1). The Memo should cross-reference the</w:t>
      </w:r>
      <w:r>
        <w:t xml:space="preserve"> </w:t>
      </w:r>
      <w:r>
        <w:t xml:space="preserve">indemnity and confirm that the escrow ($22,000,000) is sized to cover</w:t>
      </w:r>
      <w:r>
        <w:t xml:space="preserve"> </w:t>
      </w:r>
      <w:r>
        <w:t xml:space="preserve">these exposures.</w:t>
      </w:r>
    </w:p>
    <w:bookmarkEnd w:id="68"/>
    <w:bookmarkStart w:id="69" w:name="X7d7d84e6fbd41a66a4df10a2cf93a30d7f29954"/>
    <w:p>
      <w:pPr>
        <w:pStyle w:val="Heading4"/>
      </w:pPr>
      <w:r>
        <w:t xml:space="preserve">L-21. SPA Allocation-Finalization Procedure (Section 7.3(b)) Not Addressed</w:t>
      </w:r>
    </w:p>
    <w:p>
      <w:pPr>
        <w:pStyle w:val="FirstParagraph"/>
      </w:pPr>
      <w:r>
        <w:t xml:space="preserve">SPA Section 7.3(b) establishes a contractual procedure for finalizing</w:t>
      </w:r>
      <w:r>
        <w:t xml:space="preserve"> </w:t>
      </w:r>
      <w:r>
        <w:t xml:space="preserve">the purchase price allocation: Parent prepares a proposed allocation</w:t>
      </w:r>
      <w:r>
        <w:t xml:space="preserve"> </w:t>
      </w:r>
      <w:r>
        <w:t xml:space="preserve">within</w:t>
      </w:r>
      <w:r>
        <w:t xml:space="preserve"> </w:t>
      </w:r>
      <w:r>
        <w:rPr>
          <w:b/>
          <w:bCs/>
        </w:rPr>
        <w:t xml:space="preserve">90 days</w:t>
      </w:r>
      <w:r>
        <w:t xml:space="preserve"> </w:t>
      </w:r>
      <w:r>
        <w:t xml:space="preserve">following the closing date; the Shareholder</w:t>
      </w:r>
      <w:r>
        <w:t xml:space="preserve"> </w:t>
      </w:r>
      <w:r>
        <w:t xml:space="preserve">Representative has</w:t>
      </w:r>
      <w:r>
        <w:t xml:space="preserve"> </w:t>
      </w:r>
      <w:r>
        <w:rPr>
          <w:b/>
          <w:bCs/>
        </w:rPr>
        <w:t xml:space="preserve">30 days</w:t>
      </w:r>
      <w:r>
        <w:t xml:space="preserve"> </w:t>
      </w:r>
      <w:r>
        <w:t xml:space="preserve">to object; the parties negotiate for an</w:t>
      </w:r>
      <w:r>
        <w:t xml:space="preserve"> </w:t>
      </w:r>
      <w:r>
        <w:t xml:space="preserve">additional</w:t>
      </w:r>
      <w:r>
        <w:t xml:space="preserve"> </w:t>
      </w:r>
      <w:r>
        <w:rPr>
          <w:b/>
          <w:bCs/>
        </w:rPr>
        <w:t xml:space="preserve">30 days</w:t>
      </w:r>
      <w:r>
        <w:t xml:space="preserve">; and if unresolved, the dispute is resolved by a</w:t>
      </w:r>
      <w:r>
        <w:t xml:space="preserve"> </w:t>
      </w:r>
      <w:r>
        <w:t xml:space="preserve">“</w:t>
      </w:r>
      <w:r>
        <w:t xml:space="preserve">nationally recognized independent accounting firm.</w:t>
      </w:r>
      <w:r>
        <w:t xml:space="preserve">”</w:t>
      </w:r>
      <w:r>
        <w:t xml:space="preserve"> </w:t>
      </w:r>
      <w:r>
        <w:t xml:space="preserve">The Memo (Section</w:t>
      </w:r>
      <w:r>
        <w:t xml:space="preserve"> </w:t>
      </w:r>
      <w:r>
        <w:t xml:space="preserve">IV.C) presents its allocation as</w:t>
      </w:r>
      <w:r>
        <w:t xml:space="preserve"> </w:t>
      </w:r>
      <w:r>
        <w:t xml:space="preserve">“</w:t>
      </w:r>
      <w:r>
        <w:t xml:space="preserve">preliminary and subject to adjustment</w:t>
      </w:r>
      <w:r>
        <w:t xml:space="preserve"> </w:t>
      </w:r>
      <w:r>
        <w:t xml:space="preserve">based upon the final asset valuation to be completed by Thornfield</w:t>
      </w:r>
      <w:r>
        <w:t xml:space="preserve">”</w:t>
      </w:r>
      <w:r>
        <w:t xml:space="preserve"> </w:t>
      </w:r>
      <w:r>
        <w:t xml:space="preserve">but</w:t>
      </w:r>
      <w:r>
        <w:t xml:space="preserve"> </w:t>
      </w:r>
      <w:r>
        <w:t xml:space="preserve">does not mention the SPA’s 90/30/30-day finalization procedure or the</w:t>
      </w:r>
      <w:r>
        <w:t xml:space="preserve"> </w:t>
      </w:r>
      <w:r>
        <w:t xml:space="preserve">independent-firm dispute-resolution mechanism. Given that the Memo and</w:t>
      </w:r>
      <w:r>
        <w:t xml:space="preserve"> </w:t>
      </w:r>
      <w:r>
        <w:t xml:space="preserve">Thornfield currently disagree by $76,500,000 in goodwill (C-2, H-3),</w:t>
      </w:r>
      <w:r>
        <w:t xml:space="preserve"> </w:t>
      </w:r>
      <w:r>
        <w:t xml:space="preserve">this procedure is likely to be invoked; the Memo should describe it.</w:t>
      </w:r>
    </w:p>
    <w:bookmarkEnd w:id="69"/>
    <w:bookmarkStart w:id="70" w:name="X014396d3b9e19d772d6d82fc8181bdd874c2220"/>
    <w:p>
      <w:pPr>
        <w:pStyle w:val="Heading4"/>
      </w:pPr>
      <w:r>
        <w:t xml:space="preserve">L-22. Shareholder Form 8023 Execution Deadline Is 30 Days Before the Filing Deadline (November 15, 2025), Not December 15, 2025</w:t>
      </w:r>
    </w:p>
    <w:p>
      <w:pPr>
        <w:pStyle w:val="FirstParagraph"/>
      </w:pPr>
      <w:r>
        <w:t xml:space="preserve">The Memo (Section IV.A and Appendix A) states that the Form 8023 filing</w:t>
      </w:r>
      <w:r>
        <w:t xml:space="preserve"> </w:t>
      </w:r>
      <w:r>
        <w:t xml:space="preserve">deadline is December 15, 2025. SPA Section 7.3(c) additionally requires</w:t>
      </w:r>
      <w:r>
        <w:t xml:space="preserve"> </w:t>
      </w:r>
      <w:r>
        <w:t xml:space="preserve">that</w:t>
      </w:r>
      <w:r>
        <w:t xml:space="preserve"> </w:t>
      </w:r>
      <w:r>
        <w:t xml:space="preserve">“</w:t>
      </w:r>
      <w:r>
        <w:t xml:space="preserve">each Shareholder shall execute such form in a timely manner and,</w:t>
      </w:r>
      <w:r>
        <w:t xml:space="preserve"> </w:t>
      </w:r>
      <w:r>
        <w:t xml:space="preserve">in any event,</w:t>
      </w:r>
      <w:r>
        <w:t xml:space="preserve"> </w:t>
      </w:r>
      <w:r>
        <w:rPr>
          <w:b/>
          <w:bCs/>
        </w:rPr>
        <w:t xml:space="preserve">no later than thirty (30) days prior to the applicable</w:t>
      </w:r>
      <w:r>
        <w:rPr>
          <w:b/>
          <w:bCs/>
        </w:rPr>
        <w:t xml:space="preserve"> </w:t>
      </w:r>
      <w:r>
        <w:rPr>
          <w:b/>
          <w:bCs/>
        </w:rPr>
        <w:t xml:space="preserve">filing deadline</w:t>
      </w:r>
      <w:r>
        <w:t xml:space="preserve">”</w:t>
      </w:r>
      <w:r>
        <w:t xml:space="preserve"> </w:t>
      </w:r>
      <w:r>
        <w:t xml:space="preserve">— i.e., by</w:t>
      </w:r>
      <w:r>
        <w:t xml:space="preserve"> </w:t>
      </w:r>
      <w:r>
        <w:rPr>
          <w:b/>
          <w:bCs/>
        </w:rPr>
        <w:t xml:space="preserve">November 15, 2025</w:t>
      </w:r>
      <w:r>
        <w:t xml:space="preserve">. The Memo does not</w:t>
      </w:r>
      <w:r>
        <w:t xml:space="preserve"> </w:t>
      </w:r>
      <w:r>
        <w:t xml:space="preserve">mention this earlier shareholder-execution deadline. Given the</w:t>
      </w:r>
      <w:r>
        <w:t xml:space="preserve"> </w:t>
      </w:r>
      <w:r>
        <w:t xml:space="preserve">shareholder-consent collection effort required (especially for the</w:t>
      </w:r>
      <w:r>
        <w:t xml:space="preserve"> </w:t>
      </w:r>
      <w:r>
        <w:t xml:space="preserve">unverified-eligibility holders in C-1), the November 15, 2025 deadline</w:t>
      </w:r>
      <w:r>
        <w:t xml:space="preserve"> </w:t>
      </w:r>
      <w:r>
        <w:t xml:space="preserve">is the operative date for shareholder action and should be flagged.</w:t>
      </w:r>
    </w:p>
    <w:bookmarkEnd w:id="70"/>
    <w:bookmarkStart w:id="71" w:name="Xb6f6ebdc112a053c59400781b1c186d5a64be61"/>
    <w:p>
      <w:pPr>
        <w:pStyle w:val="Heading4"/>
      </w:pPr>
      <w:r>
        <w:t xml:space="preserve">L-23. Transfer Taxes (SPA Section 7.5) Not Addressed in the State-Tax Analysis</w:t>
      </w:r>
    </w:p>
    <w:p>
      <w:pPr>
        <w:pStyle w:val="FirstParagraph"/>
      </w:pPr>
      <w:r>
        <w:t xml:space="preserve">SPA Section 7.5 provides that</w:t>
      </w:r>
      <w:r>
        <w:t xml:space="preserve"> </w:t>
      </w:r>
      <w:r>
        <w:t xml:space="preserve">“</w:t>
      </w:r>
      <w:r>
        <w:t xml:space="preserve">All transfer, documentary, sales, use,</w:t>
      </w:r>
      <w:r>
        <w:t xml:space="preserve"> </w:t>
      </w:r>
      <w:r>
        <w:t xml:space="preserve">stamp, registration, value added, and other similar Taxes and fees …</w:t>
      </w:r>
      <w:r>
        <w:t xml:space="preserve"> </w:t>
      </w:r>
      <w:r>
        <w:t xml:space="preserve">incurred in connection with the Merger … shall be borne and paid fifty</w:t>
      </w:r>
      <w:r>
        <w:t xml:space="preserve"> </w:t>
      </w:r>
      <w:r>
        <w:t xml:space="preserve">percent (50%) by Parent and fifty percent (50%) by the Shareholders.</w:t>
      </w:r>
      <w:r>
        <w:t xml:space="preserve">”</w:t>
      </w:r>
      <w:r>
        <w:t xml:space="preserve"> </w:t>
      </w:r>
      <w:r>
        <w:t xml:space="preserve">The Memo’s state-tax analysis (Section VI) does not address transfer or</w:t>
      </w:r>
      <w:r>
        <w:t xml:space="preserve"> </w:t>
      </w:r>
      <w:r>
        <w:t xml:space="preserve">documentary taxes or the 50/50 allocation. While Delaware imposes no</w:t>
      </w:r>
      <w:r>
        <w:t xml:space="preserve"> </w:t>
      </w:r>
      <w:r>
        <w:t xml:space="preserve">stock-transfer tax, North Carolina and other states may impose</w:t>
      </w:r>
      <w:r>
        <w:t xml:space="preserve"> </w:t>
      </w:r>
      <w:r>
        <w:t xml:space="preserve">documentary or transfer taxes on the merger consideration; the Memo</w:t>
      </w:r>
      <w:r>
        <w:t xml:space="preserve"> </w:t>
      </w:r>
      <w:r>
        <w:t xml:space="preserve">should address this dimension and the contractual allocation.</w:t>
      </w:r>
    </w:p>
    <w:bookmarkEnd w:id="71"/>
    <w:bookmarkStart w:id="72" w:name="Xbba18e8177d83e280d497c5bdad25ae93de0563"/>
    <w:p>
      <w:pPr>
        <w:pStyle w:val="Heading4"/>
      </w:pPr>
      <w:r>
        <w:t xml:space="preserve">L-24. Beacon Tax-Distribution Obligation and BBA Partnership-Representative / Push-Out Election Not Addressed</w:t>
      </w:r>
    </w:p>
    <w:p>
      <w:pPr>
        <w:pStyle w:val="FirstParagraph"/>
      </w:pPr>
      <w:r>
        <w:t xml:space="preserve">The Beacon Operating Agreement (Section 7.02) requires Beacon to</w:t>
      </w:r>
      <w:r>
        <w:t xml:space="preserve"> </w:t>
      </w:r>
      <w:r>
        <w:t xml:space="preserve">distribute to each member, within 90 days after each fiscal year end, an</w:t>
      </w:r>
      <w:r>
        <w:t xml:space="preserve"> </w:t>
      </w:r>
      <w:r>
        <w:t xml:space="preserve">amount equal to the member’s share of Beacon taxable income multiplied</w:t>
      </w:r>
      <w:r>
        <w:t xml:space="preserve"> </w:t>
      </w:r>
      <w:r>
        <w:t xml:space="preserve">by the highest combined federal/state marginal rate for North Carolina</w:t>
      </w:r>
      <w:r>
        <w:t xml:space="preserve"> </w:t>
      </w:r>
      <w:r>
        <w:t xml:space="preserve">residents. Section 11.02 designates Prism as the</w:t>
      </w:r>
      <w:r>
        <w:t xml:space="preserve"> </w:t>
      </w:r>
      <w:r>
        <w:t xml:space="preserve">“</w:t>
      </w:r>
      <w:r>
        <w:t xml:space="preserve">Partnership</w:t>
      </w:r>
      <w:r>
        <w:t xml:space="preserve"> </w:t>
      </w:r>
      <w:r>
        <w:t xml:space="preserve">Representative</w:t>
      </w:r>
      <w:r>
        <w:t xml:space="preserve">”</w:t>
      </w:r>
      <w:r>
        <w:t xml:space="preserve"> </w:t>
      </w:r>
      <w:r>
        <w:t xml:space="preserve">under the BBA partnership-audit regime (Section 6223),</w:t>
      </w:r>
      <w:r>
        <w:t xml:space="preserve"> </w:t>
      </w:r>
      <w:r>
        <w:t xml:space="preserve">with authority to bind the company and members in tax audits, and</w:t>
      </w:r>
      <w:r>
        <w:t xml:space="preserve"> </w:t>
      </w:r>
      <w:r>
        <w:t xml:space="preserve">Section 11.04 authorizes a Section 6226 push-out election. After the</w:t>
      </w:r>
      <w:r>
        <w:t xml:space="preserve"> </w:t>
      </w:r>
      <w:r>
        <w:t xml:space="preserve">change of control, new Target (Prism) remains the Partnership</w:t>
      </w:r>
      <w:r>
        <w:t xml:space="preserve"> </w:t>
      </w:r>
      <w:r>
        <w:t xml:space="preserve">Representative and 80.5% member. The Memo (Section VIII) does not</w:t>
      </w:r>
      <w:r>
        <w:t xml:space="preserve"> </w:t>
      </w:r>
      <w:r>
        <w:t xml:space="preserve">address (a) Beacon’s tax-distribution obligation as it affects the</w:t>
      </w:r>
      <w:r>
        <w:t xml:space="preserve"> </w:t>
      </w:r>
      <w:r>
        <w:t xml:space="preserve">post-closing owner, (b) the BBA audit-regime implications (including</w:t>
      </w:r>
      <w:r>
        <w:t xml:space="preserve"> </w:t>
      </w:r>
      <w:r>
        <w:t xml:space="preserve">that the Partnership Representative can bind the minority members</w:t>
      </w:r>
      <w:r>
        <w:t xml:space="preserve"> </w:t>
      </w:r>
      <w:r>
        <w:t xml:space="preserve">Delano and Avesta), or (c) the push-out election decision. These are</w:t>
      </w:r>
      <w:r>
        <w:t xml:space="preserve"> </w:t>
      </w:r>
      <w:r>
        <w:t xml:space="preserve">post-closing operational and audit-risk matters Buyer should understand.</w:t>
      </w:r>
    </w:p>
    <w:bookmarkEnd w:id="72"/>
    <w:bookmarkStart w:id="73" w:name="X82a54c59837bce308658d37fc73469fd73a6437"/>
    <w:p>
      <w:pPr>
        <w:pStyle w:val="Heading4"/>
      </w:pPr>
      <w:r>
        <w:t xml:space="preserve">L-25. SPA Tax-Return Preparation and Review Procedures (Section 7.1) Not Addressed</w:t>
      </w:r>
    </w:p>
    <w:p>
      <w:pPr>
        <w:pStyle w:val="FirstParagraph"/>
      </w:pPr>
      <w:r>
        <w:t xml:space="preserve">SPA Section 7.1 requires the Company to prepare and timely file all</w:t>
      </w:r>
      <w:r>
        <w:t xml:space="preserve"> </w:t>
      </w:r>
      <w:r>
        <w:t xml:space="preserve">pre-closing tax returns (including the final short-period S-corporation</w:t>
      </w:r>
      <w:r>
        <w:t xml:space="preserve"> </w:t>
      </w:r>
      <w:r>
        <w:t xml:space="preserve">return), to provide Parent a draft at least</w:t>
      </w:r>
      <w:r>
        <w:t xml:space="preserve"> </w:t>
      </w:r>
      <w:r>
        <w:rPr>
          <w:b/>
          <w:bCs/>
        </w:rPr>
        <w:t xml:space="preserve">30 days</w:t>
      </w:r>
      <w:r>
        <w:t xml:space="preserve"> </w:t>
      </w:r>
      <w:r>
        <w:t xml:space="preserve">before the due</w:t>
      </w:r>
      <w:r>
        <w:t xml:space="preserve"> </w:t>
      </w:r>
      <w:r>
        <w:t xml:space="preserve">date, and to give Parent</w:t>
      </w:r>
      <w:r>
        <w:t xml:space="preserve"> </w:t>
      </w:r>
      <w:r>
        <w:rPr>
          <w:b/>
          <w:bCs/>
        </w:rPr>
        <w:t xml:space="preserve">15 days</w:t>
      </w:r>
      <w:r>
        <w:t xml:space="preserve"> </w:t>
      </w:r>
      <w:r>
        <w:t xml:space="preserve">to comment, with the parties</w:t>
      </w:r>
      <w:r>
        <w:t xml:space="preserve"> </w:t>
      </w:r>
      <w:r>
        <w:t xml:space="preserve">cooperating to resolve disputes before filing. The Memo (Section IX.B)</w:t>
      </w:r>
      <w:r>
        <w:t xml:space="preserve"> </w:t>
      </w:r>
      <w:r>
        <w:t xml:space="preserve">lists the final short-period return as a required filing but does not</w:t>
      </w:r>
      <w:r>
        <w:t xml:space="preserve"> </w:t>
      </w:r>
      <w:r>
        <w:t xml:space="preserve">describe the SPA’s preparation/review timeline or Parent’s review</w:t>
      </w:r>
      <w:r>
        <w:t xml:space="preserve"> </w:t>
      </w:r>
      <w:r>
        <w:t xml:space="preserve">rights. This is relevant to closing coordination, particularly given</w:t>
      </w:r>
      <w:r>
        <w:t xml:space="preserve"> </w:t>
      </w:r>
      <w:r>
        <w:t xml:space="preserve">that the 2024 return and the final short-period return are both due</w:t>
      </w:r>
      <w:r>
        <w:t xml:space="preserve"> </w:t>
      </w:r>
      <w:r>
        <w:t xml:space="preserve">around the closing date (L-16).</w:t>
      </w:r>
    </w:p>
    <w:bookmarkEnd w:id="73"/>
    <w:bookmarkEnd w:id="74"/>
    <w:bookmarkEnd w:id="75"/>
    <w:bookmarkStart w:id="76" w:name="iv.-consolidated-findings-table"/>
    <w:p>
      <w:pPr>
        <w:pStyle w:val="Heading2"/>
      </w:pPr>
      <w:r>
        <w:t xml:space="preserve">IV. Consolidated Findings Table</w:t>
      </w:r>
    </w:p>
    <w:tbl>
      <w:tblPr>
        <w:tblStyle w:val="Table"/>
        <w:tblW w:type="pct" w:w="4888"/>
        <w:jc w:val="left"/>
        <w:tblLayout w:type="fixed"/>
        <w:tblLook w:firstRow="1" w:lastRow="0" w:firstColumn="0" w:lastColumn="0" w:noHBand="0" w:noVBand="0" w:val="0020"/>
      </w:tblPr>
      <w:tblGrid>
        <w:gridCol w:w="711"/>
        <w:gridCol w:w="1779"/>
        <w:gridCol w:w="2491"/>
        <w:gridCol w:w="275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S-election validity risk</w:t>
            </w:r>
            <w:r>
              <w:t xml:space="preserve"> </w:t>
            </w:r>
            <w:r>
              <w:t xml:space="preserve">not disclosed;</w:t>
            </w:r>
            <w:r>
              <w:t xml:space="preserve"> </w:t>
            </w:r>
            <w:r>
              <w:t xml:space="preserve">“</w:t>
            </w:r>
            <w:r>
              <w:t xml:space="preserve">no</w:t>
            </w:r>
            <w:r>
              <w:t xml:space="preserve"> </w:t>
            </w:r>
            <w:r>
              <w:t xml:space="preserve">ineligible shareholders</w:t>
            </w:r>
            <w:r>
              <w:t xml:space="preserve">”</w:t>
            </w:r>
            <w:r>
              <w:t xml:space="preserve"> </w:t>
            </w:r>
            <w:r>
              <w:t xml:space="preserve">contradicted by Thornfield</w:t>
            </w:r>
            <w:r>
              <w:t xml:space="preserve"> </w:t>
            </w:r>
            <w:r>
              <w:t xml:space="preserve">(2 unconfirmed) and cap</w:t>
            </w:r>
            <w:r>
              <w:t xml:space="preserve"> </w:t>
            </w:r>
            <w:r>
              <w:t xml:space="preserve">table (3 unconfirmed)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Thornfield §III.B; Cap Table;</w:t>
            </w:r>
            <w:r>
              <w:t xml:space="preserve"> </w:t>
            </w:r>
            <w:r>
              <w:t xml:space="preserve">Memo §III.A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ADSP double-counts $48M</w:t>
            </w:r>
            <w:r>
              <w:t xml:space="preserve"> </w:t>
            </w:r>
            <w:r>
              <w:t xml:space="preserve">funded debt ($473M</w:t>
            </w:r>
            <w:r>
              <w:t xml:space="preserve"> </w:t>
            </w:r>
            <w:r>
              <w:t xml:space="preserve">vs. ~$425M); cascades to</w:t>
            </w:r>
            <w:r>
              <w:t xml:space="preserve"> </w:t>
            </w:r>
            <w:r>
              <w:t xml:space="preserve">goodwill, gain,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Valuation Summary; Memo</w:t>
            </w:r>
            <w:r>
              <w:t xml:space="preserve"> </w:t>
            </w:r>
            <w:r>
              <w:t xml:space="preserve">§IV.B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QSBS / Section 1202</w:t>
            </w:r>
            <w:r>
              <w:t xml:space="preserve"> </w:t>
            </w:r>
            <w:r>
              <w:t xml:space="preserve">analysis omitted despite</w:t>
            </w:r>
            <w:r>
              <w:t xml:space="preserve"> </w:t>
            </w:r>
            <w:r>
              <w:t xml:space="preserve">written promise and urgent</w:t>
            </w:r>
            <w:r>
              <w:t xml:space="preserve"> </w:t>
            </w:r>
            <w:r>
              <w:t xml:space="preserve">requests; 338(h)(10) may</w:t>
            </w:r>
            <w:r>
              <w:t xml:space="preserve"> </w:t>
            </w:r>
            <w:r>
              <w:t xml:space="preserve">foreclose exclusion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thread; Thornfield</w:t>
            </w:r>
            <w:r>
              <w:t xml:space="preserve"> </w:t>
            </w:r>
            <w:r>
              <w:t xml:space="preserve">§VIII.B; Memo (silent)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 installment-deferral</w:t>
            </w:r>
            <w:r>
              <w:t xml:space="preserve"> </w:t>
            </w:r>
            <w:r>
              <w:t xml:space="preserve">position contradicts SPA</w:t>
            </w:r>
            <w:r>
              <w:t xml:space="preserve"> </w:t>
            </w:r>
            <w:r>
              <w:t xml:space="preserve">§7.4 (report in year of</w:t>
            </w:r>
            <w:r>
              <w:t xml:space="preserve"> </w:t>
            </w:r>
            <w:r>
              <w:t xml:space="preserve">closing)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§7.4; Memo §V.C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 adjusted tax</w:t>
            </w:r>
            <w:r>
              <w:t xml:space="preserve"> </w:t>
            </w:r>
            <w:r>
              <w:t xml:space="preserve">basis $42.8M</w:t>
            </w:r>
            <w:r>
              <w:t xml:space="preserve"> </w:t>
            </w:r>
            <w:r>
              <w:t xml:space="preserve">vs. asset-valuation</w:t>
            </w:r>
            <w:r>
              <w:t xml:space="preserve"> </w:t>
            </w:r>
            <w:r>
              <w:t xml:space="preserve">per-asset sum ~$64.3M</w:t>
            </w:r>
            <w:r>
              <w:t xml:space="preserve"> </w:t>
            </w:r>
            <w:r>
              <w:t xml:space="preserve">($21.5M gap)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Valuation Summary; Memo</w:t>
            </w:r>
            <w:r>
              <w:t xml:space="preserve"> </w:t>
            </w:r>
            <w:r>
              <w:t xml:space="preserve">§III.B/V.A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V software/developed</w:t>
            </w:r>
            <w:r>
              <w:t xml:space="preserve"> </w:t>
            </w:r>
            <w:r>
              <w:t xml:space="preserve">technology $19M</w:t>
            </w:r>
            <w:r>
              <w:t xml:space="preserve"> </w:t>
            </w:r>
            <w:r>
              <w:t xml:space="preserve">vs. Thornfield $47.5M</w:t>
            </w:r>
            <w:r>
              <w:t xml:space="preserve"> </w:t>
            </w:r>
            <w:r>
              <w:t xml:space="preserve">($28.5M understatement;</w:t>
            </w:r>
            <w:r>
              <w:t xml:space="preserve"> </w:t>
            </w:r>
            <w:r>
              <w:t xml:space="preserve">5–7 yr vs. 15 yr</w:t>
            </w:r>
            <w:r>
              <w:t xml:space="preserve"> </w:t>
            </w:r>
            <w:r>
              <w:t xml:space="preserve">amortization)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Valuation A-006/A-007;</w:t>
            </w:r>
            <w:r>
              <w:t xml:space="preserve"> </w:t>
            </w:r>
            <w:r>
              <w:t xml:space="preserve">Memo §IV.C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Beacon IP License Agreement</w:t>
            </w:r>
            <w:r>
              <w:t xml:space="preserve"> </w:t>
            </w:r>
            <w:r>
              <w:t xml:space="preserve">auto-terminates on change</w:t>
            </w:r>
            <w:r>
              <w:t xml:space="preserve"> </w:t>
            </w:r>
            <w:r>
              <w:t xml:space="preserve">of control; not disclosed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Beacon OA §9.02; Memo §VIII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 data processing license</w:t>
            </w:r>
            <w:r>
              <w:t xml:space="preserve"> </w:t>
            </w:r>
            <w:r>
              <w:t xml:space="preserve">non-transferable; Memo</w:t>
            </w:r>
            <w:r>
              <w:t xml:space="preserve"> </w:t>
            </w:r>
            <w:r>
              <w:t xml:space="preserve">assumes it</w:t>
            </w:r>
            <w:r>
              <w:t xml:space="preserve"> </w:t>
            </w:r>
            <w:r>
              <w:t xml:space="preserve">“</w:t>
            </w:r>
            <w:r>
              <w:t xml:space="preserve">should remain</w:t>
            </w:r>
            <w:r>
              <w:t xml:space="preserve"> </w:t>
            </w:r>
            <w:r>
              <w:t xml:space="preserve">valid</w:t>
            </w:r>
            <w:r>
              <w:t xml:space="preserve">”</w:t>
            </w:r>
            <w:r>
              <w:t xml:space="preserve">; ~$19M revenue at</w:t>
            </w:r>
            <w:r>
              <w:t xml:space="preserve"> </w:t>
            </w: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§4.9(i); Asset Valuation</w:t>
            </w:r>
            <w:r>
              <w:t xml:space="preserve"> </w:t>
            </w:r>
            <w:r>
              <w:t xml:space="preserve">A-008; Memo §VI.A/IX.A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$3.8M suspended R&amp;D</w:t>
            </w:r>
            <w:r>
              <w:t xml:space="preserve"> </w:t>
            </w:r>
            <w:r>
              <w:t xml:space="preserve">credits at risk of</w:t>
            </w:r>
            <w:r>
              <w:t xml:space="preserve"> </w:t>
            </w:r>
            <w:r>
              <w:t xml:space="preserve">permanent loss in deemed</w:t>
            </w:r>
            <w:r>
              <w:t xml:space="preserve"> </w:t>
            </w:r>
            <w:r>
              <w:t xml:space="preserve">liquidation; not analyzed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Thornfield §IV.B/IX.A; Memo</w:t>
            </w:r>
            <w:r>
              <w:t xml:space="preserve"> </w:t>
            </w:r>
            <w:r>
              <w:t xml:space="preserve">§III.D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~$6.3M Section 482</w:t>
            </w:r>
            <w:r>
              <w:t xml:space="preserve"> </w:t>
            </w:r>
            <w:r>
              <w:t xml:space="preserve">transfer-pricing exposure</w:t>
            </w:r>
            <w:r>
              <w:t xml:space="preserve"> </w:t>
            </w:r>
            <w:r>
              <w:t xml:space="preserve">on intercompany fees</w:t>
            </w:r>
            <w:r>
              <w:t xml:space="preserve"> </w:t>
            </w:r>
            <w:r>
              <w:t xml:space="preserve">omitted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Thornfield §VII; SPA §4.9(h);</w:t>
            </w:r>
            <w:r>
              <w:t xml:space="preserve"> </w:t>
            </w:r>
            <w:r>
              <w:t xml:space="preserve">Beacon OA §9.01/9.02; Memo</w:t>
            </w:r>
            <w:r>
              <w:t xml:space="preserve"> </w:t>
            </w:r>
            <w:r>
              <w:t xml:space="preserve">§VIII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Beacon ROFR triggered by</w:t>
            </w:r>
            <w:r>
              <w:t xml:space="preserve"> </w:t>
            </w:r>
            <w:r>
              <w:t xml:space="preserve">Change of Control;</w:t>
            </w:r>
            <w:r>
              <w:t xml:space="preserve"> </w:t>
            </w:r>
            <w:r>
              <w:t xml:space="preserve">consequences not analyzed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Beacon OA §8.03; Memo §VIII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751 hot assets at</w:t>
            </w:r>
            <w:r>
              <w:t xml:space="preserve"> </w:t>
            </w:r>
            <w:r>
              <w:t xml:space="preserve">Beacon not addressed; gain</w:t>
            </w:r>
            <w:r>
              <w:t xml:space="preserve"> </w:t>
            </w:r>
            <w:r>
              <w:t xml:space="preserve">characterized as long-term</w:t>
            </w:r>
            <w:r>
              <w:t xml:space="preserve"> </w:t>
            </w:r>
            <w:r>
              <w:t xml:space="preserve">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Thornfield §VI.B; Beacon OA</w:t>
            </w:r>
            <w:r>
              <w:t xml:space="preserve"> </w:t>
            </w:r>
            <w:r>
              <w:t xml:space="preserve">§6.05; Memo §VIII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754 election at</w:t>
            </w:r>
            <w:r>
              <w:t xml:space="preserve"> </w:t>
            </w:r>
            <w:r>
              <w:t xml:space="preserve">Beacon not addressed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Beacon OA §11.05; Asset</w:t>
            </w:r>
            <w:r>
              <w:t xml:space="preserve"> </w:t>
            </w:r>
            <w:r>
              <w:t xml:space="preserve">Valuation A-009; Memo (silent)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AAA/AE&amp;P/PTI</w:t>
            </w:r>
            <w:r>
              <w:t xml:space="preserve"> </w:t>
            </w:r>
            <w:r>
              <w:t xml:space="preserve">deemed-liquidation</w:t>
            </w:r>
            <w:r>
              <w:t xml:space="preserve"> </w:t>
            </w:r>
            <w:r>
              <w:t xml:space="preserve">distribution ordering not</w:t>
            </w:r>
            <w:r>
              <w:t xml:space="preserve"> </w:t>
            </w:r>
            <w:r>
              <w:t xml:space="preserve">addressed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Thornfield §IX.C; Memo §V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Gain allocated on basic</w:t>
            </w:r>
            <w:r>
              <w:t xml:space="preserve"> </w:t>
            </w:r>
            <w:r>
              <w:t xml:space="preserve">(52/28/20) not</w:t>
            </w:r>
            <w:r>
              <w:t xml:space="preserve"> </w:t>
            </w:r>
            <w:r>
              <w:t xml:space="preserve">fully-diluted</w:t>
            </w:r>
            <w:r>
              <w:t xml:space="preserve"> </w:t>
            </w:r>
            <w:r>
              <w:t xml:space="preserve">(50.83/27.37/21.80)</w:t>
            </w:r>
            <w:r>
              <w:t xml:space="preserve"> </w:t>
            </w:r>
            <w:r>
              <w:t xml:space="preserve">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 Table; Memo §III.A/V.B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Shareholder count 14 (11</w:t>
            </w:r>
            <w:r>
              <w:t xml:space="preserve"> </w:t>
            </w:r>
            <w:r>
              <w:t xml:space="preserve">NC/2 CA/1 NY) vs. cap table</w:t>
            </w:r>
            <w:r>
              <w:t xml:space="preserve"> </w:t>
            </w:r>
            <w:r>
              <w:t xml:space="preserve">17 (14 NC/2 CA/1 NY)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 Table; Memo §II.A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Rollover tax-funding gap</w:t>
            </w:r>
            <w:r>
              <w:t xml:space="preserve"> </w:t>
            </w:r>
            <w:r>
              <w:t xml:space="preserve">not addressed;</w:t>
            </w:r>
            <w:r>
              <w:t xml:space="preserve"> </w:t>
            </w:r>
            <w:r>
              <w:t xml:space="preserve">“</w:t>
            </w:r>
            <w:r>
              <w:t xml:space="preserve">cash-then-contribute</w:t>
            </w:r>
            <w:r>
              <w:t xml:space="preserve">”</w:t>
            </w:r>
            <w:r>
              <w:t xml:space="preserve"> </w:t>
            </w:r>
            <w:r>
              <w:t xml:space="preserve">vs. SPA exchange mechanic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§2.4(b); Cap Table; Memo</w:t>
            </w:r>
            <w:r>
              <w:t xml:space="preserve"> </w:t>
            </w:r>
            <w:r>
              <w:t xml:space="preserve">§V.B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Tension between SPA</w:t>
            </w:r>
            <w:r>
              <w:t xml:space="preserve"> </w:t>
            </w:r>
            <w:r>
              <w:t xml:space="preserve">eligibility reps/closing</w:t>
            </w:r>
            <w:r>
              <w:t xml:space="preserve"> </w:t>
            </w:r>
            <w:r>
              <w:t xml:space="preserve">condition and S-election</w:t>
            </w:r>
            <w:r>
              <w:t xml:space="preserve"> </w:t>
            </w:r>
            <w:r>
              <w:t xml:space="preserve">findings not flagged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§4.9(a)/2.5/8.2(c);</w:t>
            </w:r>
            <w:r>
              <w:t xml:space="preserve"> </w:t>
            </w:r>
            <w:r>
              <w:t xml:space="preserve">Thornfield §III.B; Memo</w:t>
            </w:r>
            <w:r>
              <w:t xml:space="preserve"> </w:t>
            </w:r>
            <w:r>
              <w:t xml:space="preserve">(silent)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York sales-and-use tax</w:t>
            </w:r>
            <w:r>
              <w:t xml:space="preserve"> </w:t>
            </w:r>
            <w:r>
              <w:t xml:space="preserve">exposure ($150K–$300K)</w:t>
            </w:r>
            <w:r>
              <w:t xml:space="preserve"> </w:t>
            </w:r>
            <w:r>
              <w:t xml:space="preserve">omitted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Thornfield §X.A; Memo §VI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Gain character (ordinary</w:t>
            </w:r>
            <w:r>
              <w:t xml:space="preserve"> </w:t>
            </w:r>
            <w:r>
              <w:t xml:space="preserve">vs. capital) not quantified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 §V.A/V.B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State-tax analysis</w:t>
            </w:r>
            <w:r>
              <w:t xml:space="preserve"> </w:t>
            </w:r>
            <w:r>
              <w:t xml:space="preserve">incomplete for VA/NY;</w:t>
            </w:r>
            <w:r>
              <w:t xml:space="preserve"> </w:t>
            </w:r>
            <w:r>
              <w:t xml:space="preserve">non-resident</w:t>
            </w:r>
            <w:r>
              <w:t xml:space="preserve"> </w:t>
            </w:r>
            <w:r>
              <w:t xml:space="preserve">withholding/composite</w:t>
            </w:r>
            <w:r>
              <w:t xml:space="preserve"> </w:t>
            </w:r>
            <w:r>
              <w:t xml:space="preserve">returns not addressed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Thornfield §V.B; Memo §VI.C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California sourcing of</w:t>
            </w:r>
            <w:r>
              <w:t xml:space="preserve"> </w:t>
            </w:r>
            <w:r>
              <w:t xml:space="preserve">deemed sale gain and CA</w:t>
            </w:r>
            <w:r>
              <w:t xml:space="preserve"> </w:t>
            </w:r>
            <w:r>
              <w:t xml:space="preserve">conformity to 338(h)(10)</w:t>
            </w:r>
            <w:r>
              <w:t xml:space="preserve"> </w:t>
            </w:r>
            <w:r>
              <w:t xml:space="preserve">not analyzed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 §VI.B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Counsel-role inconsistency:</w:t>
            </w:r>
            <w:r>
              <w:t xml:space="preserve"> </w:t>
            </w:r>
            <w:r>
              <w:t xml:space="preserve">Memo says CSW is Buyer’s</w:t>
            </w:r>
            <w:r>
              <w:t xml:space="preserve"> </w:t>
            </w:r>
            <w:r>
              <w:t xml:space="preserve">counsel; SPA pays CSW</w:t>
            </w:r>
            <w:r>
              <w:t xml:space="preserve"> </w:t>
            </w:r>
            <w:r>
              <w:t xml:space="preserve">“</w:t>
            </w:r>
            <w:r>
              <w:t xml:space="preserve">as Company counsel</w:t>
            </w:r>
            <w:r>
              <w:t xml:space="preserve">”</w:t>
            </w:r>
            <w:r>
              <w:t xml:space="preserve"> </w:t>
            </w:r>
            <w:r>
              <w:t xml:space="preserve">($2.2M from seller exp.)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 §II.A/preamble; SPA</w:t>
            </w:r>
            <w:r>
              <w:t xml:space="preserve"> </w:t>
            </w:r>
            <w:r>
              <w:t xml:space="preserve">§2.6(b); Email thread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Memo’s §IX.C open-items</w:t>
            </w:r>
            <w:r>
              <w:t xml:space="preserve"> </w:t>
            </w:r>
            <w:r>
              <w:t xml:space="preserve">list and §X conclusions</w:t>
            </w:r>
            <w:r>
              <w:t xml:space="preserve"> </w:t>
            </w:r>
            <w:r>
              <w:t xml:space="preserve">omit every critical/high</w:t>
            </w:r>
            <w:r>
              <w:t xml:space="preserve"> </w:t>
            </w:r>
            <w:r>
              <w:t xml:space="preserve">open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 §IX.C/§X; Thornfield</w:t>
            </w:r>
            <w:r>
              <w:t xml:space="preserve"> </w:t>
            </w:r>
            <w:r>
              <w:t xml:space="preserve">report; SPA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Thornfield report date</w:t>
            </w:r>
            <w:r>
              <w:t xml:space="preserve"> </w:t>
            </w:r>
            <w:r>
              <w:t xml:space="preserve">mis-cited (Jan 10 vs. Jan</w:t>
            </w:r>
            <w:r>
              <w:t xml:space="preserve"> </w:t>
            </w:r>
            <w:r>
              <w:t xml:space="preserve">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 preamble; Thornfield</w:t>
            </w:r>
            <w:r>
              <w:t xml:space="preserve"> </w:t>
            </w:r>
            <w:r>
              <w:t xml:space="preserve">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section citation error</w:t>
            </w:r>
            <w:r>
              <w:t xml:space="preserve"> </w:t>
            </w:r>
            <w:r>
              <w:t xml:space="preserve">(§7.04 vs. §7.3(a)/§8.2(d))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 §IV.A; SPA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Stock Purchase Agreement</w:t>
            </w:r>
            <w:r>
              <w:t xml:space="preserve">”</w:t>
            </w:r>
            <w:r>
              <w:t xml:space="preserve"> </w:t>
            </w:r>
            <w:r>
              <w:t xml:space="preserve">vs. </w:t>
            </w:r>
            <w:r>
              <w:t xml:space="preserve">“</w:t>
            </w:r>
            <w:r>
              <w:t xml:space="preserve">Agreement and Plan of</w:t>
            </w:r>
            <w:r>
              <w:t xml:space="preserve"> </w:t>
            </w:r>
            <w:r>
              <w:t xml:space="preserve">Merger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Memo; SPA 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Treas. Reg. citation error</w:t>
            </w:r>
            <w:r>
              <w:t xml:space="preserve"> </w:t>
            </w:r>
            <w:r>
              <w:t xml:space="preserve">(1.301-7701-3</w:t>
            </w:r>
            <w:r>
              <w:t xml:space="preserve"> </w:t>
            </w:r>
            <w:r>
              <w:t xml:space="preserve">vs. 301.7701-3)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 §II.A/III.C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H-1B holder nationality</w:t>
            </w:r>
            <w:r>
              <w:t xml:space="preserve"> </w:t>
            </w:r>
            <w:r>
              <w:t xml:space="preserve">discrepancy (Canadian</w:t>
            </w:r>
            <w:r>
              <w:t xml:space="preserve"> </w:t>
            </w:r>
            <w:r>
              <w:t xml:space="preserve">vs. PRC)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Thornfield §III.B; Cap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Beacon management fee CPI</w:t>
            </w:r>
            <w:r>
              <w:t xml:space="preserve"> </w:t>
            </w:r>
            <w:r>
              <w:t xml:space="preserve">adjustment not followed</w:t>
            </w:r>
            <w:r>
              <w:t xml:space="preserve"> </w:t>
            </w:r>
            <w:r>
              <w:t xml:space="preserve">(flat since 2019)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Beacon OA §9.01; Thornfield</w:t>
            </w:r>
            <w:r>
              <w:t xml:space="preserve"> </w:t>
            </w:r>
            <w:r>
              <w:t xml:space="preserve">§VII.A; Memo §III.C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Thornfield Beacon section</w:t>
            </w:r>
            <w:r>
              <w:t xml:space="preserve"> </w:t>
            </w:r>
            <w:r>
              <w:t xml:space="preserve">citations (6.4/6.5</w:t>
            </w:r>
            <w:r>
              <w:t xml:space="preserve"> </w:t>
            </w:r>
            <w:r>
              <w:t xml:space="preserve">vs. 9.01/9.02) and</w:t>
            </w:r>
            <w:r>
              <w:t xml:space="preserve"> </w:t>
            </w:r>
            <w:r>
              <w:t xml:space="preserve">“</w:t>
            </w:r>
            <w:r>
              <w:t xml:space="preserve">no</w:t>
            </w:r>
            <w:r>
              <w:t xml:space="preserve"> </w:t>
            </w:r>
            <w:r>
              <w:t xml:space="preserve">formal agreement</w:t>
            </w:r>
            <w:r>
              <w:t xml:space="preserve">”</w:t>
            </w:r>
            <w:r>
              <w:t xml:space="preserve"> </w:t>
            </w:r>
            <w:r>
              <w:t xml:space="preserve">conflict</w:t>
            </w:r>
            <w:r>
              <w:t xml:space="preserve"> </w:t>
            </w:r>
            <w:r>
              <w:t xml:space="preserve">with 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Thornfield §VII; Beacon OA</w:t>
            </w:r>
            <w:r>
              <w:t xml:space="preserve"> </w:t>
            </w:r>
            <w:r>
              <w:t xml:space="preserve">§9.01/9.02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Chandra stock basis</w:t>
            </w:r>
            <w:r>
              <w:t xml:space="preserve"> </w:t>
            </w:r>
            <w:r>
              <w:t xml:space="preserve">$1.5M (Memo) vs. $1,014</w:t>
            </w:r>
            <w:r>
              <w:t xml:space="preserve"> </w:t>
            </w:r>
            <w:r>
              <w:t xml:space="preserve">(cap table)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 §V.B; Cap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Rollover destination entity</w:t>
            </w:r>
            <w:r>
              <w:t xml:space="preserve"> </w:t>
            </w:r>
            <w:r>
              <w:t xml:space="preserve">ambiguous/inconsistent</w:t>
            </w:r>
            <w:r>
              <w:t xml:space="preserve"> </w:t>
            </w:r>
            <w:r>
              <w:t xml:space="preserve">(Newco/Parent/Merger Sub)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 §V.B; SPA §2.4(b); Cap</w:t>
            </w:r>
            <w:r>
              <w:t xml:space="preserve"> </w:t>
            </w:r>
            <w:r>
              <w:t xml:space="preserve">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8883 and state</w:t>
            </w:r>
            <w:r>
              <w:t xml:space="preserve"> </w:t>
            </w:r>
            <w:r>
              <w:t xml:space="preserve">338(h)(10) forms omitted</w:t>
            </w:r>
            <w:r>
              <w:t xml:space="preserve"> </w:t>
            </w:r>
            <w:r>
              <w:t xml:space="preserve">from post-closing filings</w:t>
            </w:r>
            <w:r>
              <w:t xml:space="preserve"> </w:t>
            </w:r>
            <w: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§7.3; Memo §IX.B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 2025 individual rate</w:t>
            </w:r>
            <w:r>
              <w:t xml:space="preserve"> </w:t>
            </w:r>
            <w:r>
              <w:t xml:space="preserve">(4.5%) should be verified</w:t>
            </w:r>
            <w:r>
              <w:t xml:space="preserve"> </w:t>
            </w:r>
            <w:r>
              <w:t xml:space="preserve">against phased-reduction</w:t>
            </w:r>
            <w:r>
              <w:t xml:space="preserve"> </w:t>
            </w:r>
            <w:r>
              <w:t xml:space="preserve">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 §VI.A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Post-closing</w:t>
            </w:r>
            <w:r>
              <w:t xml:space="preserve"> </w:t>
            </w:r>
            <w:r>
              <w:t xml:space="preserve">C-corp-to-partnership</w:t>
            </w:r>
            <w:r>
              <w:t xml:space="preserve"> </w:t>
            </w:r>
            <w:r>
              <w:t xml:space="preserve">conversion recommendation</w:t>
            </w:r>
            <w:r>
              <w:t xml:space="preserve"> </w:t>
            </w:r>
            <w:r>
              <w:t xml:space="preserve">oversimplified (tax cost</w:t>
            </w:r>
            <w:r>
              <w:t xml:space="preserve"> </w:t>
            </w:r>
            <w:r>
              <w:t xml:space="preserve">not addressed)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 §VII.B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Non-compete</w:t>
            </w:r>
            <w:r>
              <w:t xml:space="preserve"> </w:t>
            </w:r>
            <w:r>
              <w:t xml:space="preserve">vs. employment/consulting</w:t>
            </w:r>
            <w:r>
              <w:t xml:space="preserve"> </w:t>
            </w:r>
            <w:r>
              <w:t xml:space="preserve">compensation</w:t>
            </w:r>
            <w:r>
              <w:t xml:space="preserve"> </w:t>
            </w:r>
            <w:r>
              <w:t xml:space="preserve">recharacterization risk not</w:t>
            </w:r>
            <w:r>
              <w:t xml:space="preserve"> </w:t>
            </w:r>
            <w:r>
              <w:t xml:space="preserve">addressed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 §IV.C/V.B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Valuation Summary</w:t>
            </w:r>
            <w:r>
              <w:t xml:space="preserve"> </w:t>
            </w:r>
            <w:r>
              <w:t xml:space="preserve">mis-dates the Memo</w:t>
            </w:r>
            <w:r>
              <w:t xml:space="preserve"> </w:t>
            </w:r>
            <w:r>
              <w:t xml:space="preserve">(1/28/2025 vs. 2/10/2025)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Valuation 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Financing summary does not</w:t>
            </w:r>
            <w:r>
              <w:t xml:space="preserve"> </w:t>
            </w:r>
            <w:r>
              <w:t xml:space="preserve">address source of funds for</w:t>
            </w:r>
            <w:r>
              <w:t xml:space="preserve"> </w:t>
            </w:r>
            <w:r>
              <w:t xml:space="preserve">$48M debt repayment and</w:t>
            </w:r>
            <w:r>
              <w:t xml:space="preserve"> </w:t>
            </w:r>
            <w:r>
              <w:t xml:space="preserve">$7M seller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§2.6; Memo §II.C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 Form 1120-S due</w:t>
            </w:r>
            <w:r>
              <w:t xml:space="preserve"> </w:t>
            </w:r>
            <w:r>
              <w:t xml:space="preserve">3/15/2025 (same as</w:t>
            </w:r>
            <w:r>
              <w:t xml:space="preserve"> </w:t>
            </w:r>
            <w:r>
              <w:t xml:space="preserve">closing); not addressed;</w:t>
            </w:r>
            <w:r>
              <w:t xml:space="preserve"> </w:t>
            </w:r>
            <w:r>
              <w:t xml:space="preserve">extension likely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Thornfield §IV.A; Memo</w:t>
            </w:r>
            <w:r>
              <w:t xml:space="preserve"> </w:t>
            </w:r>
            <w:r>
              <w:t xml:space="preserve">§III.A/§IX.B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 R&amp;D credits lack</w:t>
            </w:r>
            <w:r>
              <w:t xml:space="preserve"> </w:t>
            </w:r>
            <w:r>
              <w:t xml:space="preserve">formal third-party study</w:t>
            </w:r>
            <w:r>
              <w:t xml:space="preserve"> </w:t>
            </w:r>
            <w:r>
              <w:t xml:space="preserve">(audit-disallowance risk)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Thornfield §IV.C; Memo</w:t>
            </w:r>
            <w:r>
              <w:t xml:space="preserve"> </w:t>
            </w:r>
            <w:r>
              <w:t xml:space="preserve">§III.D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Funded debt</w:t>
            </w:r>
            <w:r>
              <w:t xml:space="preserve"> </w:t>
            </w:r>
            <w:r>
              <w:t xml:space="preserve">“</w:t>
            </w:r>
            <w:r>
              <w:t xml:space="preserve">assumed by</w:t>
            </w:r>
            <w:r>
              <w:t xml:space="preserve"> </w:t>
            </w:r>
            <w:r>
              <w:t xml:space="preserve">Buyer</w:t>
            </w:r>
            <w:r>
              <w:t xml:space="preserve">”</w:t>
            </w:r>
            <w:r>
              <w:t xml:space="preserve"> </w:t>
            </w:r>
            <w:r>
              <w:t xml:space="preserve">(Memo) vs. </w:t>
            </w:r>
            <w:r>
              <w:t xml:space="preserve">“</w:t>
            </w:r>
            <w:r>
              <w:t xml:space="preserve">repaid</w:t>
            </w:r>
            <w:r>
              <w:t xml:space="preserve"> </w:t>
            </w:r>
            <w:r>
              <w:t xml:space="preserve">in full</w:t>
            </w:r>
            <w:r>
              <w:t xml:space="preserve">”</w:t>
            </w:r>
            <w:r>
              <w:t xml:space="preserve"> </w:t>
            </w:r>
            <w:r>
              <w:t xml:space="preserve">(SPA)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 §IV.B; SPA §2.6(a)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$58M EBITDA (Memo §VII.B)</w:t>
            </w:r>
            <w:r>
              <w:t xml:space="preserve"> </w:t>
            </w:r>
            <w:r>
              <w:t xml:space="preserve">uncorroborated; ~67%</w:t>
            </w:r>
            <w:r>
              <w:t xml:space="preserve"> </w:t>
            </w:r>
            <w:r>
              <w:t xml:space="preserve">margin; drives §163(j)</w:t>
            </w:r>
            <w:r>
              <w:t xml:space="preserve"> </w:t>
            </w:r>
            <w:r>
              <w:t xml:space="preserve">conclusion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 §VII.B/§III.A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indemnification</w:t>
            </w:r>
            <w:r>
              <w:t xml:space="preserve"> </w:t>
            </w:r>
            <w:r>
              <w:t xml:space="preserve">structure (SPA §7.6) not</w:t>
            </w:r>
            <w:r>
              <w:t xml:space="preserve"> </w:t>
            </w:r>
            <w:r>
              <w:t xml:space="preserve">addressed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§7.6; Memo (silent)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allocation-finalization</w:t>
            </w:r>
            <w:r>
              <w:t xml:space="preserve"> </w:t>
            </w:r>
            <w:r>
              <w:t xml:space="preserve">procedure (90/30/30-day,</w:t>
            </w:r>
            <w:r>
              <w:t xml:space="preserve"> </w:t>
            </w:r>
            <w:r>
              <w:t xml:space="preserve">independent firm) not</w:t>
            </w:r>
            <w:r>
              <w:t xml:space="preserve"> </w:t>
            </w:r>
            <w:r>
              <w:t xml:space="preserve">addressed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§7.3(b); Memo §IV.C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Shareholder Form 8023</w:t>
            </w:r>
            <w:r>
              <w:t xml:space="preserve"> </w:t>
            </w:r>
            <w:r>
              <w:t xml:space="preserve">execution deadline 30 days</w:t>
            </w:r>
            <w:r>
              <w:t xml:space="preserve"> </w:t>
            </w:r>
            <w:r>
              <w:t xml:space="preserve">prior (Nov 15, 2025), not</w:t>
            </w:r>
            <w:r>
              <w:t xml:space="preserve"> </w:t>
            </w:r>
            <w:r>
              <w:t xml:space="preserve">just Dec 15,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§7.3(c); Memo §IV.A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taxes 50/50</w:t>
            </w:r>
            <w:r>
              <w:t xml:space="preserve"> </w:t>
            </w:r>
            <w:r>
              <w:t xml:space="preserve">(SPA §7.5) not addressed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§7.5; Memo §VI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Beacon tax-distribution</w:t>
            </w:r>
            <w:r>
              <w:t xml:space="preserve"> </w:t>
            </w:r>
            <w:r>
              <w:t xml:space="preserve">obligation and BBA</w:t>
            </w:r>
            <w:r>
              <w:t xml:space="preserve"> </w:t>
            </w:r>
            <w:r>
              <w:t xml:space="preserve">partnership-representative</w:t>
            </w:r>
            <w:r>
              <w:t xml:space="preserve"> </w:t>
            </w:r>
            <w:r>
              <w:t xml:space="preserve">/ push-out not addressed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Beacon OA §7.02/§11.02/</w:t>
            </w:r>
            <w:r>
              <w:t xml:space="preserve"> </w:t>
            </w:r>
            <w:r>
              <w:t xml:space="preserve">§11.04; Memo §VIII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tax-return prep/review</w:t>
            </w:r>
            <w:r>
              <w:t xml:space="preserve"> </w:t>
            </w:r>
            <w:r>
              <w:t xml:space="preserve">procedures (30-day draft,</w:t>
            </w:r>
            <w:r>
              <w:t xml:space="preserve"> </w:t>
            </w:r>
            <w:r>
              <w:t xml:space="preserve">15-day comment) not</w:t>
            </w:r>
            <w:r>
              <w:t xml:space="preserve"> </w:t>
            </w:r>
            <w:r>
              <w:t xml:space="preserve">addressed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§7.1; Memo §IX.B</w:t>
            </w:r>
          </w:p>
        </w:tc>
      </w:tr>
    </w:tbl>
    <w:bookmarkEnd w:id="76"/>
    <w:bookmarkStart w:id="77" w:name="v.-recommended-priority-actions"/>
    <w:p>
      <w:pPr>
        <w:pStyle w:val="Heading2"/>
      </w:pPr>
      <w:r>
        <w:t xml:space="preserve">V. Recommended Priority Actions</w:t>
      </w:r>
    </w:p>
    <w:p>
      <w:pPr>
        <w:pStyle w:val="FirstParagraph"/>
      </w:pPr>
      <w:r>
        <w:rPr>
          <w:b/>
          <w:bCs/>
        </w:rPr>
        <w:t xml:space="preserve">Before treating the structure as final / before filing Form 8023: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Resolve the S-election eligibility question (C-1, M-8).</w:t>
      </w:r>
      <w:r>
        <w:t xml:space="preserve"> </w:t>
      </w:r>
      <w:r>
        <w:t xml:space="preserve">Obtain</w:t>
      </w:r>
      <w:r>
        <w:t xml:space="preserve"> </w:t>
      </w:r>
      <w:r>
        <w:t xml:space="preserve">immigration/residency documentation for Lin Wei Zhang, Yusuf</w:t>
      </w:r>
      <w:r>
        <w:t xml:space="preserve"> </w:t>
      </w:r>
      <w:r>
        <w:t xml:space="preserve">Al-Rashidi, and Nina Petrova for every year since their grant dates;</w:t>
      </w:r>
      <w:r>
        <w:t xml:space="preserve"> </w:t>
      </w:r>
      <w:r>
        <w:t xml:space="preserve">investigate the alleged family-LLC transfer; confirm eligibility of</w:t>
      </w:r>
      <w:r>
        <w:t xml:space="preserve"> </w:t>
      </w:r>
      <w:r>
        <w:t xml:space="preserve">all shareholders for all years since January 1, 2017. If any</w:t>
      </w:r>
      <w:r>
        <w:t xml:space="preserve"> </w:t>
      </w:r>
      <w:r>
        <w:t xml:space="preserve">termination occurred, the Section 338(h)(10) election is unavailable</w:t>
      </w:r>
      <w:r>
        <w:t xml:space="preserve"> </w:t>
      </w:r>
      <w:r>
        <w:t xml:space="preserve">and the entire structure (including the no-built-in-gains-tax</w:t>
      </w:r>
      <w:r>
        <w:t xml:space="preserve"> </w:t>
      </w:r>
      <w:r>
        <w:t xml:space="preserve">conclusion) must be re-evaluated.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Correct the ADSP and restate the purchase price allocation (C-2,</w:t>
      </w:r>
      <w:r>
        <w:rPr>
          <w:b/>
          <w:bCs/>
        </w:rPr>
        <w:t xml:space="preserve"> </w:t>
      </w:r>
      <w:r>
        <w:rPr>
          <w:b/>
          <w:bCs/>
        </w:rPr>
        <w:t xml:space="preserve">H-2, H-3).</w:t>
      </w:r>
      <w:r>
        <w:t xml:space="preserve"> </w:t>
      </w:r>
      <w:r>
        <w:t xml:space="preserve">Recompute the ADSP from the stock amount realized plus</w:t>
      </w:r>
      <w:r>
        <w:t xml:space="preserve"> </w:t>
      </w:r>
      <w:r>
        <w:t xml:space="preserve">target liabilities; reconcile the aggregate adjusted tax basis to</w:t>
      </w:r>
      <w:r>
        <w:t xml:space="preserve"> </w:t>
      </w:r>
      <w:r>
        <w:t xml:space="preserve">the per-asset schedule; restate the Class V</w:t>
      </w:r>
      <w:r>
        <w:t xml:space="preserve"> </w:t>
      </w:r>
      <w:r>
        <w:t xml:space="preserve">software/developed-technology line; recompute the goodwill residual,</w:t>
      </w:r>
      <w:r>
        <w:t xml:space="preserve"> </w:t>
      </w:r>
      <w:r>
        <w:t xml:space="preserve">the deemed sale gain, the per-shareholder allocations (on a</w:t>
      </w:r>
      <w:r>
        <w:t xml:space="preserve"> </w:t>
      </w:r>
      <w:r>
        <w:t xml:space="preserve">fully-diluted basis per M-5), and Buyer’s amortization schedules.</w:t>
      </w:r>
      <w:r>
        <w:t xml:space="preserve"> </w:t>
      </w:r>
      <w:r>
        <w:t xml:space="preserve">Reconcile with Thornfield before Form 8883.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Deliver the QSBS analysis (C-3).</w:t>
      </w:r>
      <w:r>
        <w:t xml:space="preserve"> </w:t>
      </w:r>
      <w:r>
        <w:t xml:space="preserve">Prepare the promised Section</w:t>
      </w:r>
      <w:r>
        <w:t xml:space="preserve"> </w:t>
      </w:r>
      <w:r>
        <w:t xml:space="preserve">1202 analysis addressing the C-to-S conversion, the 338(h)(10)</w:t>
      </w:r>
      <w:r>
        <w:t xml:space="preserve"> </w:t>
      </w:r>
      <w:r>
        <w:t xml:space="preserve">interaction, the $50M gross-assets and holding-period tests, the</w:t>
      </w:r>
      <w:r>
        <w:t xml:space="preserve"> </w:t>
      </w:r>
      <w:r>
        <w:t xml:space="preserve">per-shareholder scope (reconciled to the cap table), and the escrow</w:t>
      </w:r>
      <w:r>
        <w:t xml:space="preserve"> </w:t>
      </w:r>
      <w:r>
        <w:t xml:space="preserve">component.</w:t>
      </w:r>
    </w:p>
    <w:p>
      <w:pPr>
        <w:pStyle w:val="FirstParagraph"/>
      </w:pPr>
      <w:r>
        <w:rPr>
          <w:b/>
          <w:bCs/>
        </w:rPr>
        <w:t xml:space="preserve">Before closing / as conditions to closing: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Reconcile the escrow tax treatment with SPA Section 7.4 (H-1).</w:t>
      </w:r>
      <w:r>
        <w:t xml:space="preserve"> </w:t>
      </w:r>
      <w:r>
        <w:t xml:space="preserve">Either amend the SPA or withdraw the Memo’s deferral advice.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Address the Beacon issues (H-4, M-1, M-2, M-3).</w:t>
      </w:r>
      <w:r>
        <w:t xml:space="preserve"> </w:t>
      </w:r>
      <w:r>
        <w:t xml:space="preserve">Confirm whether</w:t>
      </w:r>
      <w:r>
        <w:t xml:space="preserve"> </w:t>
      </w:r>
      <w:r>
        <w:t xml:space="preserve">the IP License Agreement will be renewed post-closing; analyze the</w:t>
      </w:r>
      <w:r>
        <w:t xml:space="preserve"> </w:t>
      </w:r>
      <w:r>
        <w:t xml:space="preserve">ROFR timing and the tax consequences if exercised; analyze Section</w:t>
      </w:r>
      <w:r>
        <w:t xml:space="preserve"> </w:t>
      </w:r>
      <w:r>
        <w:t xml:space="preserve">751 hot assets; evaluate a Section 754 election.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Resolve the NC data processing license (H-5).</w:t>
      </w:r>
      <w:r>
        <w:t xml:space="preserve"> </w:t>
      </w:r>
      <w:r>
        <w:t xml:space="preserve">Obtain a</w:t>
      </w:r>
      <w:r>
        <w:t xml:space="preserve"> </w:t>
      </w:r>
      <w:r>
        <w:t xml:space="preserve">definitive ruling on whether the license survives the change of</w:t>
      </w:r>
      <w:r>
        <w:t xml:space="preserve"> </w:t>
      </w:r>
      <w:r>
        <w:t xml:space="preserve">control.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Analyze the R&amp;D credits (H-6) and the Section 482 exposure</w:t>
      </w:r>
      <w:r>
        <w:rPr>
          <w:b/>
          <w:bCs/>
        </w:rPr>
        <w:t xml:space="preserve"> </w:t>
      </w:r>
      <w:r>
        <w:rPr>
          <w:b/>
          <w:bCs/>
        </w:rPr>
        <w:t xml:space="preserve">(H-7).</w:t>
      </w:r>
      <w:r>
        <w:t xml:space="preserve"> </w:t>
      </w:r>
      <w:r>
        <w:t xml:space="preserve">Determine whether the $3.8M credits can be salvaged;</w:t>
      </w:r>
      <w:r>
        <w:t xml:space="preserve"> </w:t>
      </w:r>
      <w:r>
        <w:t xml:space="preserve">commission a transfer-pricing study and reflect the ~$6.3M</w:t>
      </w:r>
      <w:r>
        <w:t xml:space="preserve"> </w:t>
      </w:r>
      <w:r>
        <w:t xml:space="preserve">exposure in the indemnity/risk allocation.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Address the New York sales-tax exposure (M-9)</w:t>
      </w:r>
      <w:r>
        <w:t xml:space="preserve"> </w:t>
      </w:r>
      <w:r>
        <w:t xml:space="preserve">and complete the</w:t>
      </w:r>
      <w:r>
        <w:t xml:space="preserve"> </w:t>
      </w:r>
      <w:r>
        <w:t xml:space="preserve">state-tax analysis (M-11, M-12), including non-resident</w:t>
      </w:r>
      <w:r>
        <w:t xml:space="preserve"> </w:t>
      </w:r>
      <w:r>
        <w:t xml:space="preserve">withholding/composite returns and California sourcing.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Clarify CSW’s counsel role (M-13).</w:t>
      </w:r>
      <w:r>
        <w:t xml:space="preserve"> </w:t>
      </w:r>
      <w:r>
        <w:t xml:space="preserve">Confirm whether CSW</w:t>
      </w:r>
      <w:r>
        <w:t xml:space="preserve"> </w:t>
      </w:r>
      <w:r>
        <w:t xml:space="preserve">represents the Buyer, the Company/sellers, or both; obtain conflict</w:t>
      </w:r>
      <w:r>
        <w:t xml:space="preserve"> </w:t>
      </w:r>
      <w:r>
        <w:t xml:space="preserve">waivers if both; and confirm the privilege analysis for the Memo.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Revise the Memo’s open-items list and conclusions (M-14).</w:t>
      </w:r>
      <w:r>
        <w:t xml:space="preserve"> </w:t>
      </w:r>
      <w:r>
        <w:t xml:space="preserve">Add</w:t>
      </w:r>
      <w:r>
        <w:t xml:space="preserve"> </w:t>
      </w:r>
      <w:r>
        <w:t xml:space="preserve">all critical and high-severity open items to Section IX.C and</w:t>
      </w:r>
      <w:r>
        <w:t xml:space="preserve"> </w:t>
      </w:r>
      <w:r>
        <w:t xml:space="preserve">condition the Section X conclusions on their resolution.</w:t>
      </w:r>
    </w:p>
    <w:p>
      <w:pPr>
        <w:pStyle w:val="FirstParagraph"/>
      </w:pPr>
      <w:r>
        <w:rPr>
          <w:b/>
          <w:bCs/>
        </w:rPr>
        <w:t xml:space="preserve">Before closing / operational items:</w:t>
      </w:r>
      <w:r>
        <w:t xml:space="preserve"> </w:t>
      </w:r>
      <w:r>
        <w:t xml:space="preserve">Coordinate the 2024 Form 1120-S</w:t>
      </w:r>
      <w:r>
        <w:t xml:space="preserve"> </w:t>
      </w:r>
      <w:r>
        <w:t xml:space="preserve">filing/extension with the March 15, 2025 closing (L-16); obtain a</w:t>
      </w:r>
      <w:r>
        <w:t xml:space="preserve"> </w:t>
      </w:r>
      <w:r>
        <w:t xml:space="preserve">formal NC R&amp;D-credit study (L-17); correct the debt</w:t>
      </w:r>
      <w:r>
        <w:t xml:space="preserve"> </w:t>
      </w:r>
      <w:r>
        <w:t xml:space="preserve">“</w:t>
      </w:r>
      <w:r>
        <w:t xml:space="preserve">assumed</w:t>
      </w:r>
      <w:r>
        <w:t xml:space="preserve">”</w:t>
      </w:r>
      <w:r>
        <w:t xml:space="preserve"> </w:t>
      </w:r>
      <w:r>
        <w:t xml:space="preserve">vs.</w:t>
      </w:r>
      <w:r>
        <w:t xml:space="preserve"> </w:t>
      </w:r>
      <w:r>
        <w:t xml:space="preserve">“</w:t>
      </w:r>
      <w:r>
        <w:t xml:space="preserve">repaid</w:t>
      </w:r>
      <w:r>
        <w:t xml:space="preserve">”</w:t>
      </w:r>
      <w:r>
        <w:t xml:space="preserve"> </w:t>
      </w:r>
      <w:r>
        <w:t xml:space="preserve">characterization (L-18); corroborate the $58M EBITDA figure</w:t>
      </w:r>
      <w:r>
        <w:t xml:space="preserve"> </w:t>
      </w:r>
      <w:r>
        <w:t xml:space="preserve">with Thornfield (L-19); confirm the tax-indemnity scope and escrow</w:t>
      </w:r>
      <w:r>
        <w:t xml:space="preserve"> </w:t>
      </w:r>
      <w:r>
        <w:t xml:space="preserve">sizing cover the §482, NY sales-tax, and R&amp;D-credit exposures (L-20);</w:t>
      </w:r>
      <w:r>
        <w:t xml:space="preserve"> </w:t>
      </w:r>
      <w:r>
        <w:t xml:space="preserve">note the SPA allocation-finalization procedure (L-21), the November 15,</w:t>
      </w:r>
      <w:r>
        <w:t xml:space="preserve"> </w:t>
      </w:r>
      <w:r>
        <w:t xml:space="preserve">2025 shareholder Form 8023 execution deadline (L-22), and the</w:t>
      </w:r>
      <w:r>
        <w:t xml:space="preserve"> </w:t>
      </w:r>
      <w:r>
        <w:t xml:space="preserve">transfer-tax 50/50 allocation (L-23); and address the Beacon</w:t>
      </w:r>
      <w:r>
        <w:t xml:space="preserve"> </w:t>
      </w:r>
      <w:r>
        <w:t xml:space="preserve">tax-distribution/BBA partnership-representative matters (L-24) and the</w:t>
      </w:r>
      <w:r>
        <w:t xml:space="preserve"> </w:t>
      </w:r>
      <w:r>
        <w:t xml:space="preserve">SPA tax-return preparation/review timeline (L-25).</w:t>
      </w:r>
    </w:p>
    <w:p>
      <w:pPr>
        <w:pStyle w:val="BodyText"/>
      </w:pPr>
      <w:r>
        <w:rPr>
          <w:b/>
          <w:bCs/>
        </w:rPr>
        <w:t xml:space="preserve">Documentation/correction items (Low severity):</w:t>
      </w:r>
      <w:r>
        <w:t xml:space="preserve"> </w:t>
      </w:r>
      <w:r>
        <w:t xml:space="preserve">Correct the date,</w:t>
      </w:r>
      <w:r>
        <w:t xml:space="preserve"> </w:t>
      </w:r>
      <w:r>
        <w:t xml:space="preserve">section-citation, regulation-citation, and nomenclature errors (L-1</w:t>
      </w:r>
      <w:r>
        <w:t xml:space="preserve"> </w:t>
      </w:r>
      <w:r>
        <w:t xml:space="preserve">through L-4, L-10, L-14); reconcile the shareholder count and residency</w:t>
      </w:r>
      <w:r>
        <w:t xml:space="preserve"> </w:t>
      </w:r>
      <w:r>
        <w:t xml:space="preserve">(M-6), the H-1B nationality (L-5), the Beacon fee CPI history (L-6), the</w:t>
      </w:r>
      <w:r>
        <w:t xml:space="preserve"> </w:t>
      </w:r>
      <w:r>
        <w:t xml:space="preserve">Thornfield section citations (L-7), Dr. Chandra’s basis (L-8), the</w:t>
      </w:r>
      <w:r>
        <w:t xml:space="preserve"> </w:t>
      </w:r>
      <w:r>
        <w:t xml:space="preserve">rollover destination (L-9), the NC rate (L-11), the conversion</w:t>
      </w:r>
      <w:r>
        <w:t xml:space="preserve"> </w:t>
      </w:r>
      <w:r>
        <w:t xml:space="preserve">recommendation (L-12), the non-compete recharacterization risk (L-13),</w:t>
      </w:r>
      <w:r>
        <w:t xml:space="preserve"> </w:t>
      </w:r>
      <w:r>
        <w:t xml:space="preserve">and the financing sources/uses (L-15).</w:t>
      </w:r>
    </w:p>
    <w:bookmarkEnd w:id="77"/>
    <w:bookmarkStart w:id="78" w:name="vi.-limitations"/>
    <w:p>
      <w:pPr>
        <w:pStyle w:val="Heading2"/>
      </w:pPr>
      <w:r>
        <w:t xml:space="preserve">VI. Limitations</w:t>
      </w:r>
    </w:p>
    <w:p>
      <w:pPr>
        <w:pStyle w:val="FirstParagraph"/>
      </w:pPr>
      <w:r>
        <w:t xml:space="preserve">This report is based solely on the seven documents listed in Section II.</w:t>
      </w:r>
      <w:r>
        <w:t xml:space="preserve"> </w:t>
      </w:r>
      <w:r>
        <w:t xml:space="preserve">No independent verification of the underlying facts was performed;</w:t>
      </w:r>
      <w:r>
        <w:t xml:space="preserve"> </w:t>
      </w:r>
      <w:r>
        <w:t xml:space="preserve">factual matters (e.g., shareholder eligibility, the existence of the</w:t>
      </w:r>
      <w:r>
        <w:t xml:space="preserve"> </w:t>
      </w:r>
      <w:r>
        <w:t xml:space="preserve">family-LLC transfer, the survival of the NC license) are stated as they</w:t>
      </w:r>
      <w:r>
        <w:t xml:space="preserve"> </w:t>
      </w:r>
      <w:r>
        <w:t xml:space="preserve">appear in the source documents. Severity rankings reflect the reviewer’s</w:t>
      </w:r>
      <w:r>
        <w:t xml:space="preserve"> </w:t>
      </w:r>
      <w:r>
        <w:t xml:space="preserve">assessment of potential impact on the tax structure and the parties’</w:t>
      </w:r>
      <w:r>
        <w:t xml:space="preserve"> </w:t>
      </w:r>
      <w:r>
        <w:t xml:space="preserve">positions and are not legal conclusions. Where the source documents</w:t>
      </w:r>
      <w:r>
        <w:t xml:space="preserve"> </w:t>
      </w:r>
      <w:r>
        <w:t xml:space="preserve">themselves conflict (e.g., the H-1B holder’s nationality, the</w:t>
      </w:r>
      <w:r>
        <w:t xml:space="preserve"> </w:t>
      </w:r>
      <w:r>
        <w:t xml:space="preserve">shareholder count, the aggregate tax basis), the report identifies the</w:t>
      </w:r>
      <w:r>
        <w:t xml:space="preserve"> </w:t>
      </w:r>
      <w:r>
        <w:t xml:space="preserve">conflict rather than selecting a definitive figure. This report does not</w:t>
      </w:r>
      <w:r>
        <w:t xml:space="preserve"> </w:t>
      </w:r>
      <w:r>
        <w:t xml:space="preserve">opine on the correct tax treatment of any item; it identifies issues for</w:t>
      </w:r>
      <w:r>
        <w:t xml:space="preserve"> </w:t>
      </w:r>
      <w:r>
        <w:t xml:space="preserve">resolution by tax counsel and the parties’ advisors.</w:t>
      </w:r>
    </w:p>
    <w:bookmarkEnd w:id="78"/>
    <w:bookmarkEnd w:id="7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2026-06-27T02:08:54Z</dcterms:created>
  <dcterms:modified xsi:type="dcterms:W3CDTF">2026-06-27T02:08:54Z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