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81e55b44c0e0d56b1643971a9648e95cffc8ab0"/>
    <w:p>
      <w:pPr>
        <w:pStyle w:val="Heading1"/>
      </w:pPr>
      <w:r>
        <w:t xml:space="preserve">PRIVILEGED AND CONFIDENTIAL — ATTORNEY-CLIENT COMMUNICATION / ATTORNEY WORK PRODUCT</w:t>
      </w:r>
    </w:p>
    <w:bookmarkStart w:id="21" w:name="kessler-odom-pratt-llp"/>
    <w:p>
      <w:pPr>
        <w:pStyle w:val="Heading2"/>
      </w:pPr>
      <w:r>
        <w:t xml:space="preserve">KESSLER, ODOM &amp; PRATT LLP</w:t>
      </w:r>
    </w:p>
    <w:bookmarkStart w:id="20" w:name="Xe0a4b8db1d17655ae375f2ab375a384165adc7c"/>
    <w:p>
      <w:pPr>
        <w:pStyle w:val="Heading3"/>
      </w:pPr>
      <w:r>
        <w:t xml:space="preserve">210 South Wacker Drive, Suite 2400, Chicago, Illinois 60606</w:t>
      </w:r>
    </w:p>
    <w:bookmarkEnd w:id="20"/>
    <w:bookmarkEnd w:id="21"/>
    <w:bookmarkEnd w:id="22"/>
    <w:bookmarkStart w:id="54" w:name="memorandum"/>
    <w:p>
      <w:pPr>
        <w:pStyle w:val="Heading1"/>
      </w:pPr>
      <w:r>
        <w:t xml:space="preserve">MEMORANDUM</w:t>
      </w:r>
    </w:p>
    <w:p>
      <w:pPr>
        <w:pStyle w:val="FirstParagraph"/>
      </w:pPr>
      <w:r>
        <w:rPr>
          <w:b/>
          <w:bCs/>
        </w:rPr>
        <w:t xml:space="preserve">TO:</w:t>
      </w:r>
      <w:r>
        <w:t xml:space="preserve"> </w:t>
      </w:r>
      <w:r>
        <w:t xml:space="preserve">Catherine Odom, Partner</w:t>
      </w:r>
    </w:p>
    <w:p>
      <w:pPr>
        <w:pStyle w:val="BodyText"/>
      </w:pPr>
      <w:r>
        <w:rPr>
          <w:b/>
          <w:bCs/>
        </w:rPr>
        <w:t xml:space="preserve">FROM:</w:t>
      </w:r>
      <w:r>
        <w:t xml:space="preserve"> </w:t>
      </w:r>
      <w:r>
        <w:t xml:space="preserve">Alejandro Reyes, Associate</w:t>
      </w:r>
    </w:p>
    <w:p>
      <w:pPr>
        <w:pStyle w:val="BodyText"/>
      </w:pPr>
      <w:r>
        <w:rPr>
          <w:b/>
          <w:bCs/>
        </w:rPr>
        <w:t xml:space="preserve">DATE:</w:t>
      </w:r>
      <w:r>
        <w:t xml:space="preserve"> </w:t>
      </w:r>
      <w:r>
        <w:t xml:space="preserve">January 13, 2025</w:t>
      </w:r>
    </w:p>
    <w:p>
      <w:pPr>
        <w:pStyle w:val="BodyText"/>
      </w:pPr>
      <w:r>
        <w:rPr>
          <w:b/>
          <w:bCs/>
        </w:rPr>
        <w:t xml:space="preserve">RE:</w:t>
      </w:r>
      <w:r>
        <w:t xml:space="preserve"> </w:t>
      </w:r>
      <w:r>
        <w:t xml:space="preserve">Review of Husband’s Counsel’s Redlined Postnuptial Agreement (Veselka-Thornton / Thornton) — Change Analysis and Negotigation Strategy for the January 27, 2025 Four-Way Conference</w:t>
      </w:r>
    </w:p>
    <w:p>
      <w:r>
        <w:pict>
          <v:rect style="width:0;height:1.5pt" o:hralign="center" o:hrstd="t" o:hr="t"/>
        </w:pict>
      </w:r>
    </w:p>
    <w:bookmarkStart w:id="23" w:name="i.-introduction-and-documents-reviewed"/>
    <w:p>
      <w:pPr>
        <w:pStyle w:val="Heading2"/>
      </w:pPr>
      <w:r>
        <w:t xml:space="preserve">I. Introduction and Documents Reviewed</w:t>
      </w:r>
    </w:p>
    <w:p>
      <w:pPr>
        <w:pStyle w:val="FirstParagraph"/>
      </w:pPr>
      <w:r>
        <w:t xml:space="preserve">This memorandum analyzes the marked-up draft of the Postnuptial Agreement (the</w:t>
      </w:r>
      <w:r>
        <w:t xml:space="preserve"> </w:t>
      </w:r>
      <w:r>
        <w:t xml:space="preserve">“</w:t>
      </w:r>
      <w:r>
        <w:t xml:space="preserve">Agreement</w:t>
      </w:r>
      <w:r>
        <w:t xml:space="preserve">”</w:t>
      </w:r>
      <w:r>
        <w:t xml:space="preserve">) transmitted by Thomas Baxter of Hargrove Baxter LLP on January 6, 2025 (the</w:t>
      </w:r>
      <w:r>
        <w:t xml:space="preserve"> </w:t>
      </w:r>
      <w:r>
        <w:t xml:space="preserve">“</w:t>
      </w:r>
      <w:r>
        <w:t xml:space="preserve">Redline</w:t>
      </w:r>
      <w:r>
        <w:t xml:space="preserve">”</w:t>
      </w:r>
      <w:r>
        <w:t xml:space="preserve">), compares it against our original draft transmitted December 16, 2024 (the</w:t>
      </w:r>
      <w:r>
        <w:t xml:space="preserve"> </w:t>
      </w:r>
      <w:r>
        <w:t xml:space="preserve">“</w:t>
      </w:r>
      <w:r>
        <w:t xml:space="preserve">Original Draft</w:t>
      </w:r>
      <w:r>
        <w:t xml:space="preserve">”</w:t>
      </w:r>
      <w:r>
        <w:t xml:space="preserve">), and sets out a recommended negotiation strategy for the four-way conference scheduled for January 27, 2025. In preparing this analysis, I have reviewed the following materials:</w:t>
      </w:r>
    </w:p>
    <w:p>
      <w:pPr>
        <w:pStyle w:val="Compact"/>
        <w:numPr>
          <w:ilvl w:val="0"/>
          <w:numId w:val="1001"/>
        </w:numPr>
      </w:pPr>
      <w:r>
        <w:rPr>
          <w:b/>
          <w:bCs/>
        </w:rPr>
        <w:t xml:space="preserve">Original Draft</w:t>
      </w:r>
      <w:r>
        <w:t xml:space="preserve"> </w:t>
      </w:r>
      <w:r>
        <w:t xml:space="preserve">— Postnuptial Agreement (Kessler, Odom &amp; Pratt LLP, December 16, 2024);</w:t>
      </w:r>
    </w:p>
    <w:p>
      <w:pPr>
        <w:pStyle w:val="Compact"/>
        <w:numPr>
          <w:ilvl w:val="0"/>
          <w:numId w:val="1001"/>
        </w:numPr>
      </w:pPr>
      <w:r>
        <w:rPr>
          <w:b/>
          <w:bCs/>
        </w:rPr>
        <w:t xml:space="preserve">Redline</w:t>
      </w:r>
      <w:r>
        <w:t xml:space="preserve"> </w:t>
      </w:r>
      <w:r>
        <w:t xml:space="preserve">— Revised Draft Postnuptial Agreement with tracked changes and margin comments (Hargrove Baxter LLP, January 6, 2025);</w:t>
      </w:r>
    </w:p>
    <w:p>
      <w:pPr>
        <w:pStyle w:val="Compact"/>
        <w:numPr>
          <w:ilvl w:val="0"/>
          <w:numId w:val="1001"/>
        </w:numPr>
      </w:pPr>
      <w:r>
        <w:rPr>
          <w:b/>
          <w:bCs/>
        </w:rPr>
        <w:t xml:space="preserve">Client Intake Memorandum</w:t>
      </w:r>
      <w:r>
        <w:t xml:space="preserve"> </w:t>
      </w:r>
      <w:r>
        <w:t xml:space="preserve">— Initial Client Meeting, Diane Veselka-Thornton (November 5, 2024);</w:t>
      </w:r>
    </w:p>
    <w:p>
      <w:pPr>
        <w:pStyle w:val="Compact"/>
        <w:numPr>
          <w:ilvl w:val="0"/>
          <w:numId w:val="1001"/>
        </w:numPr>
      </w:pPr>
      <w:r>
        <w:rPr>
          <w:b/>
          <w:bCs/>
        </w:rPr>
        <w:t xml:space="preserve">Transmittal Email</w:t>
      </w:r>
      <w:r>
        <w:t xml:space="preserve"> </w:t>
      </w:r>
      <w:r>
        <w:t xml:space="preserve">— Thomas Baxter to Catherine Odom (January 6, 2025);</w:t>
      </w:r>
    </w:p>
    <w:p>
      <w:pPr>
        <w:pStyle w:val="Compact"/>
        <w:numPr>
          <w:ilvl w:val="0"/>
          <w:numId w:val="1001"/>
        </w:numPr>
      </w:pPr>
      <w:r>
        <w:rPr>
          <w:b/>
          <w:bCs/>
        </w:rPr>
        <w:t xml:space="preserve">Summary Valuation Report</w:t>
      </w:r>
      <w:r>
        <w:t xml:space="preserve"> </w:t>
      </w:r>
      <w:r>
        <w:t xml:space="preserve">— 22% Membership Interest in Heartbeat Pediatric Partners LLC, Strand Valuation Services (November 30, 2024); and</w:t>
      </w:r>
    </w:p>
    <w:p>
      <w:pPr>
        <w:pStyle w:val="Compact"/>
        <w:numPr>
          <w:ilvl w:val="0"/>
          <w:numId w:val="1001"/>
        </w:numPr>
      </w:pPr>
      <w:r>
        <w:rPr>
          <w:b/>
          <w:bCs/>
        </w:rPr>
        <w:t xml:space="preserve">Financial Disclosure Summary</w:t>
      </w:r>
      <w:r>
        <w:t xml:space="preserve"> </w:t>
      </w:r>
      <w:r>
        <w:t xml:space="preserve">— Schedules for Wife, Husband, and Joint Assets &amp; Liabilities, Linden &amp; Fosse CPA (as of November 30, 2024).</w:t>
      </w:r>
    </w:p>
    <w:p>
      <w:pPr>
        <w:pStyle w:val="FirstParagraph"/>
      </w:pPr>
      <w:r>
        <w:t xml:space="preserve">The Redline bears 47 tracked-change markers (TC-01 through TC-47) and 12 margin comments (MC-01 through MC-12) attributed to Mr. Baxter. Although Mr. Baxter’s cover email characterizes the edits as</w:t>
      </w:r>
      <w:r>
        <w:t xml:space="preserve"> </w:t>
      </w:r>
      <w:r>
        <w:t xml:space="preserve">“</w:t>
      </w:r>
      <w:r>
        <w:t xml:space="preserve">modest clarifications</w:t>
      </w:r>
      <w:r>
        <w:t xml:space="preserve">”</w:t>
      </w:r>
      <w:r>
        <w:t xml:space="preserve"> </w:t>
      </w:r>
      <w:r>
        <w:t xml:space="preserve">and</w:t>
      </w:r>
      <w:r>
        <w:t xml:space="preserve"> </w:t>
      </w:r>
      <w:r>
        <w:t xml:space="preserve">“</w:t>
      </w:r>
      <w:r>
        <w:t xml:space="preserve">a few requests for balanced treatment,</w:t>
      </w:r>
      <w:r>
        <w:t xml:space="preserve">”</w:t>
      </w:r>
      <w:r>
        <w:t xml:space="preserve"> </w:t>
      </w:r>
      <w:r>
        <w:t xml:space="preserve">the Redline in fact contains numerous substantive changes that, in the aggregate, materially undermine each of Ms. Veselka-Thornton’s five stated objectives. The most consequential single change — deletion of the $1.2 million premarital savings reimbursement right — strikes directly at the client’s primary, expressly non-negotiable objective. The Redline also introduces a substantial number of factual errors that conflict with the Linden &amp; Fosse disclosure schedules and the Strand valuation report and must be corrected before execution.</w:t>
      </w:r>
    </w:p>
    <w:p>
      <w:r>
        <w:pict>
          <v:rect style="width:0;height:1.5pt" o:hralign="center" o:hrstd="t" o:hr="t"/>
        </w:pict>
      </w:r>
    </w:p>
    <w:bookmarkEnd w:id="23"/>
    <w:bookmarkStart w:id="24" w:name="ii.-executive-summary"/>
    <w:p>
      <w:pPr>
        <w:pStyle w:val="Heading2"/>
      </w:pPr>
      <w:r>
        <w:t xml:space="preserve">II. Executive Summary</w:t>
      </w:r>
    </w:p>
    <w:p>
      <w:pPr>
        <w:pStyle w:val="FirstParagraph"/>
      </w:pPr>
      <w:r>
        <w:rPr>
          <w:b/>
          <w:bCs/>
        </w:rPr>
        <w:t xml:space="preserve">Bottom line.</w:t>
      </w:r>
      <w:r>
        <w:t xml:space="preserve"> </w:t>
      </w:r>
      <w:r>
        <w:t xml:space="preserve">The Redline is not a clarification pass; it is a comprehensive reworking of the Agreement’s economic terms. Read against the client’s stated priorities and the supporting record, the changes fall into four categories:</w:t>
      </w:r>
    </w:p>
    <w:p>
      <w:pPr>
        <w:pStyle w:val="Compact"/>
        <w:numPr>
          <w:ilvl w:val="0"/>
          <w:numId w:val="1002"/>
        </w:numPr>
      </w:pPr>
      <w:r>
        <w:rPr>
          <w:b/>
          <w:bCs/>
        </w:rPr>
        <w:t xml:space="preserve">Critical changes that must be rejected</w:t>
      </w:r>
      <w:r>
        <w:t xml:space="preserve"> </w:t>
      </w:r>
      <w:r>
        <w:t xml:space="preserve">— deletion of the $1.2 million premarital savings reimbursement right; reversal of the commingling/transmutation rule to protect Husband’s inheritance; gutting of the voidability remedy for non-disclosure; and insertion of a unilateral modification-by-notice mechanism.</w:t>
      </w:r>
    </w:p>
    <w:p>
      <w:pPr>
        <w:pStyle w:val="Compact"/>
        <w:numPr>
          <w:ilvl w:val="0"/>
          <w:numId w:val="1002"/>
        </w:numPr>
      </w:pPr>
      <w:r>
        <w:rPr>
          <w:b/>
          <w:bCs/>
        </w:rPr>
        <w:t xml:space="preserve">Adverse changes that should be countered</w:t>
      </w:r>
      <w:r>
        <w:t xml:space="preserve"> </w:t>
      </w:r>
      <w:r>
        <w:t xml:space="preserve">— the $5,000 de minimis carve-out on the debt indemnity; replacement of prevailing-party fee-shifting with a mutual fee waiver; transfer of venue from Cook County to DuPage County; reduction of the sunset term from fifteen years to seven; and the coverture-fraction treatment of Husband’s RSUs.</w:t>
      </w:r>
    </w:p>
    <w:p>
      <w:pPr>
        <w:pStyle w:val="Compact"/>
        <w:numPr>
          <w:ilvl w:val="0"/>
          <w:numId w:val="1002"/>
        </w:numPr>
      </w:pPr>
      <w:r>
        <w:rPr>
          <w:b/>
          <w:bCs/>
        </w:rPr>
        <w:t xml:space="preserve">Changes favorable to the client that may be accepted in principle (with cleanup)</w:t>
      </w:r>
      <w:r>
        <w:t xml:space="preserve"> </w:t>
      </w:r>
      <w:r>
        <w:t xml:space="preserve">— the reduction of the maintenance duration cap from five to three years; the automatic maintenance waiver at a $200,000 income threshold; the active/passive appreciation distinction for Wife’s practice interest; and the revised RSU tax allocation.</w:t>
      </w:r>
    </w:p>
    <w:p>
      <w:pPr>
        <w:pStyle w:val="Compact"/>
        <w:numPr>
          <w:ilvl w:val="0"/>
          <w:numId w:val="1002"/>
        </w:numPr>
      </w:pPr>
      <w:r>
        <w:rPr>
          <w:b/>
          <w:bCs/>
        </w:rPr>
        <w:t xml:space="preserve">Benign or beneficial changes to accept</w:t>
      </w:r>
      <w:r>
        <w:t xml:space="preserve"> </w:t>
      </w:r>
      <w:r>
        <w:t xml:space="preserve">— the severability clause; the notarization and witness-attestation blocks; and the correction of</w:t>
      </w:r>
      <w:r>
        <w:t xml:space="preserve"> </w:t>
      </w:r>
      <w:r>
        <w:t xml:space="preserve">“</w:t>
      </w:r>
      <w:r>
        <w:t xml:space="preserve">Constane</w:t>
      </w:r>
      <w:r>
        <w:t xml:space="preserve">”</w:t>
      </w:r>
      <w:r>
        <w:t xml:space="preserve"> </w:t>
      </w:r>
      <w:r>
        <w:t xml:space="preserve">to</w:t>
      </w:r>
      <w:r>
        <w:t xml:space="preserve"> </w:t>
      </w:r>
      <w:r>
        <w:t xml:space="preserve">“</w:t>
      </w:r>
      <w:r>
        <w:t xml:space="preserve">Constance.</w:t>
      </w:r>
      <w:r>
        <w:t xml:space="preserve">”</w:t>
      </w:r>
    </w:p>
    <w:p>
      <w:pPr>
        <w:pStyle w:val="FirstParagraph"/>
      </w:pPr>
      <w:r>
        <w:rPr>
          <w:b/>
          <w:bCs/>
        </w:rPr>
        <w:t xml:space="preserve">High-level scorecard.</w:t>
      </w:r>
      <w:r>
        <w:t xml:space="preserve"> </w:t>
      </w:r>
      <w:r>
        <w:t xml:space="preserve">Of the client’s five stated objectives, the Redline affirmatively defeats the first two (premarital savings protection and financial-transparency protections), partially defeats the third (children’s stability, via the shortened sunset and altered residence buyout), advances the fourth in substance while burdening it procedurally (practice interest), and defeats the fifth on three of its six sub-components (fees, venue, and modification). The maintenance changes are the one area where the Redline moves meaningfully in the client’s favor — and notably, that is the one area in which Husband is the economic beneficiary of the status quo, which suggests these</w:t>
      </w:r>
      <w:r>
        <w:t xml:space="preserve"> </w:t>
      </w:r>
      <w:r>
        <w:t xml:space="preserve">“</w:t>
      </w:r>
      <w:r>
        <w:t xml:space="preserve">concessions</w:t>
      </w:r>
      <w:r>
        <w:t xml:space="preserve">”</w:t>
      </w:r>
      <w:r>
        <w:t xml:space="preserve"> </w:t>
      </w:r>
      <w:r>
        <w:t xml:space="preserve">are designed to make the overall package appear balanced while the property provisions are re-engineered in Husband’s favor.</w:t>
      </w:r>
    </w:p>
    <w:p>
      <w:pPr>
        <w:pStyle w:val="BodyText"/>
      </w:pPr>
      <w:r>
        <w:rPr>
          <w:b/>
          <w:bCs/>
        </w:rPr>
        <w:t xml:space="preserve">Recommended posture.</w:t>
      </w:r>
      <w:r>
        <w:t xml:space="preserve"> </w:t>
      </w:r>
      <w:r>
        <w:t xml:space="preserve">We should not treat the Redline as a working baseline. We should return a clean counter-draft that (a) reinstates the client’s core protections, (b) accepts the genuinely favorable or benign edits, (c) corrects the factual errors, and (d) presents a short, prioritized list of open issues for the January 27 conference. The client should be advised in advance that several of Husband’s proposals are non-starters and that the gap between the email’s tone and the Redline’s substance is itself a negotiating point.</w:t>
      </w:r>
    </w:p>
    <w:p>
      <w:r>
        <w:pict>
          <v:rect style="width:0;height:1.5pt" o:hralign="center" o:hrstd="t" o:hr="t"/>
        </w:pict>
      </w:r>
    </w:p>
    <w:bookmarkEnd w:id="24"/>
    <w:bookmarkStart w:id="25" w:name="iii.-structural-and-formatting-changes"/>
    <w:p>
      <w:pPr>
        <w:pStyle w:val="Heading2"/>
      </w:pPr>
      <w:r>
        <w:t xml:space="preserve">III. Structural and Formatting Changes</w:t>
      </w:r>
    </w:p>
    <w:p>
      <w:pPr>
        <w:pStyle w:val="FirstParagraph"/>
      </w:pPr>
      <w:r>
        <w:t xml:space="preserve">The Redline reorganizes the Agreement substantially. The Original Draft opened with a free-standing Recitals section (Recitals A–L) followed by a dedicated Article 1 (Purpose and Intent) and Article 2 (Definitions). The Redline collapses the recitals into a new Article I (Recitals), with Sections 1.1 through 1.6, and eliminates the separate</w:t>
      </w:r>
      <w:r>
        <w:t xml:space="preserve"> </w:t>
      </w:r>
      <w:r>
        <w:t xml:space="preserve">“</w:t>
      </w:r>
      <w:r>
        <w:t xml:space="preserve">Purpose and Intent</w:t>
      </w:r>
      <w:r>
        <w:t xml:space="preserve">”</w:t>
      </w:r>
      <w:r>
        <w:t xml:space="preserve"> </w:t>
      </w:r>
      <w:r>
        <w:t xml:space="preserve">article. The defined-terms article is renumbered Article II, and all subsequent articles are renumbered accordingly (the Original Draft’s Article 15 becomes the Redline’s Article XV, etc.).</w:t>
      </w:r>
    </w:p>
    <w:p>
      <w:pPr>
        <w:pStyle w:val="BodyText"/>
      </w:pPr>
      <w:r>
        <w:t xml:space="preserve">Most of this reorganization is cosmetic and does not change substantive rights. Two observations are warranted:</w:t>
      </w:r>
    </w:p>
    <w:p>
      <w:pPr>
        <w:pStyle w:val="Compact"/>
        <w:numPr>
          <w:ilvl w:val="0"/>
          <w:numId w:val="1003"/>
        </w:numPr>
      </w:pPr>
      <w:r>
        <w:rPr>
          <w:b/>
          <w:bCs/>
        </w:rPr>
        <w:t xml:space="preserve">Substance preserved through relocation.</w:t>
      </w:r>
      <w:r>
        <w:t xml:space="preserve"> </w:t>
      </w:r>
      <w:r>
        <w:t xml:space="preserve">The Original Draft’s Section 1.3 (Binding Effect, citing 750 ILCS 5/502) and Section 1.4 (Children’s Rights Unaffected) are not lost; the binding-effect concept is carried into the governing-law provision (Redline § 15.1), and the children’s-rights reservation appears in Redline § 1.2 and § 2.1(h). This is acceptable.</w:t>
      </w:r>
    </w:p>
    <w:p>
      <w:pPr>
        <w:pStyle w:val="Compact"/>
        <w:numPr>
          <w:ilvl w:val="0"/>
          <w:numId w:val="1003"/>
        </w:numPr>
      </w:pPr>
      <w:r>
        <w:rPr>
          <w:b/>
          <w:bCs/>
        </w:rPr>
        <w:t xml:space="preserve">Softened disclosure acknowledgments.</w:t>
      </w:r>
      <w:r>
        <w:t xml:space="preserve"> </w:t>
      </w:r>
      <w:r>
        <w:t xml:space="preserve">Tucked into the reorganized recitals and representations are several quiet weakenings of the disclosure acknowledgments. Redline § 1.5 replaces the Original Draft’s</w:t>
      </w:r>
      <w:r>
        <w:t xml:space="preserve"> </w:t>
      </w:r>
      <w:r>
        <w:t xml:space="preserve">“</w:t>
      </w:r>
      <w:r>
        <w:t xml:space="preserve">full and complete disclosure</w:t>
      </w:r>
      <w:r>
        <w:t xml:space="preserve">”</w:t>
      </w:r>
      <w:r>
        <w:t xml:space="preserve"> </w:t>
      </w:r>
      <w:r>
        <w:t xml:space="preserve">with</w:t>
      </w:r>
      <w:r>
        <w:t xml:space="preserve"> </w:t>
      </w:r>
      <w:r>
        <w:t xml:space="preserve">“</w:t>
      </w:r>
      <w:r>
        <w:t xml:space="preserve">substantially full financial disclosure</w:t>
      </w:r>
      <w:r>
        <w:t xml:space="preserve">”</w:t>
      </w:r>
      <w:r>
        <w:t xml:space="preserve">; Redline § 3.1(d) replaces</w:t>
      </w:r>
      <w:r>
        <w:t xml:space="preserve"> </w:t>
      </w:r>
      <w:r>
        <w:t xml:space="preserve">“</w:t>
      </w:r>
      <w:r>
        <w:t xml:space="preserve">full and fair opportunity to review</w:t>
      </w:r>
      <w:r>
        <w:t xml:space="preserve">”</w:t>
      </w:r>
      <w:r>
        <w:t xml:space="preserve"> </w:t>
      </w:r>
      <w:r>
        <w:t xml:space="preserve">with</w:t>
      </w:r>
      <w:r>
        <w:t xml:space="preserve"> </w:t>
      </w:r>
      <w:r>
        <w:t xml:space="preserve">“</w:t>
      </w:r>
      <w:r>
        <w:t xml:space="preserve">reasonable opportunity to review … and is generally satisfied with such disclosure</w:t>
      </w:r>
      <w:r>
        <w:t xml:space="preserve">”</w:t>
      </w:r>
      <w:r>
        <w:t xml:space="preserve">; and Redline § 12.1 likewise refers to a</w:t>
      </w:r>
      <w:r>
        <w:t xml:space="preserve"> </w:t>
      </w:r>
      <w:r>
        <w:t xml:space="preserve">“</w:t>
      </w:r>
      <w:r>
        <w:t xml:space="preserve">substantially complete statement.</w:t>
      </w:r>
      <w:r>
        <w:t xml:space="preserve">”</w:t>
      </w:r>
      <w:r>
        <w:t xml:space="preserve"> </w:t>
      </w:r>
      <w:r>
        <w:t xml:space="preserve">The words</w:t>
      </w:r>
      <w:r>
        <w:t xml:space="preserve"> </w:t>
      </w:r>
      <w:r>
        <w:t xml:space="preserve">“</w:t>
      </w:r>
      <w:r>
        <w:t xml:space="preserve">substantially</w:t>
      </w:r>
      <w:r>
        <w:t xml:space="preserve">”</w:t>
      </w:r>
      <w:r>
        <w:t xml:space="preserve"> </w:t>
      </w:r>
      <w:r>
        <w:t xml:space="preserve">and</w:t>
      </w:r>
      <w:r>
        <w:t xml:space="preserve"> </w:t>
      </w:r>
      <w:r>
        <w:t xml:space="preserve">“</w:t>
      </w:r>
      <w:r>
        <w:t xml:space="preserve">generally satisfied</w:t>
      </w:r>
      <w:r>
        <w:t xml:space="preserve">”</w:t>
      </w:r>
      <w:r>
        <w:t xml:space="preserve"> </w:t>
      </w:r>
      <w:r>
        <w:t xml:space="preserve">are not innocuous — they dilute the representations that support enforceability and that the client specifically asked us to keep robust. These qualifiers should be struck.</w:t>
      </w:r>
    </w:p>
    <w:p>
      <w:r>
        <w:pict>
          <v:rect style="width:0;height:1.5pt" o:hralign="center" o:hrstd="t" o:hr="t"/>
        </w:pict>
      </w:r>
    </w:p>
    <w:bookmarkEnd w:id="25"/>
    <w:bookmarkStart w:id="40" w:name="Xd6c467042497f7baa81e155e63fb33b7abb39af"/>
    <w:p>
      <w:pPr>
        <w:pStyle w:val="Heading2"/>
      </w:pPr>
      <w:r>
        <w:t xml:space="preserve">IV. Material Substantive Changes — Detailed Analysis</w:t>
      </w:r>
    </w:p>
    <w:p>
      <w:pPr>
        <w:pStyle w:val="FirstParagraph"/>
      </w:pPr>
      <w:r>
        <w:t xml:space="preserve">The following analysis addresses each material change in order of importance. For each, I identify the Original Draft provision, the Redline change, the economic impact and the party favored, and a recommendation.</w:t>
      </w:r>
    </w:p>
    <w:bookmarkStart w:id="26" w:name="Xbb178e5cea172fb156968f60eec6d716e314d31"/>
    <w:p>
      <w:pPr>
        <w:pStyle w:val="Heading3"/>
      </w:pPr>
      <w:r>
        <w:t xml:space="preserve">A. Deletion of Wife’s Premarital Savings Reimbursement Right — CRITICAL</w:t>
      </w:r>
    </w:p>
    <w:p>
      <w:pPr>
        <w:pStyle w:val="FirstParagraph"/>
      </w:pPr>
      <w:r>
        <w:rPr>
          <w:b/>
          <w:bCs/>
        </w:rPr>
        <w:t xml:space="preserve">Original Draft (§ 5.2).</w:t>
      </w:r>
      <w:r>
        <w:t xml:space="preserve"> </w:t>
      </w:r>
      <w:r>
        <w:t xml:space="preserve">Wife is entitled to a first-priority reimbursement claim of $1,200,000 from the Joint Investment Account (or, if insufficient, from Wife’s share of the marital estate), satisfied</w:t>
      </w:r>
      <w:r>
        <w:t xml:space="preserve"> </w:t>
      </w:r>
      <w:r>
        <w:rPr>
          <w:i/>
          <w:iCs/>
        </w:rPr>
        <w:t xml:space="preserve">before</w:t>
      </w:r>
      <w:r>
        <w:t xml:space="preserve"> </w:t>
      </w:r>
      <w:r>
        <w:t xml:space="preserve">the equal division of the remaining balance. After reimbursement, the remaining appreciation (~$670,000) is divided 50/50. The provision expressly states the claim is a</w:t>
      </w:r>
      <w:r>
        <w:t xml:space="preserve"> </w:t>
      </w:r>
      <w:r>
        <w:t xml:space="preserve">“</w:t>
      </w:r>
      <w:r>
        <w:t xml:space="preserve">first-priority claim</w:t>
      </w:r>
      <w:r>
        <w:t xml:space="preserve">”</w:t>
      </w:r>
      <w:r>
        <w:t xml:space="preserve"> </w:t>
      </w:r>
      <w:r>
        <w:t xml:space="preserve">intended to</w:t>
      </w:r>
      <w:r>
        <w:t xml:space="preserve"> </w:t>
      </w:r>
      <w:r>
        <w:t xml:space="preserve">“</w:t>
      </w:r>
      <w:r>
        <w:t xml:space="preserve">prevent the unjust enrichment of Husband at Wife’s expense.</w:t>
      </w:r>
      <w:r>
        <w:t xml:space="preserve">”</w:t>
      </w:r>
    </w:p>
    <w:p>
      <w:pPr>
        <w:pStyle w:val="BodyText"/>
      </w:pPr>
      <w:r>
        <w:rPr>
          <w:b/>
          <w:bCs/>
        </w:rPr>
        <w:t xml:space="preserve">Redline.</w:t>
      </w:r>
      <w:r>
        <w:t xml:space="preserve"> </w:t>
      </w:r>
      <w:r>
        <w:t xml:space="preserve">Section 5.2 is deleted in its entirety. Margin comment MC-05 states the section is</w:t>
      </w:r>
      <w:r>
        <w:t xml:space="preserve"> </w:t>
      </w:r>
      <w:r>
        <w:t xml:space="preserve">“</w:t>
      </w:r>
      <w:r>
        <w:t xml:space="preserve">duplicative of Section 5.1 general property division provisions.</w:t>
      </w:r>
      <w:r>
        <w:t xml:space="preserve">”</w:t>
      </w:r>
      <w:r>
        <w:t xml:space="preserve"> </w:t>
      </w:r>
      <w:r>
        <w:t xml:space="preserve">The Redline’s replacement Section 5.2 (Division of Marital Property Upon Dissolution) provides only a general presumption of equal division of marital property, with no first-dollar reimbursement.</w:t>
      </w:r>
    </w:p>
    <w:p>
      <w:pPr>
        <w:pStyle w:val="BodyText"/>
      </w:pPr>
      <w:r>
        <w:rPr>
          <w:b/>
          <w:bCs/>
        </w:rPr>
        <w:t xml:space="preserve">Impact.</w:t>
      </w:r>
      <w:r>
        <w:t xml:space="preserve"> </w:t>
      </w:r>
      <w:r>
        <w:t xml:space="preserve">This is the single most damaging change in the Redline, and the</w:t>
      </w:r>
      <w:r>
        <w:t xml:space="preserve"> </w:t>
      </w:r>
      <w:r>
        <w:t xml:space="preserve">“</w:t>
      </w:r>
      <w:r>
        <w:t xml:space="preserve">duplicative</w:t>
      </w:r>
      <w:r>
        <w:t xml:space="preserve">”</w:t>
      </w:r>
      <w:r>
        <w:t xml:space="preserve"> </w:t>
      </w:r>
      <w:r>
        <w:t xml:space="preserve">justification is incorrect. The general 50/50 division of marital property does</w:t>
      </w:r>
      <w:r>
        <w:t xml:space="preserve"> </w:t>
      </w:r>
      <w:r>
        <w:rPr>
          <w:b/>
          <w:bCs/>
        </w:rPr>
        <w:t xml:space="preserve">not</w:t>
      </w:r>
      <w:r>
        <w:t xml:space="preserve"> </w:t>
      </w:r>
      <w:r>
        <w:t xml:space="preserve">reproduce the reimbursement right. Under a pure 50/50 division of the $1,870,000 Joint Investment Account, Wife receives $935,000 — i.e., she loses $265,000 of her traceable premarital principal relative to the reimbursement right, and Husband receives a $265,000 windfall of Wife’s premarital savings. The Linden &amp; Fosse disclosure (Line W-5; Joint Line J-2) documents the tracing in detail: Wife deposited $1,200,000 in premarital savings from her individual Northbridge account (ending 0184, closed 2014) into the joint account (ending 3291), with wire-transfer records and statements on file. The tracing is clean and the reimbursement right is well-supported under 750 ILCS 5/503(c).</w:t>
      </w:r>
    </w:p>
    <w:p>
      <w:pPr>
        <w:pStyle w:val="BodyText"/>
      </w:pPr>
      <w:r>
        <w:t xml:space="preserve">This change strikes directly at the client’s</w:t>
      </w:r>
      <w:r>
        <w:t xml:space="preserve"> </w:t>
      </w:r>
      <w:r>
        <w:rPr>
          <w:b/>
          <w:bCs/>
        </w:rPr>
        <w:t xml:space="preserve">Objective 1</w:t>
      </w:r>
      <w:r>
        <w:t xml:space="preserve">, which she described as</w:t>
      </w:r>
      <w:r>
        <w:t xml:space="preserve"> </w:t>
      </w:r>
      <w:r>
        <w:t xml:space="preserve">“</w:t>
      </w:r>
      <w:r>
        <w:t xml:space="preserve">non-negotiable</w:t>
      </w:r>
      <w:r>
        <w:t xml:space="preserve">”</w:t>
      </w:r>
      <w:r>
        <w:t xml:space="preserve"> </w:t>
      </w:r>
      <w:r>
        <w:t xml:space="preserve">and</w:t>
      </w:r>
      <w:r>
        <w:t xml:space="preserve"> </w:t>
      </w:r>
      <w:r>
        <w:t xml:space="preserve">“</w:t>
      </w:r>
      <w:r>
        <w:t xml:space="preserve">the whole reason</w:t>
      </w:r>
      <w:r>
        <w:t xml:space="preserve">”</w:t>
      </w:r>
      <w:r>
        <w:t xml:space="preserve"> </w:t>
      </w:r>
      <w:r>
        <w:t xml:space="preserve">she is pursuing the Agreement. It is also the change Mr. Baxter’s email does not mention at all.</w:t>
      </w:r>
    </w:p>
    <w:p>
      <w:pPr>
        <w:pStyle w:val="BodyText"/>
      </w:pPr>
      <w:r>
        <w:rPr>
          <w:b/>
          <w:bCs/>
        </w:rPr>
        <w:t xml:space="preserve">Recommendation.</w:t>
      </w:r>
      <w:r>
        <w:t xml:space="preserve"> </w:t>
      </w:r>
      <w:r>
        <w:t xml:space="preserve">Reject the deletion. Reinstate the Original Draft’s Section 5.2 in full, updated to reflect the correct account number (3291, not the Redline’s erroneous</w:t>
      </w:r>
      <w:r>
        <w:t xml:space="preserve"> </w:t>
      </w:r>
      <w:r>
        <w:t xml:space="preserve">“</w:t>
      </w:r>
      <w:r>
        <w:t xml:space="preserve">-3961</w:t>
      </w:r>
      <w:r>
        <w:t xml:space="preserve">”</w:t>
      </w:r>
      <w:r>
        <w:t xml:space="preserve">). Treat this as a non-negotiable. If Husband resists, the fallback is a contractual reimbursement right expressed as a first-dollar claim against the marital estate generally (not solely the Joint Investment Account), which is broader and therefore more, not less, protective of Wife.</w:t>
      </w:r>
    </w:p>
    <w:bookmarkEnd w:id="26"/>
    <w:bookmarkStart w:id="27" w:name="Xefa160fa92419f133af195eed1fa69bf5312f3a"/>
    <w:p>
      <w:pPr>
        <w:pStyle w:val="Heading3"/>
      </w:pPr>
      <w:r>
        <w:t xml:space="preserve">B. Reversal of the Commingling/Transmutation Rule — CRITICAL</w:t>
      </w:r>
    </w:p>
    <w:p>
      <w:pPr>
        <w:pStyle w:val="FirstParagraph"/>
      </w:pPr>
      <w:r>
        <w:rPr>
          <w:b/>
          <w:bCs/>
        </w:rPr>
        <w:t xml:space="preserve">Original Draft (§ 4.3).</w:t>
      </w:r>
      <w:r>
        <w:t xml:space="preserve"> </w:t>
      </w:r>
      <w:r>
        <w:t xml:space="preserve">Separate property used for the joint benefit of the marital household (mortgage payments, home improvements, family expenses, tuition, vacations) is</w:t>
      </w:r>
      <w:r>
        <w:t xml:space="preserve"> </w:t>
      </w:r>
      <w:r>
        <w:t xml:space="preserve">“</w:t>
      </w:r>
      <w:r>
        <w:t xml:space="preserve">deemed a gift to the marriage</w:t>
      </w:r>
      <w:r>
        <w:t xml:space="preserve">”</w:t>
      </w:r>
      <w:r>
        <w:t xml:space="preserve"> </w:t>
      </w:r>
      <w:r>
        <w:t xml:space="preserve">and treated as marital property, with a rebuttable presumption of transmutation. The provision expressly applies to</w:t>
      </w:r>
      <w:r>
        <w:t xml:space="preserve"> </w:t>
      </w:r>
      <w:r>
        <w:t xml:space="preserve">“</w:t>
      </w:r>
      <w:r>
        <w:t xml:space="preserve">both Husband’s Inheritance and to any other Separate Property held by either Party.</w:t>
      </w:r>
      <w:r>
        <w:t xml:space="preserve">”</w:t>
      </w:r>
    </w:p>
    <w:p>
      <w:pPr>
        <w:pStyle w:val="BodyText"/>
      </w:pPr>
      <w:r>
        <w:rPr>
          <w:b/>
          <w:bCs/>
        </w:rPr>
        <w:t xml:space="preserve">Redline (§ 4.3(c)).</w:t>
      </w:r>
      <w:r>
        <w:t xml:space="preserve"> </w:t>
      </w:r>
      <w:r>
        <w:t xml:space="preserve">The rule is reversed. Separate property used for joint household benefit</w:t>
      </w:r>
      <w:r>
        <w:t xml:space="preserve"> </w:t>
      </w:r>
      <w:r>
        <w:t xml:space="preserve">“</w:t>
      </w:r>
      <w:r>
        <w:t xml:space="preserve">shall not be deemed commingled solely by reason of such use,</w:t>
      </w:r>
      <w:r>
        <w:t xml:space="preserve">”</w:t>
      </w:r>
      <w:r>
        <w:t xml:space="preserve"> </w:t>
      </w:r>
      <w:r>
        <w:t xml:space="preserve">the contributing party</w:t>
      </w:r>
      <w:r>
        <w:t xml:space="preserve"> </w:t>
      </w:r>
      <w:r>
        <w:t xml:space="preserve">“</w:t>
      </w:r>
      <w:r>
        <w:t xml:space="preserve">shall retain a claim for reimbursement,</w:t>
      </w:r>
      <w:r>
        <w:t xml:space="preserve">”</w:t>
      </w:r>
      <w:r>
        <w:t xml:space="preserve"> </w:t>
      </w:r>
      <w:r>
        <w:t xml:space="preserve">and the property</w:t>
      </w:r>
      <w:r>
        <w:t xml:space="preserve"> </w:t>
      </w:r>
      <w:r>
        <w:t xml:space="preserve">“</w:t>
      </w:r>
      <w:r>
        <w:t xml:space="preserve">retain[s] its classification as Separate Property of the contributing Party.</w:t>
      </w:r>
      <w:r>
        <w:t xml:space="preserve">”</w:t>
      </w:r>
      <w:r>
        <w:t xml:space="preserve"> </w:t>
      </w:r>
      <w:r>
        <w:t xml:space="preserve">Margin comments MC-03 and MC-04 frame this as aligning with Illinois tracing principles and protecting separate property from</w:t>
      </w:r>
      <w:r>
        <w:t xml:space="preserve"> </w:t>
      </w:r>
      <w:r>
        <w:t xml:space="preserve">“</w:t>
      </w:r>
      <w:r>
        <w:t xml:space="preserve">inadvertent commingling through ordinary family expenditures.</w:t>
      </w:r>
      <w:r>
        <w:t xml:space="preserve">”</w:t>
      </w:r>
    </w:p>
    <w:p>
      <w:pPr>
        <w:pStyle w:val="BodyText"/>
      </w:pPr>
      <w:r>
        <w:rPr>
          <w:b/>
          <w:bCs/>
        </w:rPr>
        <w:t xml:space="preserve">Impact.</w:t>
      </w:r>
      <w:r>
        <w:t xml:space="preserve"> </w:t>
      </w:r>
      <w:r>
        <w:t xml:space="preserve">This change is the mirror image of the reimbursement-right deletion and, together with it, re-engineers the treatment of the parties’ largest separate-property pools in Husband’s favor. The client’s central concern about the inheritance — recorded in the intake memo — was that Husband might</w:t>
      </w:r>
      <w:r>
        <w:t xml:space="preserve"> </w:t>
      </w:r>
      <w:r>
        <w:t xml:space="preserve">“</w:t>
      </w:r>
      <w:r>
        <w:t xml:space="preserve">deploy these funds during the marriage</w:t>
      </w:r>
      <w:r>
        <w:t xml:space="preserve">”</w:t>
      </w:r>
      <w:r>
        <w:t xml:space="preserve"> </w:t>
      </w:r>
      <w:r>
        <w:t xml:space="preserve">(paying down the mortgage, funding home improvements, paying family expenses) and thereby affect classification. The Original Draft protected Wife by treating such use as a gift to the marriage (a transmutation), which both (i) gave the marital estate a claim to a share of the inheritance so deployed and (ii) deterred Husband from dissipating the inheritance on household costs. The Redline eliminates both effects: Husband may spend inheritance funds on the household and recover them dollar-for-dollar as a reimbursement claim, with the inheritance remaining his separate property.</w:t>
      </w:r>
    </w:p>
    <w:p>
      <w:pPr>
        <w:pStyle w:val="BodyText"/>
      </w:pPr>
      <w:r>
        <w:t xml:space="preserve">The provision is nominally mutual, but it is not symmetrical in effect. Wife’s principal separate asset — her premarital savings — is already commingled and, under the Redline, her reimbursement right has been deleted. The</w:t>
      </w:r>
      <w:r>
        <w:t xml:space="preserve"> </w:t>
      </w:r>
      <w:r>
        <w:t xml:space="preserve">“</w:t>
      </w:r>
      <w:r>
        <w:t xml:space="preserve">protection</w:t>
      </w:r>
      <w:r>
        <w:t xml:space="preserve">”</w:t>
      </w:r>
      <w:r>
        <w:t xml:space="preserve"> </w:t>
      </w:r>
      <w:r>
        <w:t xml:space="preserve">the Redline offers Wife is therefore largely illusory, while the protection it offers Husband over a $3.8 million inheritance is concrete and substantial.</w:t>
      </w:r>
    </w:p>
    <w:p>
      <w:pPr>
        <w:pStyle w:val="BodyText"/>
      </w:pPr>
      <w:r>
        <w:rPr>
          <w:b/>
          <w:bCs/>
        </w:rPr>
        <w:t xml:space="preserve">Recommendation.</w:t>
      </w:r>
      <w:r>
        <w:t xml:space="preserve"> </w:t>
      </w:r>
      <w:r>
        <w:t xml:space="preserve">Reject the reversal. Reinstate the Original Draft’s § 4.3(b) gift-to-the-marriage presumption (with the rebuttable transmutation presumption), which is a defensible contractual transmutation provision and is the provision the client was advised supports her position. If Husband insists on a reimbursement framework for household expenditures of separate property, it should be (i) mutual in operation, (ii) paired with reinstatement of Wife’s premarital-savings reimbursement right, and (iii) subject to a cap or a requirement of contemporaneous documentation so that it cannot be used to recharacterize routine spending retroactively. As drafted, the Redline’s version is a one-way valve favoring Husband.</w:t>
      </w:r>
    </w:p>
    <w:bookmarkEnd w:id="27"/>
    <w:bookmarkStart w:id="28" w:name="Xdc682d79b1310b6b27ca82860381ea354189dc7"/>
    <w:p>
      <w:pPr>
        <w:pStyle w:val="Heading3"/>
      </w:pPr>
      <w:r>
        <w:t xml:space="preserve">C. Voidability for Non-Disclosure — CRITICAL</w:t>
      </w:r>
    </w:p>
    <w:p>
      <w:pPr>
        <w:pStyle w:val="FirstParagraph"/>
      </w:pPr>
      <w:r>
        <w:rPr>
          <w:b/>
          <w:bCs/>
        </w:rPr>
        <w:t xml:space="preserve">Original Draft (§ 3.3; § 12.3).</w:t>
      </w:r>
      <w:r>
        <w:t xml:space="preserve"> </w:t>
      </w:r>
      <w:r>
        <w:t xml:space="preserve">The Agreement is voidable at the election of either party upon a</w:t>
      </w:r>
      <w:r>
        <w:t xml:space="preserve"> </w:t>
      </w:r>
      <w:r>
        <w:t xml:space="preserve">“</w:t>
      </w:r>
      <w:r>
        <w:t xml:space="preserve">material omission or misrepresentation</w:t>
      </w:r>
      <w:r>
        <w:t xml:space="preserve">”</w:t>
      </w:r>
      <w:r>
        <w:t xml:space="preserve"> </w:t>
      </w:r>
      <w:r>
        <w:t xml:space="preserve">in financial disclosure. The right is expressly</w:t>
      </w:r>
      <w:r>
        <w:t xml:space="preserve"> </w:t>
      </w:r>
      <w:r>
        <w:t xml:space="preserve">“</w:t>
      </w:r>
      <w:r>
        <w:t xml:space="preserve">not subject to any heightened evidentiary standard or dollar threshold,</w:t>
      </w:r>
      <w:r>
        <w:t xml:space="preserve">”</w:t>
      </w:r>
      <w:r>
        <w:t xml:space="preserve"> </w:t>
      </w:r>
      <w:r>
        <w:t xml:space="preserve">and no intent to conceal is required. The Original Draft also imposed an</w:t>
      </w:r>
      <w:r>
        <w:t xml:space="preserve"> </w:t>
      </w:r>
      <w:r>
        <w:rPr>
          <w:b/>
          <w:bCs/>
        </w:rPr>
        <w:t xml:space="preserve">ongoing duty of disclosure</w:t>
      </w:r>
      <w:r>
        <w:t xml:space="preserve"> </w:t>
      </w:r>
      <w:r>
        <w:t xml:space="preserve">(§ 3.4) requiring written disclosure of material post-Effective Date changes (new assets, new debts, income/employment changes, gifts/inheritances over $10,000) within 30 days, and a</w:t>
      </w:r>
      <w:r>
        <w:t xml:space="preserve"> </w:t>
      </w:r>
      <w:r>
        <w:rPr>
          <w:b/>
          <w:bCs/>
        </w:rPr>
        <w:t xml:space="preserve">future-debt disclosure duty</w:t>
      </w:r>
      <w:r>
        <w:t xml:space="preserve"> </w:t>
      </w:r>
      <w:r>
        <w:t xml:space="preserve">(§ 11.3) requiring disclosure of any new debt over $5,000 within 15 days, with failure constituting a material breach.</w:t>
      </w:r>
    </w:p>
    <w:p>
      <w:pPr>
        <w:pStyle w:val="BodyText"/>
      </w:pPr>
      <w:r>
        <w:rPr>
          <w:b/>
          <w:bCs/>
        </w:rPr>
        <w:t xml:space="preserve">Redline (§ 12.2).</w:t>
      </w:r>
      <w:r>
        <w:t xml:space="preserve"> </w:t>
      </w:r>
      <w:r>
        <w:t xml:space="preserve">The Agreement is voidable</w:t>
      </w:r>
      <w:r>
        <w:t xml:space="preserve"> </w:t>
      </w:r>
      <w:r>
        <w:rPr>
          <w:b/>
          <w:bCs/>
        </w:rPr>
        <w:t xml:space="preserve">only</w:t>
      </w:r>
      <w:r>
        <w:t xml:space="preserve"> </w:t>
      </w:r>
      <w:r>
        <w:t xml:space="preserve">if a party demonstrates,</w:t>
      </w:r>
      <w:r>
        <w:t xml:space="preserve"> </w:t>
      </w:r>
      <w:r>
        <w:t xml:space="preserve">“</w:t>
      </w:r>
      <w:r>
        <w:rPr>
          <w:b/>
          <w:bCs/>
        </w:rPr>
        <w:t xml:space="preserve">by clear and convincing evidence</w:t>
      </w:r>
      <w:r>
        <w:t xml:space="preserve">,</w:t>
      </w:r>
      <w:r>
        <w:t xml:space="preserve">”</w:t>
      </w:r>
      <w:r>
        <w:t xml:space="preserve"> </w:t>
      </w:r>
      <w:r>
        <w:t xml:space="preserve">that the other party</w:t>
      </w:r>
      <w:r>
        <w:t xml:space="preserve"> </w:t>
      </w:r>
      <w:r>
        <w:t xml:space="preserve">“</w:t>
      </w:r>
      <w:r>
        <w:rPr>
          <w:b/>
          <w:bCs/>
        </w:rPr>
        <w:t xml:space="preserve">intentionally</w:t>
      </w:r>
      <w:r>
        <w:t xml:space="preserve"> </w:t>
      </w:r>
      <w:r>
        <w:t xml:space="preserve">concealed assets, income, or liabilities with an aggregate value</w:t>
      </w:r>
      <w:r>
        <w:t xml:space="preserve"> </w:t>
      </w:r>
      <w:r>
        <w:rPr>
          <w:b/>
          <w:bCs/>
        </w:rPr>
        <w:t xml:space="preserve">exceeding One Hundred Thousand Dollars ($100,000)</w:t>
      </w:r>
      <w:r>
        <w:t xml:space="preserve">.</w:t>
      </w:r>
      <w:r>
        <w:t xml:space="preserve">”</w:t>
      </w:r>
      <w:r>
        <w:t xml:space="preserve"> </w:t>
      </w:r>
      <w:r>
        <w:t xml:space="preserve">“</w:t>
      </w:r>
      <w:r>
        <w:t xml:space="preserve">Inadvertent errors or omissions shall not constitute grounds for avoidance.</w:t>
      </w:r>
      <w:r>
        <w:t xml:space="preserve">”</w:t>
      </w:r>
      <w:r>
        <w:t xml:space="preserve"> </w:t>
      </w:r>
      <w:r>
        <w:t xml:space="preserve">A</w:t>
      </w:r>
      <w:r>
        <w:t xml:space="preserve"> </w:t>
      </w:r>
      <w:r>
        <w:rPr>
          <w:b/>
          <w:bCs/>
        </w:rPr>
        <w:t xml:space="preserve">two-year limitations period</w:t>
      </w:r>
      <w:r>
        <w:t xml:space="preserve"> </w:t>
      </w:r>
      <w:r>
        <w:t xml:space="preserve">runs from discovery. The ongoing disclosure duty (§ 3.4) and the future-debt disclosure duty (§ 11.3) are deleted entirely.</w:t>
      </w:r>
    </w:p>
    <w:p>
      <w:pPr>
        <w:pStyle w:val="BodyText"/>
      </w:pPr>
      <w:r>
        <w:rPr>
          <w:b/>
          <w:bCs/>
        </w:rPr>
        <w:t xml:space="preserve">Impact.</w:t>
      </w:r>
      <w:r>
        <w:t xml:space="preserve"> </w:t>
      </w:r>
      <w:r>
        <w:t xml:space="preserve">This is the change most directly at odds with the client’s express instructions. The client stated:</w:t>
      </w:r>
      <w:r>
        <w:t xml:space="preserve"> </w:t>
      </w:r>
      <w:r>
        <w:t xml:space="preserve">“</w:t>
      </w:r>
      <w:r>
        <w:t xml:space="preserve">If Marcus is hiding a $10,000 account or a $50,000 account, I want to be able to void this agreement. I don’t want a provision that only kicks in if he hides a million dollars.</w:t>
      </w:r>
      <w:r>
        <w:t xml:space="preserve">”</w:t>
      </w:r>
      <w:r>
        <w:t xml:space="preserve"> </w:t>
      </w:r>
      <w:r>
        <w:t xml:space="preserve">The Redline does precisely what the client asked us to prevent. The $100,000 threshold means Husband’s documented $68,000 of concealed credit-card debt — the precipitating event for this entire engagement — would</w:t>
      </w:r>
      <w:r>
        <w:t xml:space="preserve"> </w:t>
      </w:r>
      <w:r>
        <w:rPr>
          <w:b/>
          <w:bCs/>
        </w:rPr>
        <w:t xml:space="preserve">not</w:t>
      </w:r>
      <w:r>
        <w:t xml:space="preserve"> </w:t>
      </w:r>
      <w:r>
        <w:t xml:space="preserve">support voidability. The</w:t>
      </w:r>
      <w:r>
        <w:t xml:space="preserve"> </w:t>
      </w:r>
      <w:r>
        <w:t xml:space="preserve">“</w:t>
      </w:r>
      <w:r>
        <w:t xml:space="preserve">clear and convincing</w:t>
      </w:r>
      <w:r>
        <w:t xml:space="preserve">”</w:t>
      </w:r>
      <w:r>
        <w:t xml:space="preserve"> </w:t>
      </w:r>
      <w:r>
        <w:t xml:space="preserve">standard and the</w:t>
      </w:r>
      <w:r>
        <w:t xml:space="preserve"> </w:t>
      </w:r>
      <w:r>
        <w:t xml:space="preserve">“</w:t>
      </w:r>
      <w:r>
        <w:t xml:space="preserve">intentional</w:t>
      </w:r>
      <w:r>
        <w:t xml:space="preserve">”</w:t>
      </w:r>
      <w:r>
        <w:t xml:space="preserve"> </w:t>
      </w:r>
      <w:r>
        <w:t xml:space="preserve">requirement are materially harder to meet than the Original Draft’s no-intent, no-threshold, preponderance-level material-omission standard, and the two-year clock further constrains recourse. The deletion of the ongoing and future-debt disclosure duties removes the transparency regime the client identified as her second-highest priority.</w:t>
      </w:r>
    </w:p>
    <w:p>
      <w:pPr>
        <w:pStyle w:val="BodyText"/>
      </w:pPr>
      <w:r>
        <w:t xml:space="preserve">This change favors Husband and is in tension with the fiduciary-duty backdrop against which Illinois postnuptial agreements are scrutinized under 750 ILCS 5/502.</w:t>
      </w:r>
    </w:p>
    <w:p>
      <w:pPr>
        <w:pStyle w:val="BodyText"/>
      </w:pPr>
      <w:r>
        <w:rPr>
          <w:b/>
          <w:bCs/>
        </w:rPr>
        <w:t xml:space="preserve">Recommendation.</w:t>
      </w:r>
      <w:r>
        <w:t xml:space="preserve"> </w:t>
      </w:r>
      <w:r>
        <w:t xml:space="preserve">Reject the Redline’s § 12.2 in its entirety. Reinstate the Original Draft’s § 3.3 material-omission standard (no heightened evidentiary standard, no dollar threshold, no intent requirement) and § 12.3. Reinstate the ongoing disclosure duty (§ 3.4) and the future-debt disclosure duty (§ 11.3). If a compromise is required, the outermost concession we should consider is a</w:t>
      </w:r>
      <w:r>
        <w:t xml:space="preserve"> </w:t>
      </w:r>
      <w:r>
        <w:t xml:space="preserve">“</w:t>
      </w:r>
      <w:r>
        <w:t xml:space="preserve">material omission</w:t>
      </w:r>
      <w:r>
        <w:t xml:space="preserve">”</w:t>
      </w:r>
      <w:r>
        <w:t xml:space="preserve"> </w:t>
      </w:r>
      <w:r>
        <w:t xml:space="preserve">standard (retaining no-intent and no-dollar-threshold) coupled with a reasonable limitations period of no less than five years — never the clear-and-convincing/intentional/$100,000 regime Husband proposes.</w:t>
      </w:r>
    </w:p>
    <w:bookmarkEnd w:id="28"/>
    <w:bookmarkStart w:id="29" w:name="Xc075857532bb78ad69877cd630d68bc634f74f9"/>
    <w:p>
      <w:pPr>
        <w:pStyle w:val="Heading3"/>
      </w:pPr>
      <w:r>
        <w:t xml:space="preserve">D. Unilateral Modification by Notice — CRITICAL</w:t>
      </w:r>
    </w:p>
    <w:p>
      <w:pPr>
        <w:pStyle w:val="FirstParagraph"/>
      </w:pPr>
      <w:r>
        <w:rPr>
          <w:b/>
          <w:bCs/>
        </w:rPr>
        <w:t xml:space="preserve">Original Draft (§ 14.1).</w:t>
      </w:r>
      <w:r>
        <w:t xml:space="preserve"> </w:t>
      </w:r>
      <w:r>
        <w:t xml:space="preserve">The Agreement may be modified, amended, supplemented, or waived</w:t>
      </w:r>
      <w:r>
        <w:t xml:space="preserve"> </w:t>
      </w:r>
      <w:r>
        <w:rPr>
          <w:b/>
          <w:bCs/>
        </w:rPr>
        <w:t xml:space="preserve">only</w:t>
      </w:r>
      <w:r>
        <w:t xml:space="preserve"> </w:t>
      </w:r>
      <w:r>
        <w:t xml:space="preserve">by a written instrument executed by</w:t>
      </w:r>
      <w:r>
        <w:t xml:space="preserve"> </w:t>
      </w:r>
      <w:r>
        <w:rPr>
          <w:b/>
          <w:bCs/>
        </w:rPr>
        <w:t xml:space="preserve">both</w:t>
      </w:r>
      <w:r>
        <w:t xml:space="preserve"> </w:t>
      </w:r>
      <w:r>
        <w:t xml:space="preserve">parties with the same formality as the Agreement. Oral and unilateral modifications are void.</w:t>
      </w:r>
    </w:p>
    <w:p>
      <w:pPr>
        <w:pStyle w:val="BodyText"/>
      </w:pPr>
      <w:r>
        <w:rPr>
          <w:b/>
          <w:bCs/>
        </w:rPr>
        <w:t xml:space="preserve">Redline (§§ 14.1–14.2).</w:t>
      </w:r>
      <w:r>
        <w:t xml:space="preserve"> </w:t>
      </w:r>
      <w:r>
        <w:t xml:space="preserve">Section 14.1 is reduced to a cross-reference. New § 14.2 provides that</w:t>
      </w:r>
      <w:r>
        <w:t xml:space="preserve"> </w:t>
      </w:r>
      <w:r>
        <w:rPr>
          <w:b/>
          <w:bCs/>
        </w:rPr>
        <w:t xml:space="preserve">either party may propose a modification by delivering written notice</w:t>
      </w:r>
      <w:r>
        <w:t xml:space="preserve"> </w:t>
      </w:r>
      <w:r>
        <w:t xml:space="preserve">specifying the proposed change; the modification</w:t>
      </w:r>
      <w:r>
        <w:t xml:space="preserve"> </w:t>
      </w:r>
      <w:r>
        <w:t xml:space="preserve">“</w:t>
      </w:r>
      <w:r>
        <w:t xml:space="preserve">shall become effective ninety (90) days after delivery … unless the other Party delivers a written objection</w:t>
      </w:r>
      <w:r>
        <w:t xml:space="preserve">”</w:t>
      </w:r>
      <w:r>
        <w:t xml:space="preserve"> </w:t>
      </w:r>
      <w:r>
        <w:t xml:space="preserve">within that period. If a timely objection is delivered, the parties negotiate in good faith, but there is no requirement that any resulting change be mutually executed.</w:t>
      </w:r>
    </w:p>
    <w:p>
      <w:pPr>
        <w:pStyle w:val="BodyText"/>
      </w:pPr>
      <w:r>
        <w:rPr>
          <w:b/>
          <w:bCs/>
        </w:rPr>
        <w:t xml:space="preserve">Impact.</w:t>
      </w:r>
      <w:r>
        <w:t xml:space="preserve"> </w:t>
      </w:r>
      <w:r>
        <w:t xml:space="preserve">This provision is highly unusual and, in my view, likely unenforceable as a mechanism for unilateral amendment of a marital agreement, which Illinois law and the parties’ own recitals treat as requiring mutual assent. Even if a court declined to enforce a unilateral modification, the provision creates serious practical risk: a party who fails to object in writing within 90 days (for example, during travel, illness, or simple inattention) could face an argument that a proposed change has taken effect by default. This directly contradicts the client’s Objective 5, which called for modifications</w:t>
      </w:r>
      <w:r>
        <w:t xml:space="preserve"> </w:t>
      </w:r>
      <w:r>
        <w:t xml:space="preserve">“</w:t>
      </w:r>
      <w:r>
        <w:t xml:space="preserve">only by mutual written consent, to prevent one-sided changes.</w:t>
      </w:r>
      <w:r>
        <w:t xml:space="preserve">”</w:t>
      </w:r>
      <w:r>
        <w:t xml:space="preserve"> </w:t>
      </w:r>
      <w:r>
        <w:t xml:space="preserve">The client specifically anticipated this risk.</w:t>
      </w:r>
    </w:p>
    <w:p>
      <w:pPr>
        <w:pStyle w:val="BodyText"/>
      </w:pPr>
      <w:r>
        <w:rPr>
          <w:b/>
          <w:bCs/>
        </w:rPr>
        <w:t xml:space="preserve">Recommendation.</w:t>
      </w:r>
      <w:r>
        <w:t xml:space="preserve"> </w:t>
      </w:r>
      <w:r>
        <w:t xml:space="preserve">Reject §§ 14.1–14.2. Reinstate the Original Draft’s § 14.1 mutual-written-consent requirement verbatim. This is a non-negotiable. The unilateral-notice mechanism should not be the subject of compromise; its mere presence signals an intent to preserve a one-sided escape valve and should be removed.</w:t>
      </w:r>
    </w:p>
    <w:bookmarkEnd w:id="29"/>
    <w:bookmarkStart w:id="30" w:name="X779fa3fb66c9232d111433b02e910cf7e89b598"/>
    <w:p>
      <w:pPr>
        <w:pStyle w:val="Heading3"/>
      </w:pPr>
      <w:r>
        <w:t xml:space="preserve">E. Spousal Maintenance — Favorable to Wife, with Caveats</w:t>
      </w:r>
    </w:p>
    <w:p>
      <w:pPr>
        <w:pStyle w:val="FirstParagraph"/>
      </w:pPr>
      <w:r>
        <w:rPr>
          <w:b/>
          <w:bCs/>
        </w:rPr>
        <w:t xml:space="preserve">Original Draft (Art. 10).</w:t>
      </w:r>
      <w:r>
        <w:t xml:space="preserve"> </w:t>
      </w:r>
      <w:r>
        <w:t xml:space="preserve">The lower-earning spouse (Husband, at ~$305,000 vs. Wife’s ~$487,000) may seek maintenance under 750 ILCS 5/504, subject to a</w:t>
      </w:r>
      <w:r>
        <w:t xml:space="preserve"> </w:t>
      </w:r>
      <w:r>
        <w:rPr>
          <w:b/>
          <w:bCs/>
        </w:rPr>
        <w:t xml:space="preserve">five-year</w:t>
      </w:r>
      <w:r>
        <w:t xml:space="preserve"> </w:t>
      </w:r>
      <w:r>
        <w:t xml:space="preserve">duration cap, calculation on</w:t>
      </w:r>
      <w:r>
        <w:t xml:space="preserve"> </w:t>
      </w:r>
      <w:r>
        <w:rPr>
          <w:b/>
          <w:bCs/>
        </w:rPr>
        <w:t xml:space="preserve">Gross Income</w:t>
      </w:r>
      <w:r>
        <w:t xml:space="preserve"> </w:t>
      </w:r>
      <w:r>
        <w:t xml:space="preserve">(the broad definition including bonuses, equity, investment income, and LLC distributions), and termination on death, remarriage, cohabitation, or expiration of the cap.</w:t>
      </w:r>
    </w:p>
    <w:p>
      <w:pPr>
        <w:pStyle w:val="BodyText"/>
      </w:pPr>
      <w:r>
        <w:rPr>
          <w:b/>
          <w:bCs/>
        </w:rPr>
        <w:t xml:space="preserve">Redline (Art. X).</w:t>
      </w:r>
      <w:r>
        <w:t xml:space="preserve"> </w:t>
      </w:r>
      <w:r>
        <w:t xml:space="preserve">Three changes: (i) the duration cap is reduced from five years to</w:t>
      </w:r>
      <w:r>
        <w:t xml:space="preserve"> </w:t>
      </w:r>
      <w:r>
        <w:rPr>
          <w:b/>
          <w:bCs/>
        </w:rPr>
        <w:t xml:space="preserve">three</w:t>
      </w:r>
      <w:r>
        <w:t xml:space="preserve"> </w:t>
      </w:r>
      <w:r>
        <w:t xml:space="preserve">(§ 10.2; MC-08); (ii) a new</w:t>
      </w:r>
      <w:r>
        <w:t xml:space="preserve"> </w:t>
      </w:r>
      <w:r>
        <w:rPr>
          <w:b/>
          <w:bCs/>
        </w:rPr>
        <w:t xml:space="preserve">automatic, irrevocable waiver</w:t>
      </w:r>
      <w:r>
        <w:t xml:space="preserve"> </w:t>
      </w:r>
      <w:r>
        <w:t xml:space="preserve">provides that the right to maintenance is waived if the recipient spouse’s gross annual income (from all sources, including Earned Income, investment income, and distributions) exceeds</w:t>
      </w:r>
      <w:r>
        <w:t xml:space="preserve"> </w:t>
      </w:r>
      <w:r>
        <w:rPr>
          <w:b/>
          <w:bCs/>
        </w:rPr>
        <w:t xml:space="preserve">$200,000</w:t>
      </w:r>
      <w:r>
        <w:t xml:space="preserve"> </w:t>
      </w:r>
      <w:r>
        <w:t xml:space="preserve">as of the date of the dissolution judgment (§ 10.3; MC-09); and (iii) the maintenance calculation uses</w:t>
      </w:r>
      <w:r>
        <w:t xml:space="preserve"> </w:t>
      </w:r>
      <w:r>
        <w:rPr>
          <w:b/>
          <w:bCs/>
        </w:rPr>
        <w:t xml:space="preserve">Earned Income</w:t>
      </w:r>
      <w:r>
        <w:t xml:space="preserve"> </w:t>
      </w:r>
      <w:r>
        <w:t xml:space="preserve">(the narrow definition excluding discretionary bonuses, commissions, equity, and contingent compensation) rather than Gross Income (§ 10.4). The explicit termination events (remarriage, cohabitation) are not carried forward, though remarriage and cohabitation terminate maintenance by statute.</w:t>
      </w:r>
    </w:p>
    <w:p>
      <w:pPr>
        <w:pStyle w:val="BodyText"/>
      </w:pPr>
      <w:r>
        <w:rPr>
          <w:b/>
          <w:bCs/>
        </w:rPr>
        <w:t xml:space="preserve">Impact.</w:t>
      </w:r>
      <w:r>
        <w:t xml:space="preserve"> </w:t>
      </w:r>
      <w:r>
        <w:t xml:space="preserve">On the present facts, these changes favor Wife, who is the likely payor:</w:t>
      </w:r>
    </w:p>
    <w:p>
      <w:pPr>
        <w:pStyle w:val="Compact"/>
        <w:numPr>
          <w:ilvl w:val="0"/>
          <w:numId w:val="1004"/>
        </w:numPr>
      </w:pPr>
      <w:r>
        <w:rPr>
          <w:b/>
          <w:bCs/>
        </w:rPr>
        <w:t xml:space="preserve">$200,000 waiver.</w:t>
      </w:r>
      <w:r>
        <w:t xml:space="preserve"> </w:t>
      </w:r>
      <w:r>
        <w:t xml:space="preserve">Husband’s current gross income (~$305,000, and higher if his investment income and any distributions are counted) exceeds $200,000, so the waiver would extinguish his maintenance claim entirely. This is a substantial benefit to Wife — it goes further than the five-year cap she requested.</w:t>
      </w:r>
    </w:p>
    <w:p>
      <w:pPr>
        <w:pStyle w:val="Compact"/>
        <w:numPr>
          <w:ilvl w:val="0"/>
          <w:numId w:val="1004"/>
        </w:numPr>
      </w:pPr>
      <w:r>
        <w:rPr>
          <w:b/>
          <w:bCs/>
        </w:rPr>
        <w:t xml:space="preserve">Three-year cap.</w:t>
      </w:r>
      <w:r>
        <w:t xml:space="preserve"> </w:t>
      </w:r>
      <w:r>
        <w:t xml:space="preserve">Shorter than the five years the client proposed; favorable to Wife as payor.</w:t>
      </w:r>
    </w:p>
    <w:p>
      <w:pPr>
        <w:pStyle w:val="Compact"/>
        <w:numPr>
          <w:ilvl w:val="0"/>
          <w:numId w:val="1004"/>
        </w:numPr>
      </w:pPr>
      <w:r>
        <w:rPr>
          <w:b/>
          <w:bCs/>
        </w:rPr>
        <w:t xml:space="preserve">Earned Income base.</w:t>
      </w:r>
      <w:r>
        <w:t xml:space="preserve"> </w:t>
      </w:r>
      <w:r>
        <w:t xml:space="preserve">The effect of calculating on Earned Income rather than Gross Income is more complex. Excluding Husband’s ~$90,000 average bonus lowers his income figure, which, under the 750 ILCS 5/504(b-1) formula, tends to</w:t>
      </w:r>
      <w:r>
        <w:t xml:space="preserve"> </w:t>
      </w:r>
      <w:r>
        <w:rPr>
          <w:i/>
          <w:iCs/>
        </w:rPr>
        <w:t xml:space="preserve">increase</w:t>
      </w:r>
      <w:r>
        <w:t xml:space="preserve"> </w:t>
      </w:r>
      <w:r>
        <w:t xml:space="preserve">the formula amount (because 25% of a smaller recipient income is subtracted); but excluding Wife’s investment income and her ~$145,000 in annual Practice distributions (per the Strand report) lowers her income figure, which tends to</w:t>
      </w:r>
      <w:r>
        <w:t xml:space="preserve"> </w:t>
      </w:r>
      <w:r>
        <w:rPr>
          <w:i/>
          <w:iCs/>
        </w:rPr>
        <w:t xml:space="preserve">decrease</w:t>
      </w:r>
      <w:r>
        <w:t xml:space="preserve"> </w:t>
      </w:r>
      <w:r>
        <w:t xml:space="preserve">the formula amount. The statutory 40%-of-combined-income cap will likely bind in either case. The net dollar effect is sensitive to assumptions and should be modeled before we lock in a position, but the waiver likely renders the calculation academic on the current facts.</w:t>
      </w:r>
    </w:p>
    <w:p>
      <w:pPr>
        <w:pStyle w:val="FirstParagraph"/>
      </w:pPr>
      <w:r>
        <w:t xml:space="preserve">Two caveats warrant attention. First, the waiver is</w:t>
      </w:r>
      <w:r>
        <w:t xml:space="preserve"> </w:t>
      </w:r>
      <w:r>
        <w:rPr>
          <w:b/>
          <w:bCs/>
        </w:rPr>
        <w:t xml:space="preserve">mutual</w:t>
      </w:r>
      <w:r>
        <w:t xml:space="preserve">: if Wife ever became the lower-earning spouse, she too would be barred from maintenance so long as her income exceeds $200,000. Given her earning capacity, this is a low-risk trade-off, but the client should understand she is giving up a future maintenance claim. Second, the</w:t>
      </w:r>
      <w:r>
        <w:t xml:space="preserve"> </w:t>
      </w:r>
      <w:r>
        <w:t xml:space="preserve">“</w:t>
      </w:r>
      <w:r>
        <w:t xml:space="preserve">automatic and irrevocable</w:t>
      </w:r>
      <w:r>
        <w:t xml:space="preserve">”</w:t>
      </w:r>
      <w:r>
        <w:t xml:space="preserve"> </w:t>
      </w:r>
      <w:r>
        <w:t xml:space="preserve">characterization and the income-determination mechanics (most recent tax return</w:t>
      </w:r>
      <w:r>
        <w:t xml:space="preserve"> </w:t>
      </w:r>
      <w:r>
        <w:t xml:space="preserve">“</w:t>
      </w:r>
      <w:r>
        <w:t xml:space="preserve">or, if more recent, current pay records</w:t>
      </w:r>
      <w:r>
        <w:t xml:space="preserve">”</w:t>
      </w:r>
      <w:r>
        <w:t xml:space="preserve">) create ambiguity and a potential enforceability foothold; an income figure can be manipulated downward (e.g., by deferring bonus, taking a lower-paying role, or retiring) to slip below the threshold. The waiver is favorable only so long as Husband’s income remains above $200,000 at dissolution.</w:t>
      </w:r>
    </w:p>
    <w:p>
      <w:pPr>
        <w:pStyle w:val="BodyText"/>
      </w:pPr>
      <w:r>
        <w:rPr>
          <w:b/>
          <w:bCs/>
        </w:rPr>
        <w:t xml:space="preserve">Recommendation.</w:t>
      </w:r>
      <w:r>
        <w:t xml:space="preserve"> </w:t>
      </w:r>
      <w:r>
        <w:t xml:space="preserve">Accept the three-year cap and the $200,000 waiver</w:t>
      </w:r>
      <w:r>
        <w:t xml:space="preserve"> </w:t>
      </w:r>
      <w:r>
        <w:rPr>
          <w:b/>
          <w:bCs/>
        </w:rPr>
        <w:t xml:space="preserve">in principle</w:t>
      </w:r>
      <w:r>
        <w:t xml:space="preserve">, subject to cleanup: (i) replace</w:t>
      </w:r>
      <w:r>
        <w:t xml:space="preserve"> </w:t>
      </w:r>
      <w:r>
        <w:t xml:space="preserve">“</w:t>
      </w:r>
      <w:r>
        <w:t xml:space="preserve">automatic and irrevocable</w:t>
      </w:r>
      <w:r>
        <w:t xml:space="preserve">”</w:t>
      </w:r>
      <w:r>
        <w:t xml:space="preserve"> </w:t>
      </w:r>
      <w:r>
        <w:t xml:space="preserve">with a clearer, court-administered waiver that takes effect on a finding that the recipient’s gross income exceeds the threshold, to improve enforceability; (ii) define the income measure precisely and tie it to a multi-year average (e.g., the two tax years preceding dissolution) to reduce manipulation risk; and (iii)</w:t>
      </w:r>
      <w:r>
        <w:t xml:space="preserve"> </w:t>
      </w:r>
      <w:r>
        <w:rPr>
          <w:b/>
          <w:bCs/>
        </w:rPr>
        <w:t xml:space="preserve">revert the calculation base to Gross Income</w:t>
      </w:r>
      <w:r>
        <w:t xml:space="preserve"> </w:t>
      </w:r>
      <w:r>
        <w:t xml:space="preserve">(the Original Draft’s § 2.1(d) definition) for clarity and to avoid disputes over what counts — the waiver, not the base, is doing the protective work. We should model the Earned-Income vs. Gross-Income calculation before the conference so we can speak to it concretely.</w:t>
      </w:r>
    </w:p>
    <w:bookmarkEnd w:id="30"/>
    <w:bookmarkStart w:id="31" w:name="Xcdd954d53d9c6795c2327306fdb13e8aa9b867d"/>
    <w:p>
      <w:pPr>
        <w:pStyle w:val="Heading3"/>
      </w:pPr>
      <w:r>
        <w:t xml:space="preserve">F. Wife’s Practice Interest — Active/Passive Appreciation — Favorable in Substance, Burdensome in Procedure</w:t>
      </w:r>
    </w:p>
    <w:p>
      <w:pPr>
        <w:pStyle w:val="FirstParagraph"/>
      </w:pPr>
      <w:r>
        <w:rPr>
          <w:b/>
          <w:bCs/>
        </w:rPr>
        <w:t xml:space="preserve">Original Draft (§ 6.1(b)).</w:t>
      </w:r>
      <w:r>
        <w:t xml:space="preserve"> </w:t>
      </w:r>
      <w:r>
        <w:t xml:space="preserve">All appreciation in the Practice Interest above the $1,650,000 baseline is marital and divided 50/50,</w:t>
      </w:r>
      <w:r>
        <w:t xml:space="preserve"> </w:t>
      </w:r>
      <w:r>
        <w:t xml:space="preserve">“</w:t>
      </w:r>
      <w:r>
        <w:t xml:space="preserve">regardless of the source or cause of such appreciation.</w:t>
      </w:r>
      <w:r>
        <w:t xml:space="preserve">”</w:t>
      </w:r>
    </w:p>
    <w:p>
      <w:pPr>
        <w:pStyle w:val="BodyText"/>
      </w:pPr>
      <w:r>
        <w:rPr>
          <w:b/>
          <w:bCs/>
        </w:rPr>
        <w:t xml:space="preserve">Redline (§ 6.1).</w:t>
      </w:r>
      <w:r>
        <w:t xml:space="preserve"> </w:t>
      </w:r>
      <w:r>
        <w:t xml:space="preserve">Only appreciation</w:t>
      </w:r>
      <w:r>
        <w:t xml:space="preserve"> </w:t>
      </w:r>
      <w:r>
        <w:t xml:space="preserve">“</w:t>
      </w:r>
      <w:r>
        <w:t xml:space="preserve">directly attributable to the active personal efforts of Wife</w:t>
      </w:r>
      <w:r>
        <w:t xml:space="preserve">”</w:t>
      </w:r>
      <w:r>
        <w:t xml:space="preserve"> </w:t>
      </w:r>
      <w:r>
        <w:t xml:space="preserve">is marital; appreciation from</w:t>
      </w:r>
      <w:r>
        <w:t xml:space="preserve"> </w:t>
      </w:r>
      <w:r>
        <w:t xml:space="preserve">“</w:t>
      </w:r>
      <w:r>
        <w:t xml:space="preserve">market forces, changes in insurance reimbursement rates, regulatory changes, passive investment returns, or other factors not directly resulting from Wife’s active personal efforts</w:t>
      </w:r>
      <w:r>
        <w:t xml:space="preserve">”</w:t>
      </w:r>
      <w:r>
        <w:t xml:space="preserve"> </w:t>
      </w:r>
      <w:r>
        <w:t xml:space="preserve">remains Wife’s separate property. The determination is to be made by</w:t>
      </w:r>
      <w:r>
        <w:t xml:space="preserve"> </w:t>
      </w:r>
      <w:r>
        <w:t xml:space="preserve">“</w:t>
      </w:r>
      <w:r>
        <w:t xml:space="preserve">a qualified forensic valuation expert mutually agreed upon by the Parties (or, absent agreement, appointed by the court)</w:t>
      </w:r>
      <w:r>
        <w:t xml:space="preserve">”</w:t>
      </w:r>
      <w:r>
        <w:t xml:space="preserve"> </w:t>
      </w:r>
      <w:r>
        <w:t xml:space="preserve">(MC-06).</w:t>
      </w:r>
    </w:p>
    <w:p>
      <w:pPr>
        <w:pStyle w:val="BodyText"/>
      </w:pPr>
      <w:r>
        <w:rPr>
          <w:b/>
          <w:bCs/>
        </w:rPr>
        <w:t xml:space="preserve">Impact.</w:t>
      </w:r>
      <w:r>
        <w:t xml:space="preserve"> </w:t>
      </w:r>
      <w:r>
        <w:t xml:space="preserve">Substantively, this favors Wife. The Strand report (Section 9) attributes approximately</w:t>
      </w:r>
      <w:r>
        <w:t xml:space="preserve"> </w:t>
      </w:r>
      <w:r>
        <w:rPr>
          <w:b/>
          <w:bCs/>
        </w:rPr>
        <w:t xml:space="preserve">60% of the Practice’s revenue growth</w:t>
      </w:r>
      <w:r>
        <w:t xml:space="preserve"> </w:t>
      </w:r>
      <w:r>
        <w:t xml:space="preserve">to passive, market-driven factors (insurance reimbursement rate increases ~35%; demographic expansion ~25%) and only ~40% to active factors. Under the Original Draft’s</w:t>
      </w:r>
      <w:r>
        <w:t xml:space="preserve"> </w:t>
      </w:r>
      <w:r>
        <w:t xml:space="preserve">“</w:t>
      </w:r>
      <w:r>
        <w:t xml:space="preserve">all appreciation is marital</w:t>
      </w:r>
      <w:r>
        <w:t xml:space="preserve">”</w:t>
      </w:r>
      <w:r>
        <w:t xml:space="preserve"> </w:t>
      </w:r>
      <w:r>
        <w:t xml:space="preserve">rule, Wife would share 50% of all appreciation with Husband; under the Redline’s active/passive rule, a substantial majority of appreciation would remain her separate property. This is a meaningful economic gain for Wife.</w:t>
      </w:r>
    </w:p>
    <w:p>
      <w:pPr>
        <w:pStyle w:val="BodyText"/>
      </w:pPr>
      <w:r>
        <w:t xml:space="preserve">The procedural cost, however, is real and is the precise concern the client raised in Objective 4: she</w:t>
      </w:r>
      <w:r>
        <w:t xml:space="preserve"> </w:t>
      </w:r>
      <w:r>
        <w:t xml:space="preserve">“</w:t>
      </w:r>
      <w:r>
        <w:t xml:space="preserve">does not want the agreement to impose burdensome valuation methodologies that could make it expensive or contentious to determine the marital component.</w:t>
      </w:r>
      <w:r>
        <w:t xml:space="preserve">”</w:t>
      </w:r>
      <w:r>
        <w:t xml:space="preserve"> </w:t>
      </w:r>
      <w:r>
        <w:t xml:space="preserve">The Redline requires a</w:t>
      </w:r>
      <w:r>
        <w:t xml:space="preserve"> </w:t>
      </w:r>
      <w:r>
        <w:t xml:space="preserve">“</w:t>
      </w:r>
      <w:r>
        <w:t xml:space="preserve">qualified forensic valuation expert</w:t>
      </w:r>
      <w:r>
        <w:t xml:space="preserve">”</w:t>
      </w:r>
      <w:r>
        <w:t xml:space="preserve"> </w:t>
      </w:r>
      <w:r>
        <w:t xml:space="preserve">to perform an active/passive allocation at dissolution — a second, contested valuation on top of the baseline valuation — which is exactly the expense and contention the client wished to avoid.</w:t>
      </w:r>
    </w:p>
    <w:p>
      <w:pPr>
        <w:pStyle w:val="BodyText"/>
      </w:pPr>
      <w:r>
        <w:rPr>
          <w:b/>
          <w:bCs/>
        </w:rPr>
        <w:t xml:space="preserve">Recommendation.</w:t>
      </w:r>
      <w:r>
        <w:t xml:space="preserve"> </w:t>
      </w:r>
      <w:r>
        <w:t xml:space="preserve">Accept the active/passive distinction</w:t>
      </w:r>
      <w:r>
        <w:t xml:space="preserve"> </w:t>
      </w:r>
      <w:r>
        <w:rPr>
          <w:b/>
          <w:bCs/>
        </w:rPr>
        <w:t xml:space="preserve">in principle</w:t>
      </w:r>
      <w:r>
        <w:t xml:space="preserve"> </w:t>
      </w:r>
      <w:r>
        <w:t xml:space="preserve">(it is well-supported by Illinois case law and by the Strand report), but streamline the mechanism to address the client’s burden concern: (i) incorporate by reference the Strand report’s 60/40 attribution framework as the default methodology, so the parties start from a documented baseline rather than a blank slate; (ii) require the dissolution-stage valuation to use the same methodology as the Strand report (as the Redline’s § 6.2 already suggests) and cap the cost or pre-allocate it; and (iii) consider a fixed split (e.g., 40% of post-Effective Date appreciation is marital, 60% is separate) as a bright-line alternative that eliminates the need for a second expert entirely. The bright-line approach best serves the client’s Objective 4.</w:t>
      </w:r>
    </w:p>
    <w:bookmarkEnd w:id="31"/>
    <w:bookmarkStart w:id="32" w:name="X3ad0229c5e4eaf2251ed47b521070fece5fdba7"/>
    <w:p>
      <w:pPr>
        <w:pStyle w:val="Heading3"/>
      </w:pPr>
      <w:r>
        <w:t xml:space="preserve">G. Husband’s RSUs — Coverture Fraction — Subtle Adverse Change</w:t>
      </w:r>
    </w:p>
    <w:p>
      <w:pPr>
        <w:pStyle w:val="FirstParagraph"/>
      </w:pPr>
      <w:r>
        <w:rPr>
          <w:b/>
          <w:bCs/>
        </w:rPr>
        <w:t xml:space="preserve">Original Draft (§§ 7.1–7.2).</w:t>
      </w:r>
      <w:r>
        <w:t xml:space="preserve"> </w:t>
      </w:r>
      <w:r>
        <w:t xml:space="preserve">The 12,000 RSUs (granted January 1, 2024; vesting 4,000 shares each on January 1, 2025, 2026, and 2027) are</w:t>
      </w:r>
      <w:r>
        <w:t xml:space="preserve"> </w:t>
      </w:r>
      <w:r>
        <w:t xml:space="preserve">“</w:t>
      </w:r>
      <w:r>
        <w:t xml:space="preserve">entirely marital in character</w:t>
      </w:r>
      <w:r>
        <w:t xml:space="preserve">”</w:t>
      </w:r>
      <w:r>
        <w:t xml:space="preserve"> </w:t>
      </w:r>
      <w:r>
        <w:t xml:space="preserve">because the grant date and the entire vesting period fall within the marriage. Upon vesting, each tranche is divided 50/50; upon dissolution prior to full vesting, the unvested RSUs are likewise divided 50/50. Tax liabilities are allocated pro rata, with Wife reimbursing Husband for her share within 30 days of vesting.</w:t>
      </w:r>
    </w:p>
    <w:p>
      <w:pPr>
        <w:pStyle w:val="BodyText"/>
      </w:pPr>
      <w:r>
        <w:rPr>
          <w:b/>
          <w:bCs/>
        </w:rPr>
        <w:t xml:space="preserve">Redline (§ 7.1).</w:t>
      </w:r>
      <w:r>
        <w:t xml:space="preserve"> </w:t>
      </w:r>
      <w:r>
        <w:t xml:space="preserve">Wife’s share of each tranche is determined by a</w:t>
      </w:r>
      <w:r>
        <w:t xml:space="preserve"> </w:t>
      </w:r>
      <w:r>
        <w:rPr>
          <w:b/>
          <w:bCs/>
        </w:rPr>
        <w:t xml:space="preserve">coverture fraction</w:t>
      </w:r>
      <w:r>
        <w:t xml:space="preserve">: the numerator is the months of marriage from the commencement of the</w:t>
      </w:r>
      <w:r>
        <w:t xml:space="preserve"> </w:t>
      </w:r>
      <w:r>
        <w:t xml:space="preserve">“</w:t>
      </w:r>
      <w:r>
        <w:t xml:space="preserve">Relevant Service Period</w:t>
      </w:r>
      <w:r>
        <w:t xml:space="preserve">”</w:t>
      </w:r>
      <w:r>
        <w:t xml:space="preserve"> </w:t>
      </w:r>
      <w:r>
        <w:t xml:space="preserve">through the date of dissolution (or vesting, whichever is earlier); the denominator is the total months in the Relevant Service Period. Wife receives 50% of the resulting fraction. The</w:t>
      </w:r>
      <w:r>
        <w:t xml:space="preserve"> </w:t>
      </w:r>
      <w:r>
        <w:t xml:space="preserve">“</w:t>
      </w:r>
      <w:r>
        <w:t xml:space="preserve">Relevant Service Period</w:t>
      </w:r>
      <w:r>
        <w:t xml:space="preserve">”</w:t>
      </w:r>
      <w:r>
        <w:t xml:space="preserve"> </w:t>
      </w:r>
      <w:r>
        <w:t xml:space="preserve">is defined as beginning on Husband’s</w:t>
      </w:r>
      <w:r>
        <w:t xml:space="preserve"> </w:t>
      </w:r>
      <w:r>
        <w:rPr>
          <w:b/>
          <w:bCs/>
        </w:rPr>
        <w:t xml:space="preserve">date of hire</w:t>
      </w:r>
      <w:r>
        <w:t xml:space="preserve"> </w:t>
      </w:r>
      <w:r>
        <w:t xml:space="preserve">(March 15, 2018) through the final vesting date of the applicable tranche (MC-07). The tax treatment is revised so that each party bears its own tax consequences and Wife’s share is calculated on the</w:t>
      </w:r>
      <w:r>
        <w:t xml:space="preserve"> </w:t>
      </w:r>
      <w:r>
        <w:rPr>
          <w:b/>
          <w:bCs/>
        </w:rPr>
        <w:t xml:space="preserve">net after-tax</w:t>
      </w:r>
      <w:r>
        <w:t xml:space="preserve"> </w:t>
      </w:r>
      <w:r>
        <w:t xml:space="preserve">value (§ 7.2).</w:t>
      </w:r>
    </w:p>
    <w:p>
      <w:pPr>
        <w:pStyle w:val="BodyText"/>
      </w:pPr>
      <w:r>
        <w:rPr>
          <w:b/>
          <w:bCs/>
        </w:rPr>
        <w:t xml:space="preserve">Impact.</w:t>
      </w:r>
      <w:r>
        <w:t xml:space="preserve"> </w:t>
      </w:r>
      <w:r>
        <w:t xml:space="preserve">Because the marriage (June 14, 2013) predates Husband’s hire date (March 15, 2018), the coverture fraction equals 100% for any tranche that has</w:t>
      </w:r>
      <w:r>
        <w:t xml:space="preserve"> </w:t>
      </w:r>
      <w:r>
        <w:rPr>
          <w:b/>
          <w:bCs/>
        </w:rPr>
        <w:t xml:space="preserve">fully vested</w:t>
      </w:r>
      <w:r>
        <w:t xml:space="preserve"> </w:t>
      </w:r>
      <w:r>
        <w:t xml:space="preserve">by the time of dissolution — so for vested tranches, the result is identical to the Original Draft’s 50/50. The fraction is</w:t>
      </w:r>
      <w:r>
        <w:t xml:space="preserve"> </w:t>
      </w:r>
      <w:r>
        <w:rPr>
          <w:b/>
          <w:bCs/>
        </w:rPr>
        <w:t xml:space="preserve">less than 100%</w:t>
      </w:r>
      <w:r>
        <w:t xml:space="preserve">, however, for any tranche that is</w:t>
      </w:r>
      <w:r>
        <w:t xml:space="preserve"> </w:t>
      </w:r>
      <w:r>
        <w:rPr>
          <w:b/>
          <w:bCs/>
        </w:rPr>
        <w:t xml:space="preserve">unvested at dissolution</w:t>
      </w:r>
      <w:r>
        <w:t xml:space="preserve">: the numerator stops at dissolution while the denominator runs to the vesting date, so Wife receives less than 50% of an unvested tranche. The earlier the dissolution, the larger the reduction. Defining the Relevant Service Period from the hire date (rather than the grant date) mitigates the reduction — using the hire date yields a larger fraction than using the grant date would — but it does not eliminate it, and it is an unusual choice that invites dispute.</w:t>
      </w:r>
    </w:p>
    <w:p>
      <w:pPr>
        <w:pStyle w:val="BodyText"/>
      </w:pPr>
      <w:r>
        <w:t xml:space="preserve">The tax change (net after-tax, each bears own) is favorable to Wife relative to the Original Draft’s 30-day reimbursement obligation.</w:t>
      </w:r>
    </w:p>
    <w:p>
      <w:pPr>
        <w:pStyle w:val="BodyText"/>
      </w:pPr>
      <w:r>
        <w:rPr>
          <w:b/>
          <w:bCs/>
        </w:rPr>
        <w:t xml:space="preserve">Recommendation.</w:t>
      </w:r>
      <w:r>
        <w:t xml:space="preserve"> </w:t>
      </w:r>
      <w:r>
        <w:t xml:space="preserve">Counter. Because the grant date and the entire vesting period fall within the marriage, the Original Draft’s 100%-marital / 50-50 treatment is well-supported and simpler. Recommend reverting to the Original Draft’s § 7.1–7.2 classification and 50/50 division. If Husband insists on a coverture fraction, define the Relevant Service Period as the</w:t>
      </w:r>
      <w:r>
        <w:t xml:space="preserve"> </w:t>
      </w:r>
      <w:r>
        <w:rPr>
          <w:b/>
          <w:bCs/>
        </w:rPr>
        <w:t xml:space="preserve">grant-to-vesting</w:t>
      </w:r>
      <w:r>
        <w:t xml:space="preserve"> </w:t>
      </w:r>
      <w:r>
        <w:t xml:space="preserve">period for each tranche (the standard approach), which on these facts still yields 100% for vested tranches and is more defensible than the hire-date anchor. Accept the Redline’s net-after-tax treatment, which is favorable to Wife.</w:t>
      </w:r>
    </w:p>
    <w:bookmarkEnd w:id="32"/>
    <w:bookmarkStart w:id="33" w:name="h.-marital-residence-buyout-terms-mixed"/>
    <w:p>
      <w:pPr>
        <w:pStyle w:val="Heading3"/>
      </w:pPr>
      <w:r>
        <w:t xml:space="preserve">H. Marital Residence — Buyout Terms — Mixed</w:t>
      </w:r>
    </w:p>
    <w:p>
      <w:pPr>
        <w:pStyle w:val="FirstParagraph"/>
      </w:pPr>
      <w:r>
        <w:rPr>
          <w:b/>
          <w:bCs/>
        </w:rPr>
        <w:t xml:space="preserve">Original Draft (§ 9.2).</w:t>
      </w:r>
      <w:r>
        <w:t xml:space="preserve"> </w:t>
      </w:r>
      <w:r>
        <w:t xml:space="preserve">Wife has a right of first refusal to purchase Husband’s equity at then-appraised fair market value (less mortgage and adjustments). If the parties cannot agree on an appraiser within 15 days, each selects one appraiser and the two select a third, whose valuation is binding. Wife has 60 days from the dissolution judgment to exercise; payment is made within</w:t>
      </w:r>
      <w:r>
        <w:t xml:space="preserve"> </w:t>
      </w:r>
      <w:r>
        <w:rPr>
          <w:b/>
          <w:bCs/>
        </w:rPr>
        <w:t xml:space="preserve">24 months</w:t>
      </w:r>
      <w:r>
        <w:t xml:space="preserve"> </w:t>
      </w:r>
      <w:r>
        <w:t xml:space="preserve">by lump sum, refinance, or structured installments at the applicable federal rate (AFR).</w:t>
      </w:r>
    </w:p>
    <w:p>
      <w:pPr>
        <w:pStyle w:val="BodyText"/>
      </w:pPr>
      <w:r>
        <w:rPr>
          <w:b/>
          <w:bCs/>
        </w:rPr>
        <w:t xml:space="preserve">Redline (§ 9.2).</w:t>
      </w:r>
      <w:r>
        <w:t xml:space="preserve"> </w:t>
      </w:r>
      <w:r>
        <w:t xml:space="preserve">Wife has a</w:t>
      </w:r>
      <w:r>
        <w:t xml:space="preserve"> </w:t>
      </w:r>
      <w:r>
        <w:t xml:space="preserve">“</w:t>
      </w:r>
      <w:r>
        <w:t xml:space="preserve">first right of purchase</w:t>
      </w:r>
      <w:r>
        <w:t xml:space="preserve">”</w:t>
      </w:r>
      <w:r>
        <w:t xml:space="preserve"> </w:t>
      </w:r>
      <w:r>
        <w:t xml:space="preserve">at fair market value per a single independent appraisal obtained within 60 days of the commencement of dissolution proceedings (joint expense). Wife must notify Husband within 30 days of receiving the appraisal; the buyout is payable over</w:t>
      </w:r>
      <w:r>
        <w:t xml:space="preserve"> </w:t>
      </w:r>
      <w:r>
        <w:rPr>
          <w:b/>
          <w:bCs/>
        </w:rPr>
        <w:t xml:space="preserve">18 months</w:t>
      </w:r>
      <w:r>
        <w:t xml:space="preserve">,</w:t>
      </w:r>
      <w:r>
        <w:t xml:space="preserve"> </w:t>
      </w:r>
      <w:r>
        <w:rPr>
          <w:b/>
          <w:bCs/>
        </w:rPr>
        <w:t xml:space="preserve">secured by a lien</w:t>
      </w:r>
      <w:r>
        <w:t xml:space="preserve"> </w:t>
      </w:r>
      <w:r>
        <w:t xml:space="preserve">on the property, with interest at AFR compounded monthly. If Wife does not exercise,</w:t>
      </w:r>
      <w:r>
        <w:t xml:space="preserve"> </w:t>
      </w:r>
      <w:r>
        <w:rPr>
          <w:b/>
          <w:bCs/>
        </w:rPr>
        <w:t xml:space="preserve">Husband has the same right of purchase on the same terms</w:t>
      </w:r>
      <w:r>
        <w:t xml:space="preserve">. If neither purchases, the property is listed within 60 days and net proceeds divided 50/50.</w:t>
      </w:r>
    </w:p>
    <w:p>
      <w:pPr>
        <w:pStyle w:val="BodyText"/>
      </w:pPr>
      <w:r>
        <w:rPr>
          <w:b/>
          <w:bCs/>
        </w:rPr>
        <w:t xml:space="preserve">Impact.</w:t>
      </w:r>
      <w:r>
        <w:t xml:space="preserve"> </w:t>
      </w:r>
      <w:r>
        <w:t xml:space="preserve">Mixed. Favorable to Wife: the appraisal is obtained at the outset of dissolution proceedings (rather than after judgment), giving her earlier certainty, and the joint expense allocation is reasonable. Adverse to Wife: (i) the buyout period is shortened from 24 to 18 months, increasing refinancing pressure; (ii) the lien security benefits Husband; (iii) the three-appraiser binding process is replaced by a single appraisal, which is faster but offers less protection against an outlier valuation; and (iv) Husband is given a</w:t>
      </w:r>
      <w:r>
        <w:t xml:space="preserve"> </w:t>
      </w:r>
      <w:r>
        <w:rPr>
          <w:b/>
          <w:bCs/>
        </w:rPr>
        <w:t xml:space="preserve">matching right of purchase</w:t>
      </w:r>
      <w:r>
        <w:t xml:space="preserve">, which the Original Draft did not provide and which could result in Wife being bought out of the home she wishes to retain for the children’s stability (Objective 3).</w:t>
      </w:r>
    </w:p>
    <w:p>
      <w:pPr>
        <w:pStyle w:val="BodyText"/>
      </w:pPr>
      <w:r>
        <w:rPr>
          <w:b/>
          <w:bCs/>
        </w:rPr>
        <w:t xml:space="preserve">Recommendation.</w:t>
      </w:r>
      <w:r>
        <w:t xml:space="preserve"> </w:t>
      </w:r>
      <w:r>
        <w:t xml:space="preserve">Counter on four points: (i) restore the 24-month payment period (or at minimum 24 months for a refinance and 18 for a cash buyout); (ii) restore the three-appraiser binding process as the fallback if the parties cannot agree on a single appraiser; (iii) condition Husband’s matching right on Wife’s written declination after she has had the full exercise period — Husband’s right should arise only upon Wife’s affirmative non-election, not concurrently; and (iv) accept the lien and AFR-interest terms, which are reasonable security for an installment buyout. The client’s preference to remain in the home for the children’s school-district continuity should be the animating concern.</w:t>
      </w:r>
    </w:p>
    <w:bookmarkEnd w:id="33"/>
    <w:bookmarkStart w:id="34" w:name="X436f8f77e6667f251d3dec749d259786d354f75"/>
    <w:p>
      <w:pPr>
        <w:pStyle w:val="Heading3"/>
      </w:pPr>
      <w:r>
        <w:t xml:space="preserve">I. Debt Allocation — De Minimis Carve-Out — Adverse</w:t>
      </w:r>
    </w:p>
    <w:p>
      <w:pPr>
        <w:pStyle w:val="FirstParagraph"/>
      </w:pPr>
      <w:r>
        <w:rPr>
          <w:b/>
          <w:bCs/>
        </w:rPr>
        <w:t xml:space="preserve">Original Draft (§ 11.1).</w:t>
      </w:r>
      <w:r>
        <w:t xml:space="preserve"> </w:t>
      </w:r>
      <w:r>
        <w:t xml:space="preserve">Husband assumes sole responsibility for the $68,000 Identified Debt and indemnifies Wife</w:t>
      </w:r>
      <w:r>
        <w:t xml:space="preserve"> </w:t>
      </w:r>
      <w:r>
        <w:t xml:space="preserve">“</w:t>
      </w:r>
      <w:r>
        <w:t xml:space="preserve">without limitation as to the amount or nature of individual claims.</w:t>
      </w:r>
      <w:r>
        <w:t xml:space="preserve">”</w:t>
      </w:r>
      <w:r>
        <w:t xml:space="preserve"> </w:t>
      </w:r>
      <w:r>
        <w:t xml:space="preserve">Wife has no obligation to contribute, and any payment by Wife is subject to reimbursement.</w:t>
      </w:r>
    </w:p>
    <w:p>
      <w:pPr>
        <w:pStyle w:val="BodyText"/>
      </w:pPr>
      <w:r>
        <w:rPr>
          <w:b/>
          <w:bCs/>
        </w:rPr>
        <w:t xml:space="preserve">Redline (§ 11.2).</w:t>
      </w:r>
      <w:r>
        <w:t xml:space="preserve"> </w:t>
      </w:r>
      <w:r>
        <w:t xml:space="preserve">Husband assumes sole responsibility and indemnifies Wife,</w:t>
      </w:r>
      <w:r>
        <w:t xml:space="preserve"> </w:t>
      </w:r>
      <w:r>
        <w:rPr>
          <w:b/>
          <w:bCs/>
        </w:rPr>
        <w:t xml:space="preserve">but</w:t>
      </w:r>
      <w:r>
        <w:t xml:space="preserve"> </w:t>
      </w:r>
      <w:r>
        <w:t xml:space="preserve">the indemnity applies only to claims that are</w:t>
      </w:r>
      <w:r>
        <w:t xml:space="preserve"> </w:t>
      </w:r>
      <w:r>
        <w:t xml:space="preserve">“</w:t>
      </w:r>
      <w:r>
        <w:t xml:space="preserve">material and exceed Five Thousand Dollars ($5,000) individually</w:t>
      </w:r>
      <w:r>
        <w:t xml:space="preserve">”</w:t>
      </w:r>
      <w:r>
        <w:t xml:space="preserve">; claims under $5,000 are excluded (MC-10). Husband must satisfy the debt within 24 months and provide quarterly statements; if he fails, Wife may satisfy the balance and seek reimbursement.</w:t>
      </w:r>
    </w:p>
    <w:p>
      <w:pPr>
        <w:pStyle w:val="BodyText"/>
      </w:pPr>
      <w:r>
        <w:rPr>
          <w:b/>
          <w:bCs/>
        </w:rPr>
        <w:t xml:space="preserve">Impact.</w:t>
      </w:r>
      <w:r>
        <w:t xml:space="preserve"> </w:t>
      </w:r>
      <w:r>
        <w:t xml:space="preserve">The 24-month satisfaction deadline and quarterly-statement requirement are favorable to Wife (transparency and a fixed payoff horizon). The</w:t>
      </w:r>
      <w:r>
        <w:t xml:space="preserve"> </w:t>
      </w:r>
      <w:r>
        <w:rPr>
          <w:b/>
          <w:bCs/>
        </w:rPr>
        <w:t xml:space="preserve">$5,000 de minimis carve-out is adverse</w:t>
      </w:r>
      <w:r>
        <w:t xml:space="preserve"> </w:t>
      </w:r>
      <w:r>
        <w:t xml:space="preserve">and directly contradicts the client’s instruction that the indemnity contain</w:t>
      </w:r>
      <w:r>
        <w:t xml:space="preserve"> </w:t>
      </w:r>
      <w:r>
        <w:t xml:space="preserve">“</w:t>
      </w:r>
      <w:r>
        <w:t xml:space="preserve">no loopholes or materiality thresholds.</w:t>
      </w:r>
      <w:r>
        <w:t xml:space="preserve">”</w:t>
      </w:r>
      <w:r>
        <w:t xml:space="preserve"> </w:t>
      </w:r>
      <w:r>
        <w:t xml:space="preserve">The Identified Debt consists of</w:t>
      </w:r>
      <w:r>
        <w:t xml:space="preserve"> </w:t>
      </w:r>
      <w:r>
        <w:t xml:space="preserve">“</w:t>
      </w:r>
      <w:r>
        <w:t xml:space="preserve">balances on multiple revolving credit accounts</w:t>
      </w:r>
      <w:r>
        <w:t xml:space="preserve">”</w:t>
      </w:r>
      <w:r>
        <w:t xml:space="preserve"> </w:t>
      </w:r>
      <w:r>
        <w:t xml:space="preserve">— i.e., it is fragmented across several cards. A $5,000-per-claim threshold could be used to argue that individual card balances below $5,000 fall outside the indemnity, leaving Wife exposed to collection activity on those balances.</w:t>
      </w:r>
    </w:p>
    <w:p>
      <w:pPr>
        <w:pStyle w:val="BodyText"/>
      </w:pPr>
      <w:r>
        <w:rPr>
          <w:b/>
          <w:bCs/>
        </w:rPr>
        <w:t xml:space="preserve">Recommendation.</w:t>
      </w:r>
      <w:r>
        <w:t xml:space="preserve"> </w:t>
      </w:r>
      <w:r>
        <w:t xml:space="preserve">Reject the $5,000 de minimis threshold. Reinstate the Original Draft’s</w:t>
      </w:r>
      <w:r>
        <w:t xml:space="preserve"> </w:t>
      </w:r>
      <w:r>
        <w:t xml:space="preserve">“</w:t>
      </w:r>
      <w:r>
        <w:t xml:space="preserve">without limitation as to the amount or nature of individual claims</w:t>
      </w:r>
      <w:r>
        <w:t xml:space="preserve">”</w:t>
      </w:r>
      <w:r>
        <w:t xml:space="preserve"> </w:t>
      </w:r>
      <w:r>
        <w:t xml:space="preserve">language. Accept the 24-month payoff deadline and the quarterly-statement requirement, which are beneficial. The indemnity should run to the aggregate Identified Debt and to any related interest, fees, penalties, and collection costs, without a per-claim floor.</w:t>
      </w:r>
    </w:p>
    <w:bookmarkEnd w:id="34"/>
    <w:bookmarkStart w:id="35" w:name="j.-attorneys-fees-mutual-waiver-adverse"/>
    <w:p>
      <w:pPr>
        <w:pStyle w:val="Heading3"/>
      </w:pPr>
      <w:r>
        <w:t xml:space="preserve">J. Attorney’s Fees — Mutual Waiver — Adverse</w:t>
      </w:r>
    </w:p>
    <w:p>
      <w:pPr>
        <w:pStyle w:val="FirstParagraph"/>
      </w:pPr>
      <w:r>
        <w:rPr>
          <w:b/>
          <w:bCs/>
        </w:rPr>
        <w:t xml:space="preserve">Original Draft (§ 13.2).</w:t>
      </w:r>
      <w:r>
        <w:t xml:space="preserve"> </w:t>
      </w:r>
      <w:r>
        <w:t xml:space="preserve">Prevailing party recovers reasonable attorney’s fees, costs, expert fees, and litigation expenses from the non-prevailing party, with the court determining the prevailing party and reasonableness.</w:t>
      </w:r>
    </w:p>
    <w:p>
      <w:pPr>
        <w:pStyle w:val="BodyText"/>
      </w:pPr>
      <w:r>
        <w:rPr>
          <w:b/>
          <w:bCs/>
        </w:rPr>
        <w:t xml:space="preserve">Redline (§ 13.2).</w:t>
      </w:r>
      <w:r>
        <w:t xml:space="preserve"> </w:t>
      </w:r>
      <w:r>
        <w:t xml:space="preserve">Each party bears its own fees and costs</w:t>
      </w:r>
      <w:r>
        <w:t xml:space="preserve"> </w:t>
      </w:r>
      <w:r>
        <w:t xml:space="preserve">“</w:t>
      </w:r>
      <w:r>
        <w:t xml:space="preserve">regardless of outcome</w:t>
      </w:r>
      <w:r>
        <w:t xml:space="preserve">”</w:t>
      </w:r>
      <w:r>
        <w:t xml:space="preserve">; neither party may seek a fee award (MC-11).</w:t>
      </w:r>
    </w:p>
    <w:p>
      <w:pPr>
        <w:pStyle w:val="BodyText"/>
      </w:pPr>
      <w:r>
        <w:rPr>
          <w:b/>
          <w:bCs/>
        </w:rPr>
        <w:t xml:space="preserve">Impact.</w:t>
      </w:r>
      <w:r>
        <w:t xml:space="preserve"> </w:t>
      </w:r>
      <w:r>
        <w:t xml:space="preserve">Adverse to Wife. The client specifically requested a prevailing-party provision (Objective 5) to deter frivolous challenges. Given Husband’s documented history of financial non-disclosure, fee-shifting is a meaningful deterrent against bad-faith challenges and a tool for Wife if she must enforce the Agreement. A mutual waiver removes both. The</w:t>
      </w:r>
      <w:r>
        <w:t xml:space="preserve"> </w:t>
      </w:r>
      <w:r>
        <w:t xml:space="preserve">“</w:t>
      </w:r>
      <w:r>
        <w:t xml:space="preserve">promotes amicable resolution</w:t>
      </w:r>
      <w:r>
        <w:t xml:space="preserve">”</w:t>
      </w:r>
      <w:r>
        <w:t xml:space="preserve"> </w:t>
      </w:r>
      <w:r>
        <w:t xml:space="preserve">framing in MC-11 is a policy preference, not a protection.</w:t>
      </w:r>
    </w:p>
    <w:p>
      <w:pPr>
        <w:pStyle w:val="BodyText"/>
      </w:pPr>
      <w:r>
        <w:rPr>
          <w:b/>
          <w:bCs/>
        </w:rPr>
        <w:t xml:space="preserve">Recommendation.</w:t>
      </w:r>
      <w:r>
        <w:t xml:space="preserve"> </w:t>
      </w:r>
      <w:r>
        <w:t xml:space="preserve">Counter. Reinstate the prevailing-party provision. If a compromise is needed, propose fee-shifting keyed to</w:t>
      </w:r>
      <w:r>
        <w:t xml:space="preserve"> </w:t>
      </w:r>
      <w:r>
        <w:rPr>
          <w:b/>
          <w:bCs/>
        </w:rPr>
        <w:t xml:space="preserve">willful breach or bad-faith challenge</w:t>
      </w:r>
      <w:r>
        <w:t xml:space="preserve"> </w:t>
      </w:r>
      <w:r>
        <w:t xml:space="preserve">(so that a party who breaches in bad faith or who brings a frivolous challenge pays), which preserves the deterrent function while addressing the</w:t>
      </w:r>
      <w:r>
        <w:t xml:space="preserve"> </w:t>
      </w:r>
      <w:r>
        <w:t xml:space="preserve">“</w:t>
      </w:r>
      <w:r>
        <w:t xml:space="preserve">discourages litigation</w:t>
      </w:r>
      <w:r>
        <w:t xml:space="preserve">”</w:t>
      </w:r>
      <w:r>
        <w:t xml:space="preserve"> </w:t>
      </w:r>
      <w:r>
        <w:t xml:space="preserve">concern.</w:t>
      </w:r>
    </w:p>
    <w:bookmarkEnd w:id="35"/>
    <w:bookmarkStart w:id="36" w:name="k.-venue-dupage-county-adverse"/>
    <w:p>
      <w:pPr>
        <w:pStyle w:val="Heading3"/>
      </w:pPr>
      <w:r>
        <w:t xml:space="preserve">K. Venue — DuPage County — Adverse</w:t>
      </w:r>
    </w:p>
    <w:p>
      <w:pPr>
        <w:pStyle w:val="FirstParagraph"/>
      </w:pPr>
      <w:r>
        <w:rPr>
          <w:b/>
          <w:bCs/>
        </w:rPr>
        <w:t xml:space="preserve">Original Draft (§ 15.2).</w:t>
      </w:r>
      <w:r>
        <w:t xml:space="preserve"> </w:t>
      </w:r>
      <w:r>
        <w:t xml:space="preserve">Exclusive venue in the Circuit Court of Cook County, Illinois.</w:t>
      </w:r>
    </w:p>
    <w:p>
      <w:pPr>
        <w:pStyle w:val="BodyText"/>
      </w:pPr>
      <w:r>
        <w:rPr>
          <w:b/>
          <w:bCs/>
        </w:rPr>
        <w:t xml:space="preserve">Redline (§ 15.2).</w:t>
      </w:r>
      <w:r>
        <w:t xml:space="preserve"> </w:t>
      </w:r>
      <w:r>
        <w:t xml:space="preserve">Exclusive venue in the Circuit Court of DuPage County (MC-12:</w:t>
      </w:r>
      <w:r>
        <w:t xml:space="preserve"> </w:t>
      </w:r>
      <w:r>
        <w:t xml:space="preserve">“</w:t>
      </w:r>
      <w:r>
        <w:t xml:space="preserve">DuPage preferred for scheduling efficiency. Husband’s place of employment is in DuPage County.</w:t>
      </w:r>
      <w:r>
        <w:t xml:space="preserve">”</w:t>
      </w:r>
      <w:r>
        <w:t xml:space="preserve">).</w:t>
      </w:r>
    </w:p>
    <w:p>
      <w:pPr>
        <w:pStyle w:val="BodyText"/>
      </w:pPr>
      <w:r>
        <w:rPr>
          <w:b/>
          <w:bCs/>
        </w:rPr>
        <w:t xml:space="preserve">Impact.</w:t>
      </w:r>
      <w:r>
        <w:t xml:space="preserve"> </w:t>
      </w:r>
      <w:r>
        <w:t xml:space="preserve">Adverse to Wife. The parties reside in Winnetka (Cook County); the marital residence is in Cook County; Wife and her counsel are in Cook County. Dissolution proceedings are conventionally venued in the county of residence. DuPage County is convenient to Husband’s office in Naperville but inconvenient for Wife. The client specifically requested Cook County (Objective 5). The</w:t>
      </w:r>
      <w:r>
        <w:t xml:space="preserve"> </w:t>
      </w:r>
      <w:r>
        <w:t xml:space="preserve">“</w:t>
      </w:r>
      <w:r>
        <w:t xml:space="preserve">scheduling efficiency</w:t>
      </w:r>
      <w:r>
        <w:t xml:space="preserve">”</w:t>
      </w:r>
      <w:r>
        <w:t xml:space="preserve"> </w:t>
      </w:r>
      <w:r>
        <w:t xml:space="preserve">rationale does not outweigh the residence-based forum.</w:t>
      </w:r>
    </w:p>
    <w:p>
      <w:pPr>
        <w:pStyle w:val="BodyText"/>
      </w:pPr>
      <w:r>
        <w:rPr>
          <w:b/>
          <w:bCs/>
        </w:rPr>
        <w:t xml:space="preserve">Recommendation.</w:t>
      </w:r>
      <w:r>
        <w:t xml:space="preserve"> </w:t>
      </w:r>
      <w:r>
        <w:t xml:space="preserve">Reject. Reinstate Cook County as the exclusive venue. This is consistent with the client’s instruction and with the residence-based venue norm for dissolution.</w:t>
      </w:r>
    </w:p>
    <w:bookmarkEnd w:id="36"/>
    <w:bookmarkStart w:id="37" w:name="l.-sunset-term-seven-years-adverse"/>
    <w:p>
      <w:pPr>
        <w:pStyle w:val="Heading3"/>
      </w:pPr>
      <w:r>
        <w:t xml:space="preserve">L. Sunset Term — Seven Years — Adverse</w:t>
      </w:r>
    </w:p>
    <w:p>
      <w:pPr>
        <w:pStyle w:val="FirstParagraph"/>
      </w:pPr>
      <w:r>
        <w:rPr>
          <w:b/>
          <w:bCs/>
        </w:rPr>
        <w:t xml:space="preserve">Original Draft (§ 15.4).</w:t>
      </w:r>
      <w:r>
        <w:t xml:space="preserve"> </w:t>
      </w:r>
      <w:r>
        <w:t xml:space="preserve">The Agreement terminates on June 14, 2040 — fifteen years from the anticipated execution date — renewable for additional five-year periods by mutual written consent executed no later than 90 days before expiration.</w:t>
      </w:r>
    </w:p>
    <w:p>
      <w:pPr>
        <w:pStyle w:val="BodyText"/>
      </w:pPr>
      <w:r>
        <w:rPr>
          <w:b/>
          <w:bCs/>
        </w:rPr>
        <w:t xml:space="preserve">Redline (§ 15.5).</w:t>
      </w:r>
      <w:r>
        <w:t xml:space="preserve"> </w:t>
      </w:r>
      <w:r>
        <w:t xml:space="preserve">The Agreement terminates on the</w:t>
      </w:r>
      <w:r>
        <w:t xml:space="preserve"> </w:t>
      </w:r>
      <w:r>
        <w:rPr>
          <w:b/>
          <w:bCs/>
        </w:rPr>
        <w:t xml:space="preserve">seventh anniversary</w:t>
      </w:r>
      <w:r>
        <w:t xml:space="preserve"> </w:t>
      </w:r>
      <w:r>
        <w:t xml:space="preserve">of the Effective Date (approximately June 2032 if executed mid-2025). No renewal mechanism is included.</w:t>
      </w:r>
    </w:p>
    <w:p>
      <w:pPr>
        <w:pStyle w:val="BodyText"/>
      </w:pPr>
      <w:r>
        <w:rPr>
          <w:b/>
          <w:bCs/>
        </w:rPr>
        <w:t xml:space="preserve">Impact.</w:t>
      </w:r>
      <w:r>
        <w:t xml:space="preserve"> </w:t>
      </w:r>
      <w:r>
        <w:t xml:space="preserve">Adverse to the client’s Objective 3. The client asked for a term of</w:t>
      </w:r>
      <w:r>
        <w:t xml:space="preserve"> </w:t>
      </w:r>
      <w:r>
        <w:t xml:space="preserve">“</w:t>
      </w:r>
      <w:r>
        <w:t xml:space="preserve">at least</w:t>
      </w:r>
      <w:r>
        <w:t xml:space="preserve">”</w:t>
      </w:r>
      <w:r>
        <w:t xml:space="preserve"> </w:t>
      </w:r>
      <w:r>
        <w:t xml:space="preserve">until Julian turns 18 (approximately 2034) and preferably a fifteen-year term through approximately 2040, so that the Agreement covers the children’s minority. A seven-year sunset (through ~2032) expires</w:t>
      </w:r>
      <w:r>
        <w:t xml:space="preserve"> </w:t>
      </w:r>
      <w:r>
        <w:rPr>
          <w:b/>
          <w:bCs/>
        </w:rPr>
        <w:t xml:space="preserve">before</w:t>
      </w:r>
      <w:r>
        <w:t xml:space="preserve"> </w:t>
      </w:r>
      <w:r>
        <w:t xml:space="preserve">Julian reaches 18, leaving a gap during which the children are still minors but the Agreement no longer governs. The elimination of the renewal mechanism compounds the problem. Mr. Baxter’s email frames the shorter term as encouraging periodic</w:t>
      </w:r>
      <w:r>
        <w:t xml:space="preserve"> </w:t>
      </w:r>
      <w:r>
        <w:t xml:space="preserve">“</w:t>
      </w:r>
      <w:r>
        <w:t xml:space="preserve">refresh,</w:t>
      </w:r>
      <w:r>
        <w:t xml:space="preserve">”</w:t>
      </w:r>
      <w:r>
        <w:t xml:space="preserve"> </w:t>
      </w:r>
      <w:r>
        <w:t xml:space="preserve">but a refresh is not guaranteed, and a lapsed Agreement leaves the parties under default Illinois law at a potentially vulnerable time.</w:t>
      </w:r>
    </w:p>
    <w:p>
      <w:pPr>
        <w:pStyle w:val="BodyText"/>
      </w:pPr>
      <w:r>
        <w:rPr>
          <w:b/>
          <w:bCs/>
        </w:rPr>
        <w:t xml:space="preserve">Recommendation.</w:t>
      </w:r>
      <w:r>
        <w:t xml:space="preserve"> </w:t>
      </w:r>
      <w:r>
        <w:t xml:space="preserve">Counter. Reinstate a fifteen-year sunset (through ~2040) with the five-year mutual-renewal mechanism. If a shorter initial term is genuinely desired, the floor should be the date Julian reaches 18 (approximately 2034), not seven years. Do not accept a sunset that lapses before both children are adults.</w:t>
      </w:r>
    </w:p>
    <w:bookmarkEnd w:id="37"/>
    <w:bookmarkStart w:id="38" w:name="m.-deleted-protective-provisions"/>
    <w:p>
      <w:pPr>
        <w:pStyle w:val="Heading3"/>
      </w:pPr>
      <w:r>
        <w:t xml:space="preserve">M. Deleted Protective Provisions</w:t>
      </w:r>
    </w:p>
    <w:p>
      <w:pPr>
        <w:pStyle w:val="FirstParagraph"/>
      </w:pPr>
      <w:r>
        <w:t xml:space="preserve">In addition to the items above, the Redline silently drops several protective provisions present in the Original Draft. Each should be evaluated for reinstatement:</w:t>
      </w:r>
    </w:p>
    <w:p>
      <w:pPr>
        <w:pStyle w:val="Compact"/>
        <w:numPr>
          <w:ilvl w:val="0"/>
          <w:numId w:val="1005"/>
        </w:numPr>
      </w:pPr>
      <w:r>
        <w:rPr>
          <w:b/>
          <w:bCs/>
        </w:rPr>
        <w:t xml:space="preserve">Ongoing duty of disclosure (Orig. § 3.4).</w:t>
      </w:r>
      <w:r>
        <w:t xml:space="preserve"> </w:t>
      </w:r>
      <w:r>
        <w:t xml:space="preserve">Deleted. Reinstatement recommended (see § IV.C above).</w:t>
      </w:r>
    </w:p>
    <w:p>
      <w:pPr>
        <w:pStyle w:val="Compact"/>
        <w:numPr>
          <w:ilvl w:val="0"/>
          <w:numId w:val="1005"/>
        </w:numPr>
      </w:pPr>
      <w:r>
        <w:rPr>
          <w:b/>
          <w:bCs/>
        </w:rPr>
        <w:t xml:space="preserve">Future-debt disclosure duty (Orig. § 11.3).</w:t>
      </w:r>
      <w:r>
        <w:t xml:space="preserve"> </w:t>
      </w:r>
      <w:r>
        <w:t xml:space="preserve">Deleted. Reinstatement recommended (see § IV.C above).</w:t>
      </w:r>
    </w:p>
    <w:p>
      <w:pPr>
        <w:pStyle w:val="Compact"/>
        <w:numPr>
          <w:ilvl w:val="0"/>
          <w:numId w:val="1005"/>
        </w:numPr>
      </w:pPr>
      <w:r>
        <w:rPr>
          <w:b/>
          <w:bCs/>
        </w:rPr>
        <w:t xml:space="preserve">Restrictions on transfer of the Practice Interest (Orig. § 6.3).</w:t>
      </w:r>
      <w:r>
        <w:t xml:space="preserve"> </w:t>
      </w:r>
      <w:r>
        <w:t xml:space="preserve">Deleted. The Original Draft required Husband’s consent before Wife could transfer or encumber the Practice Interest if it would materially impair the marital estate or reduce the value below the $1,650,000 baseline. The Redline instead references the Operating Agreement’s transfer restrictions (which Strand confirms are robust: two-thirds member consent, 90-day right of first refusal, mandatory buy-sell). The Operating Agreement protections are real, so the loss is mitigated, but the contractual consent right was an additional layer. Recommend reinstating a consent right limited to transfers that would reduce the value below the baseline, harmonized with the Operating Agreement.</w:t>
      </w:r>
    </w:p>
    <w:p>
      <w:pPr>
        <w:pStyle w:val="Compact"/>
        <w:numPr>
          <w:ilvl w:val="0"/>
          <w:numId w:val="1005"/>
        </w:numPr>
      </w:pPr>
      <w:r>
        <w:rPr>
          <w:b/>
          <w:bCs/>
        </w:rPr>
        <w:t xml:space="preserve">Mortgage obligations during marriage (Orig. § 9.4).</w:t>
      </w:r>
      <w:r>
        <w:t xml:space="preserve"> </w:t>
      </w:r>
      <w:r>
        <w:t xml:space="preserve">Deleted. The Original Draft required shared mortgage/tax/insurance/maintenance payments from marital funds and prohibited either party from encumbering or refinancing the residence without the other’s written consent. The Redline addresses only the buyout period. Recommend reinstating the during-marriage cost-sharing and consent-to-encumber provisions, which protect both parties.</w:t>
      </w:r>
    </w:p>
    <w:p>
      <w:pPr>
        <w:pStyle w:val="Compact"/>
        <w:numPr>
          <w:ilvl w:val="0"/>
          <w:numId w:val="1005"/>
        </w:numPr>
      </w:pPr>
      <w:r>
        <w:rPr>
          <w:b/>
          <w:bCs/>
        </w:rPr>
        <w:t xml:space="preserve">Maintenance termination events (Orig. § 10.4).</w:t>
      </w:r>
      <w:r>
        <w:t xml:space="preserve"> </w:t>
      </w:r>
      <w:r>
        <w:t xml:space="preserve">The explicit termination on remarriage and cohabitation is not carried forward. Remarriage and cohabitation terminate maintenance by statute (750 ILCS 5/510), so the loss is largely covered by default law, but the contractual restatement provided clarity. Recommend reinstating the termination-events provision for clarity, harmonized with the new waiver.</w:t>
      </w:r>
    </w:p>
    <w:p>
      <w:pPr>
        <w:pStyle w:val="Compact"/>
        <w:numPr>
          <w:ilvl w:val="0"/>
          <w:numId w:val="1005"/>
        </w:numPr>
      </w:pPr>
      <w:r>
        <w:rPr>
          <w:b/>
          <w:bCs/>
        </w:rPr>
        <w:t xml:space="preserve">Other-debt consent threshold (Orig. § 11.2).</w:t>
      </w:r>
      <w:r>
        <w:t xml:space="preserve"> </w:t>
      </w:r>
      <w:r>
        <w:t xml:space="preserve">The Original Draft prohibited either party from incurring individual debt over $10,000 without the other’s written consent. Deleted. Given Husband’s history of undisclosed debt, reinstatement is recommended.</w:t>
      </w:r>
    </w:p>
    <w:p>
      <w:pPr>
        <w:pStyle w:val="Compact"/>
        <w:numPr>
          <w:ilvl w:val="0"/>
          <w:numId w:val="1005"/>
        </w:numPr>
      </w:pPr>
      <w:r>
        <w:rPr>
          <w:b/>
          <w:bCs/>
        </w:rPr>
        <w:t xml:space="preserve">General provisions (Orig. §§ 15.6–15.10).</w:t>
      </w:r>
      <w:r>
        <w:t xml:space="preserve"> </w:t>
      </w:r>
      <w:r>
        <w:t xml:space="preserve">The non-waiver clause (§ 15.6), the independent-counsel acknowledgment (§ 15.8), the voluntary-execution-and-fairness representation with the fiduciary-duty acknowledgment (§ 15.9), and the no-pending-proceedings representation (§ 15.10) are dropped or only partially absorbed into Article III. The fiduciary-duty acknowledgment in particular is valuable under 750 ILCS 5/502 scrutiny. Recommend reinstating §§ 15.6, 15.8, 15.9, and 15.10.</w:t>
      </w:r>
    </w:p>
    <w:bookmarkEnd w:id="38"/>
    <w:bookmarkStart w:id="39" w:name="X14392d7217ea224d21109f4949b79f679200e16"/>
    <w:p>
      <w:pPr>
        <w:pStyle w:val="Heading3"/>
      </w:pPr>
      <w:r>
        <w:t xml:space="preserve">N. Benign or Beneficial Changes to Accept</w:t>
      </w:r>
    </w:p>
    <w:p>
      <w:pPr>
        <w:pStyle w:val="Compact"/>
        <w:numPr>
          <w:ilvl w:val="0"/>
          <w:numId w:val="1006"/>
        </w:numPr>
      </w:pPr>
      <w:r>
        <w:rPr>
          <w:b/>
          <w:bCs/>
        </w:rPr>
        <w:t xml:space="preserve">Severability clause (Redline § 15.3).</w:t>
      </w:r>
      <w:r>
        <w:t xml:space="preserve"> </w:t>
      </w:r>
      <w:r>
        <w:t xml:space="preserve">Standard and protective of both parties. Accept.</w:t>
      </w:r>
    </w:p>
    <w:p>
      <w:pPr>
        <w:pStyle w:val="Compact"/>
        <w:numPr>
          <w:ilvl w:val="0"/>
          <w:numId w:val="1006"/>
        </w:numPr>
      </w:pPr>
      <w:r>
        <w:rPr>
          <w:b/>
          <w:bCs/>
        </w:rPr>
        <w:t xml:space="preserve">Notarization and witness-attestation blocks (Redline Art. XVI).</w:t>
      </w:r>
      <w:r>
        <w:t xml:space="preserve"> </w:t>
      </w:r>
      <w:r>
        <w:t xml:space="preserve">Best practice under 750 ILCS 5/502 and supportive of enforceability (the client’s Objective 5). Accept.</w:t>
      </w:r>
    </w:p>
    <w:p>
      <w:pPr>
        <w:pStyle w:val="Compact"/>
        <w:numPr>
          <w:ilvl w:val="0"/>
          <w:numId w:val="1006"/>
        </w:numPr>
      </w:pPr>
      <w:r>
        <w:rPr>
          <w:b/>
          <w:bCs/>
        </w:rPr>
        <w:t xml:space="preserve">Correction of</w:t>
      </w:r>
      <w:r>
        <w:rPr>
          <w:b/>
          <w:bCs/>
        </w:rPr>
        <w:t xml:space="preserve"> </w:t>
      </w:r>
      <w:r>
        <w:rPr>
          <w:b/>
          <w:bCs/>
        </w:rPr>
        <w:t xml:space="preserve">“</w:t>
      </w:r>
      <w:r>
        <w:rPr>
          <w:b/>
          <w:bCs/>
        </w:rPr>
        <w:t xml:space="preserve">Constane</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Constance.</w:t>
      </w:r>
      <w:r>
        <w:rPr>
          <w:b/>
          <w:bCs/>
        </w:rPr>
        <w:t xml:space="preserve">”</w:t>
      </w:r>
      <w:r>
        <w:t xml:space="preserve"> </w:t>
      </w:r>
      <w:r>
        <w:t xml:space="preserve">The Original Draft misspelled the decedent’s name; the supporting documents confirm</w:t>
      </w:r>
      <w:r>
        <w:t xml:space="preserve"> </w:t>
      </w:r>
      <w:r>
        <w:t xml:space="preserve">“</w:t>
      </w:r>
      <w:r>
        <w:t xml:space="preserve">Constance Thornton.</w:t>
      </w:r>
      <w:r>
        <w:t xml:space="preserve">”</w:t>
      </w:r>
      <w:r>
        <w:t xml:space="preserve"> </w:t>
      </w:r>
      <w:r>
        <w:t xml:space="preserve">Accept the correction. (The added</w:t>
      </w:r>
      <w:r>
        <w:t xml:space="preserve"> </w:t>
      </w:r>
      <w:r>
        <w:t xml:space="preserve">“</w:t>
      </w:r>
      <w:r>
        <w:t xml:space="preserve">(née Albrecht)</w:t>
      </w:r>
      <w:r>
        <w:t xml:space="preserve">”</w:t>
      </w:r>
      <w:r>
        <w:t xml:space="preserve"> </w:t>
      </w:r>
      <w:r>
        <w:t xml:space="preserve">is not corroborated by the disclosure schedules and should be verified before inclusion.)</w:t>
      </w:r>
    </w:p>
    <w:p>
      <w:pPr>
        <w:pStyle w:val="Compact"/>
        <w:numPr>
          <w:ilvl w:val="0"/>
          <w:numId w:val="1006"/>
        </w:numPr>
      </w:pPr>
      <w:r>
        <w:rPr>
          <w:b/>
          <w:bCs/>
        </w:rPr>
        <w:t xml:space="preserve">Addition of Husband’s hire date (March 15, 2018).</w:t>
      </w:r>
      <w:r>
        <w:t xml:space="preserve"> </w:t>
      </w:r>
      <w:r>
        <w:t xml:space="preserve">Corroborated by the intake memo and the Linden &amp; Fosse disclosure (Line H-1). Accept.</w:t>
      </w:r>
    </w:p>
    <w:p>
      <w:pPr>
        <w:pStyle w:val="Compact"/>
        <w:numPr>
          <w:ilvl w:val="0"/>
          <w:numId w:val="1006"/>
        </w:numPr>
      </w:pPr>
      <w:r>
        <w:rPr>
          <w:b/>
          <w:bCs/>
        </w:rPr>
        <w:t xml:space="preserve">Addition of the Grayfield Industries office address (500 Commerce Parkway, Naperville).</w:t>
      </w:r>
      <w:r>
        <w:t xml:space="preserve"> </w:t>
      </w:r>
      <w:r>
        <w:t xml:space="preserve">Corroborated. Accept.</w:t>
      </w:r>
    </w:p>
    <w:p>
      <w:r>
        <w:pict>
          <v:rect style="width:0;height:1.5pt" o:hralign="center" o:hrstd="t" o:hr="t"/>
        </w:pict>
      </w:r>
    </w:p>
    <w:bookmarkEnd w:id="39"/>
    <w:bookmarkEnd w:id="40"/>
    <w:bookmarkStart w:id="41" w:name="Xe5133f6bcb6c0ba12dc6f1511eb7bd33f5ae503"/>
    <w:p>
      <w:pPr>
        <w:pStyle w:val="Heading2"/>
      </w:pPr>
      <w:r>
        <w:t xml:space="preserve">V. Factual Discrepancies and Drafting Errors Requiring Correction</w:t>
      </w:r>
    </w:p>
    <w:p>
      <w:pPr>
        <w:pStyle w:val="FirstParagraph"/>
      </w:pPr>
      <w:r>
        <w:t xml:space="preserve">The Redline introduces, or fails to correct, a number of factual matters that conflict with the Linden &amp; Fosse disclosure schedules and the Strand valuation report. These must be reconciled before execution; several affect asset identification and could create enforceability or tracing problems if left uncorrected. The Linden &amp; Fosse schedules (dated November 30, 2024) should control unless Husband produces documentation of a subsequent change.</w:t>
      </w:r>
    </w:p>
    <w:tbl>
      <w:tblPr>
        <w:tblStyle w:val="Table"/>
        <w:tblW w:type="pct" w:w="5000"/>
        <w:jc w:val="left"/>
        <w:tblLayout w:type="fixed"/>
        <w:tblLook w:firstRow="1" w:lastRow="0" w:firstColumn="0" w:lastColumn="0" w:noHBand="0" w:noVBand="0" w:val="0020"/>
      </w:tblPr>
      <w:tblGrid>
        <w:gridCol w:w="293"/>
        <w:gridCol w:w="586"/>
        <w:gridCol w:w="1564"/>
        <w:gridCol w:w="880"/>
        <w:gridCol w:w="3031"/>
        <w:gridCol w:w="156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Original Draft</w:t>
            </w:r>
          </w:p>
        </w:tc>
        <w:tc>
          <w:tcPr/>
          <w:p>
            <w:pPr>
              <w:pStyle w:val="Compact"/>
              <w:jc w:val="left"/>
            </w:pPr>
            <w:r>
              <w:t xml:space="preserve">Redline</w:t>
            </w:r>
          </w:p>
        </w:tc>
        <w:tc>
          <w:tcPr/>
          <w:p>
            <w:pPr>
              <w:pStyle w:val="Compact"/>
              <w:jc w:val="left"/>
            </w:pPr>
            <w:r>
              <w:t xml:space="preserve">Linden &amp; Fosse / Strand record</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Inheritance brokerage institution &amp; account</w:t>
            </w:r>
          </w:p>
        </w:tc>
        <w:tc>
          <w:tcPr/>
          <w:p>
            <w:pPr>
              <w:pStyle w:val="Compact"/>
              <w:jc w:val="left"/>
            </w:pPr>
            <w:r>
              <w:t xml:space="preserve">“</w:t>
            </w:r>
            <w:r>
              <w:t xml:space="preserve">Hartleigh Investments</w:t>
            </w:r>
            <w:r>
              <w:t xml:space="preserve">”</w:t>
            </w:r>
          </w:p>
        </w:tc>
        <w:tc>
          <w:tcPr/>
          <w:p>
            <w:pPr>
              <w:pStyle w:val="Compact"/>
              <w:jc w:val="left"/>
            </w:pPr>
            <w:r>
              <w:t xml:space="preserve">“</w:t>
            </w:r>
            <w:r>
              <w:t xml:space="preserve">Tidewater Securities (acct. -7724)</w:t>
            </w:r>
            <w:r>
              <w:t xml:space="preserve">”</w:t>
            </w:r>
          </w:p>
        </w:tc>
        <w:tc>
          <w:tcPr/>
          <w:p>
            <w:pPr>
              <w:pStyle w:val="Compact"/>
              <w:jc w:val="left"/>
            </w:pPr>
            <w:r>
              <w:t xml:space="preserve">Northbridge Wealth Advisors, acct. ending 8837 (Line H-8)</w:t>
            </w:r>
          </w:p>
        </w:tc>
        <w:tc>
          <w:tcPr/>
          <w:p>
            <w:pPr>
              <w:pStyle w:val="Compact"/>
              <w:jc w:val="left"/>
            </w:pPr>
            <w:r>
              <w:t xml:space="preserve">Correct to Northbridge Wealth Advisors, acct. 8837. Both drafts are wrong; the Redline’s</w:t>
            </w:r>
            <w:r>
              <w:t xml:space="preserve"> </w:t>
            </w:r>
            <w:r>
              <w:t xml:space="preserve">“</w:t>
            </w:r>
            <w:r>
              <w:t xml:space="preserve">correction</w:t>
            </w:r>
            <w:r>
              <w:t xml:space="preserve">”</w:t>
            </w:r>
            <w:r>
              <w:t xml:space="preserve"> </w:t>
            </w:r>
            <w:r>
              <w:t xml:space="preserve">is itself incorrect.</w:t>
            </w:r>
          </w:p>
        </w:tc>
      </w:tr>
      <w:tr>
        <w:tc>
          <w:tcPr/>
          <w:p>
            <w:pPr>
              <w:pStyle w:val="Compact"/>
              <w:jc w:val="left"/>
            </w:pPr>
            <w:r>
              <w:t xml:space="preserve">2</w:t>
            </w:r>
          </w:p>
        </w:tc>
        <w:tc>
          <w:tcPr/>
          <w:p>
            <w:pPr>
              <w:pStyle w:val="Compact"/>
              <w:jc w:val="left"/>
            </w:pPr>
            <w:r>
              <w:t xml:space="preserve">Door County Property appraiser</w:t>
            </w:r>
          </w:p>
        </w:tc>
        <w:tc>
          <w:tcPr/>
          <w:p>
            <w:pPr>
              <w:pStyle w:val="Compact"/>
              <w:jc w:val="left"/>
            </w:pPr>
            <w:r>
              <w:t xml:space="preserve">Not specified</w:t>
            </w:r>
          </w:p>
        </w:tc>
        <w:tc>
          <w:tcPr/>
          <w:p>
            <w:pPr>
              <w:pStyle w:val="Compact"/>
              <w:jc w:val="left"/>
            </w:pPr>
            <w:r>
              <w:t xml:space="preserve">“</w:t>
            </w:r>
            <w:r>
              <w:t xml:space="preserve">Midwest Appraisal Associates as of October 15, 2024</w:t>
            </w:r>
            <w:r>
              <w:t xml:space="preserve">”</w:t>
            </w:r>
          </w:p>
        </w:tc>
        <w:tc>
          <w:tcPr/>
          <w:p>
            <w:pPr>
              <w:pStyle w:val="Compact"/>
              <w:jc w:val="left"/>
            </w:pPr>
            <w:r>
              <w:t xml:space="preserve">Pendleton Appraisal Group (Line H-7)</w:t>
            </w:r>
          </w:p>
        </w:tc>
        <w:tc>
          <w:tcPr/>
          <w:p>
            <w:pPr>
              <w:pStyle w:val="Compact"/>
              <w:jc w:val="left"/>
            </w:pPr>
            <w:r>
              <w:t xml:space="preserve">Correct to Pendleton Appraisal Group unless Husband produces a Midwest Appraisal report.</w:t>
            </w:r>
          </w:p>
        </w:tc>
      </w:tr>
      <w:tr>
        <w:tc>
          <w:tcPr/>
          <w:p>
            <w:pPr>
              <w:pStyle w:val="Compact"/>
              <w:jc w:val="left"/>
            </w:pPr>
            <w:r>
              <w:t xml:space="preserve">3</w:t>
            </w:r>
          </w:p>
        </w:tc>
        <w:tc>
          <w:tcPr/>
          <w:p>
            <w:pPr>
              <w:pStyle w:val="Compact"/>
              <w:jc w:val="left"/>
            </w:pPr>
            <w:r>
              <w:t xml:space="preserve">Joint Investment Account number</w:t>
            </w:r>
          </w:p>
        </w:tc>
        <w:tc>
          <w:tcPr/>
          <w:p>
            <w:pPr>
              <w:pStyle w:val="Compact"/>
              <w:jc w:val="left"/>
            </w:pPr>
            <w:r>
              <w:t xml:space="preserve">Not specified</w:t>
            </w:r>
          </w:p>
        </w:tc>
        <w:tc>
          <w:tcPr/>
          <w:p>
            <w:pPr>
              <w:pStyle w:val="Compact"/>
              <w:jc w:val="left"/>
            </w:pPr>
            <w:r>
              <w:t xml:space="preserve">“</w:t>
            </w:r>
            <w:r>
              <w:t xml:space="preserve">acct. -3961</w:t>
            </w:r>
            <w:r>
              <w:t xml:space="preserve">”</w:t>
            </w:r>
          </w:p>
        </w:tc>
        <w:tc>
          <w:tcPr/>
          <w:p>
            <w:pPr>
              <w:pStyle w:val="Compact"/>
              <w:jc w:val="left"/>
            </w:pPr>
            <w:r>
              <w:t xml:space="preserve">Northbridge Wealth Advisors, acct. ending 3291 (Lines W-5, J-2)</w:t>
            </w:r>
          </w:p>
        </w:tc>
        <w:tc>
          <w:tcPr/>
          <w:p>
            <w:pPr>
              <w:pStyle w:val="Compact"/>
              <w:jc w:val="left"/>
            </w:pPr>
            <w:r>
              <w:t xml:space="preserve">Correct to acct. 3291.</w:t>
            </w:r>
          </w:p>
        </w:tc>
      </w:tr>
      <w:tr>
        <w:tc>
          <w:tcPr/>
          <w:p>
            <w:pPr>
              <w:pStyle w:val="Compact"/>
              <w:jc w:val="left"/>
            </w:pPr>
            <w:r>
              <w:t xml:space="preserve">4</w:t>
            </w:r>
          </w:p>
        </w:tc>
        <w:tc>
          <w:tcPr/>
          <w:p>
            <w:pPr>
              <w:pStyle w:val="Compact"/>
              <w:jc w:val="left"/>
            </w:pPr>
            <w:r>
              <w:t xml:space="preserve">Joint savings/checking institutions</w:t>
            </w:r>
          </w:p>
        </w:tc>
        <w:tc>
          <w:tcPr/>
          <w:p>
            <w:pPr>
              <w:pStyle w:val="Compact"/>
              <w:jc w:val="left"/>
            </w:pPr>
            <w:r>
              <w:t xml:space="preserve">Not specified</w:t>
            </w:r>
          </w:p>
        </w:tc>
        <w:tc>
          <w:tcPr/>
          <w:p>
            <w:pPr>
              <w:pStyle w:val="Compact"/>
              <w:jc w:val="left"/>
            </w:pPr>
            <w:r>
              <w:t xml:space="preserve">“</w:t>
            </w:r>
            <w:r>
              <w:t xml:space="preserve">First Saxonbrook Bank and Hollcroft Fiduciary</w:t>
            </w:r>
            <w:r>
              <w:t xml:space="preserve">”</w:t>
            </w:r>
          </w:p>
        </w:tc>
        <w:tc>
          <w:tcPr/>
          <w:p>
            <w:pPr>
              <w:pStyle w:val="Compact"/>
              <w:jc w:val="left"/>
            </w:pPr>
            <w:r>
              <w:t xml:space="preserve">Both at First Saxonbrook Bank (acct. 4410 checking, 4417 savings) (Lines J-3, J-4)</w:t>
            </w:r>
          </w:p>
        </w:tc>
        <w:tc>
          <w:tcPr/>
          <w:p>
            <w:pPr>
              <w:pStyle w:val="Compact"/>
              <w:jc w:val="left"/>
            </w:pPr>
            <w:r>
              <w:t xml:space="preserve">Correct to First Saxonbrook Bank only.</w:t>
            </w:r>
            <w:r>
              <w:t xml:space="preserve"> </w:t>
            </w:r>
            <w:r>
              <w:t xml:space="preserve">“</w:t>
            </w:r>
            <w:r>
              <w:t xml:space="preserve">Hollcroft</w:t>
            </w:r>
            <w:r>
              <w:t xml:space="preserve">”</w:t>
            </w:r>
            <w:r>
              <w:t xml:space="preserve"> </w:t>
            </w:r>
            <w:r>
              <w:t xml:space="preserve">is the issuer of Husband’s undisclosed credit card (Line H-10), not a depository institution; it appears to have been misattributed.</w:t>
            </w:r>
          </w:p>
        </w:tc>
      </w:tr>
      <w:tr>
        <w:tc>
          <w:tcPr/>
          <w:p>
            <w:pPr>
              <w:pStyle w:val="Compact"/>
              <w:jc w:val="left"/>
            </w:pPr>
            <w:r>
              <w:t xml:space="preserve">5</w:t>
            </w:r>
          </w:p>
        </w:tc>
        <w:tc>
          <w:tcPr/>
          <w:p>
            <w:pPr>
              <w:pStyle w:val="Compact"/>
              <w:jc w:val="left"/>
            </w:pPr>
            <w:r>
              <w:t xml:space="preserve">Wife’s 403(b) custodian &amp; value</w:t>
            </w:r>
          </w:p>
        </w:tc>
        <w:tc>
          <w:tcPr/>
          <w:p>
            <w:pPr>
              <w:pStyle w:val="Compact"/>
              <w:jc w:val="left"/>
            </w:pPr>
            <w:r>
              <w:t xml:space="preserve">Not specified; combined $2,340,000</w:t>
            </w:r>
          </w:p>
        </w:tc>
        <w:tc>
          <w:tcPr/>
          <w:p>
            <w:pPr>
              <w:pStyle w:val="Compact"/>
              <w:jc w:val="left"/>
            </w:pPr>
            <w:r>
              <w:t xml:space="preserve">“</w:t>
            </w:r>
            <w:r>
              <w:t xml:space="preserve">TIAA-CREF,</w:t>
            </w:r>
            <w:r>
              <w:t xml:space="preserve">”</w:t>
            </w:r>
            <w:r>
              <w:t xml:space="preserve"> </w:t>
            </w:r>
            <w:r>
              <w:t xml:space="preserve">$1,440,000</w:t>
            </w:r>
          </w:p>
        </w:tc>
        <w:tc>
          <w:tcPr/>
          <w:p>
            <w:pPr>
              <w:pStyle w:val="Compact"/>
              <w:jc w:val="left"/>
            </w:pPr>
            <w:r>
              <w:t xml:space="preserve">Northbridge Wealth Advisors (custodian), acct. 7842, $1,415,000 (Line W-2)</w:t>
            </w:r>
          </w:p>
        </w:tc>
        <w:tc>
          <w:tcPr/>
          <w:p>
            <w:pPr>
              <w:pStyle w:val="Compact"/>
              <w:jc w:val="left"/>
            </w:pPr>
            <w:r>
              <w:t xml:space="preserve">Correct custodian to Northbridge Wealth Advisors (acct. 7842) and value to $1,415,000.</w:t>
            </w:r>
          </w:p>
        </w:tc>
      </w:tr>
      <w:tr>
        <w:tc>
          <w:tcPr/>
          <w:p>
            <w:pPr>
              <w:pStyle w:val="Compact"/>
              <w:jc w:val="left"/>
            </w:pPr>
            <w:r>
              <w:t xml:space="preserve">6</w:t>
            </w:r>
          </w:p>
        </w:tc>
        <w:tc>
          <w:tcPr/>
          <w:p>
            <w:pPr>
              <w:pStyle w:val="Compact"/>
              <w:jc w:val="left"/>
            </w:pPr>
            <w:r>
              <w:t xml:space="preserve">Wife’s defined-benefit pension value</w:t>
            </w:r>
          </w:p>
        </w:tc>
        <w:tc>
          <w:tcPr/>
          <w:p>
            <w:pPr>
              <w:pStyle w:val="Compact"/>
              <w:jc w:val="left"/>
            </w:pPr>
            <w:r>
              <w:t xml:space="preserve">Combined $2,340,000</w:t>
            </w:r>
          </w:p>
        </w:tc>
        <w:tc>
          <w:tcPr/>
          <w:p>
            <w:pPr>
              <w:pStyle w:val="Compact"/>
              <w:jc w:val="left"/>
            </w:pPr>
            <w:r>
              <w:t xml:space="preserve">$900,000 (est. present value)</w:t>
            </w:r>
          </w:p>
        </w:tc>
        <w:tc>
          <w:tcPr/>
          <w:p>
            <w:pPr>
              <w:pStyle w:val="Compact"/>
              <w:jc w:val="left"/>
            </w:pPr>
            <w:r>
              <w:t xml:space="preserve">$925,000 present value of accrued benefit (Line W-3)</w:t>
            </w:r>
          </w:p>
        </w:tc>
        <w:tc>
          <w:tcPr/>
          <w:p>
            <w:pPr>
              <w:pStyle w:val="Compact"/>
              <w:jc w:val="left"/>
            </w:pPr>
            <w:r>
              <w:t xml:space="preserve">Correct to $925,000. (Note: $1,415,000 + $925,000 = $2,340,000, matching the combined figure; the Redline’s $1,440,000 + $900,000 also sums to $2,340,000 but misallocates $25,000 between the two accounts.)</w:t>
            </w:r>
          </w:p>
        </w:tc>
      </w:tr>
      <w:tr>
        <w:tc>
          <w:tcPr/>
          <w:p>
            <w:pPr>
              <w:pStyle w:val="Compact"/>
              <w:jc w:val="left"/>
            </w:pPr>
            <w:r>
              <w:t xml:space="preserve">7</w:t>
            </w:r>
          </w:p>
        </w:tc>
        <w:tc>
          <w:tcPr/>
          <w:p>
            <w:pPr>
              <w:pStyle w:val="Compact"/>
              <w:jc w:val="left"/>
            </w:pPr>
            <w:r>
              <w:t xml:space="preserve">Husband’s 401(k) custodian</w:t>
            </w:r>
          </w:p>
        </w:tc>
        <w:tc>
          <w:tcPr/>
          <w:p>
            <w:pPr>
              <w:pStyle w:val="Compact"/>
              <w:jc w:val="left"/>
            </w:pPr>
            <w:r>
              <w:t xml:space="preserve">Not specified</w:t>
            </w:r>
          </w:p>
        </w:tc>
        <w:tc>
          <w:tcPr/>
          <w:p>
            <w:pPr>
              <w:pStyle w:val="Compact"/>
              <w:jc w:val="left"/>
            </w:pPr>
            <w:r>
              <w:t xml:space="preserve">“</w:t>
            </w:r>
            <w:r>
              <w:t xml:space="preserve">Hartleigh Investments</w:t>
            </w:r>
            <w:r>
              <w:t xml:space="preserve">”</w:t>
            </w:r>
          </w:p>
        </w:tc>
        <w:tc>
          <w:tcPr/>
          <w:p>
            <w:pPr>
              <w:pStyle w:val="Compact"/>
              <w:jc w:val="left"/>
            </w:pPr>
            <w:r>
              <w:t xml:space="preserve">Northbridge Wealth Advisors (custodian), acct. 5518, $1,180,000 (Line H-3)</w:t>
            </w:r>
          </w:p>
        </w:tc>
        <w:tc>
          <w:tcPr/>
          <w:p>
            <w:pPr>
              <w:pStyle w:val="Compact"/>
              <w:jc w:val="left"/>
            </w:pPr>
            <w:r>
              <w:t xml:space="preserve">Correct custodian to Northbridge Wealth Advisors (acct. 5518). Value matches.</w:t>
            </w:r>
            <w:r>
              <w:t xml:space="preserve"> </w:t>
            </w:r>
            <w:r>
              <w:t xml:space="preserve">“</w:t>
            </w:r>
            <w:r>
              <w:t xml:space="preserve">Hartleigh Investments</w:t>
            </w:r>
            <w:r>
              <w:t xml:space="preserve">”</w:t>
            </w:r>
            <w:r>
              <w:t xml:space="preserve"> </w:t>
            </w:r>
            <w:r>
              <w:t xml:space="preserve">appears to be a carryover from the Original Draft’s erroneous inheritance-brokerage label.</w:t>
            </w:r>
          </w:p>
        </w:tc>
      </w:tr>
      <w:tr>
        <w:tc>
          <w:tcPr/>
          <w:p>
            <w:pPr>
              <w:pStyle w:val="Compact"/>
              <w:jc w:val="left"/>
            </w:pPr>
            <w:r>
              <w:t xml:space="preserve">8</w:t>
            </w:r>
          </w:p>
        </w:tc>
        <w:tc>
          <w:tcPr/>
          <w:p>
            <w:pPr>
              <w:pStyle w:val="Compact"/>
              <w:jc w:val="left"/>
            </w:pPr>
            <w:r>
              <w:t xml:space="preserve">Wife’s individual credit-card balance</w:t>
            </w:r>
          </w:p>
        </w:tc>
        <w:tc>
          <w:tcPr/>
          <w:p>
            <w:pPr>
              <w:pStyle w:val="Compact"/>
              <w:jc w:val="left"/>
            </w:pPr>
            <w:r>
              <w:t xml:space="preserve">“</w:t>
            </w:r>
            <w:r>
              <w:t xml:space="preserve">None reported</w:t>
            </w:r>
            <w:r>
              <w:t xml:space="preserve">”</w:t>
            </w:r>
            <w:r>
              <w:t xml:space="preserve"> </w:t>
            </w:r>
            <w:r>
              <w:t xml:space="preserve">(Exhibit A)</w:t>
            </w:r>
          </w:p>
        </w:tc>
        <w:tc>
          <w:tcPr/>
          <w:p>
            <w:pPr>
              <w:pStyle w:val="Compact"/>
              <w:jc w:val="left"/>
            </w:pPr>
            <w:r>
              <w:t xml:space="preserve">$4,200 (Schedule A)</w:t>
            </w:r>
          </w:p>
        </w:tc>
        <w:tc>
          <w:tcPr/>
          <w:p>
            <w:pPr>
              <w:pStyle w:val="Compact"/>
              <w:jc w:val="left"/>
            </w:pPr>
            <w:r>
              <w:t xml:space="preserve">Valemont Visa, acct. 4412, $3,200, classified Marital, paid in full monthly (Line W-9)</w:t>
            </w:r>
          </w:p>
        </w:tc>
        <w:tc>
          <w:tcPr/>
          <w:p>
            <w:pPr>
              <w:pStyle w:val="Compact"/>
              <w:jc w:val="left"/>
            </w:pPr>
            <w:r>
              <w:t xml:space="preserve">Correct to $3,200 (Valemont Visa), classified as Marital and paid monthly. The Original Draft’s</w:t>
            </w:r>
            <w:r>
              <w:t xml:space="preserve"> </w:t>
            </w:r>
            <w:r>
              <w:t xml:space="preserve">“</w:t>
            </w:r>
            <w:r>
              <w:t xml:space="preserve">None reported</w:t>
            </w:r>
            <w:r>
              <w:t xml:space="preserve">”</w:t>
            </w:r>
            <w:r>
              <w:t xml:space="preserve"> </w:t>
            </w:r>
            <w:r>
              <w:t xml:space="preserve">understated; the Redline’s $4,200 overstates.</w:t>
            </w:r>
          </w:p>
        </w:tc>
      </w:tr>
      <w:tr>
        <w:tc>
          <w:tcPr/>
          <w:p>
            <w:pPr>
              <w:pStyle w:val="Compact"/>
              <w:jc w:val="left"/>
            </w:pPr>
            <w:r>
              <w:t xml:space="preserve">9</w:t>
            </w:r>
          </w:p>
        </w:tc>
        <w:tc>
          <w:tcPr/>
          <w:p>
            <w:pPr>
              <w:pStyle w:val="Compact"/>
              <w:jc w:val="left"/>
            </w:pPr>
            <w:r>
              <w:t xml:space="preserve">Decedent’s date of death</w:t>
            </w:r>
          </w:p>
        </w:tc>
        <w:tc>
          <w:tcPr/>
          <w:p>
            <w:pPr>
              <w:pStyle w:val="Compact"/>
              <w:jc w:val="left"/>
            </w:pPr>
            <w:r>
              <w:t xml:space="preserve">August 12, 2024</w:t>
            </w:r>
          </w:p>
        </w:tc>
        <w:tc>
          <w:tcPr/>
          <w:p>
            <w:pPr>
              <w:pStyle w:val="Compact"/>
              <w:jc w:val="left"/>
            </w:pPr>
            <w:r>
              <w:t xml:space="preserve">September 3, 2024</w:t>
            </w:r>
          </w:p>
        </w:tc>
        <w:tc>
          <w:tcPr/>
          <w:p>
            <w:pPr>
              <w:pStyle w:val="Compact"/>
              <w:jc w:val="left"/>
            </w:pPr>
            <w:r>
              <w:t xml:space="preserve">“</w:t>
            </w:r>
            <w:r>
              <w:t xml:space="preserve">deceased October 2024</w:t>
            </w:r>
            <w:r>
              <w:t xml:space="preserve">”</w:t>
            </w:r>
            <w:r>
              <w:t xml:space="preserve"> </w:t>
            </w:r>
            <w:r>
              <w:t xml:space="preserve">(Lines H-7, H-8, H-9; intake memo)</w:t>
            </w:r>
          </w:p>
        </w:tc>
        <w:tc>
          <w:tcPr/>
          <w:p>
            <w:pPr>
              <w:pStyle w:val="Compact"/>
              <w:jc w:val="left"/>
            </w:pPr>
            <w:r>
              <w:t xml:space="preserve">Verify against the death certificate / estate documents. All three versions differ; the disclosure’s</w:t>
            </w:r>
            <w:r>
              <w:t xml:space="preserve"> </w:t>
            </w:r>
            <w:r>
              <w:t xml:space="preserve">“</w:t>
            </w:r>
            <w:r>
              <w:t xml:space="preserve">October 2024</w:t>
            </w:r>
            <w:r>
              <w:t xml:space="preserve">”</w:t>
            </w:r>
            <w:r>
              <w:t xml:space="preserve"> </w:t>
            </w:r>
            <w:r>
              <w:t xml:space="preserve">may conflate death with distribution. Do not finalize until confirmed.</w:t>
            </w:r>
          </w:p>
        </w:tc>
      </w:tr>
      <w:tr>
        <w:tc>
          <w:tcPr/>
          <w:p>
            <w:pPr>
              <w:pStyle w:val="Compact"/>
              <w:jc w:val="left"/>
            </w:pPr>
            <w:r>
              <w:t xml:space="preserve">10</w:t>
            </w:r>
          </w:p>
        </w:tc>
        <w:tc>
          <w:tcPr/>
          <w:p>
            <w:pPr>
              <w:pStyle w:val="Compact"/>
              <w:jc w:val="left"/>
            </w:pPr>
            <w:r>
              <w:t xml:space="preserve">Children’s dates of birth</w:t>
            </w:r>
          </w:p>
        </w:tc>
        <w:tc>
          <w:tcPr/>
          <w:p>
            <w:pPr>
              <w:pStyle w:val="Compact"/>
              <w:jc w:val="left"/>
            </w:pPr>
            <w:r>
              <w:t xml:space="preserve">Elena: Oct. 3, 2012; Julian: Mar. 22, 2016</w:t>
            </w:r>
          </w:p>
        </w:tc>
        <w:tc>
          <w:tcPr/>
          <w:p>
            <w:pPr>
              <w:pStyle w:val="Compact"/>
              <w:jc w:val="left"/>
            </w:pPr>
            <w:r>
              <w:t xml:space="preserve">Elena: Aug. 22, 2012; Julian: Nov. 9, 2015</w:t>
            </w:r>
          </w:p>
        </w:tc>
        <w:tc>
          <w:tcPr/>
          <w:p>
            <w:pPr>
              <w:pStyle w:val="Compact"/>
              <w:jc w:val="left"/>
            </w:pPr>
            <w:r>
              <w:t xml:space="preserve">Intake memo gives ages only (Elena 12, Julian 9 as of Nov. 5, 2024)</w:t>
            </w:r>
          </w:p>
        </w:tc>
        <w:tc>
          <w:tcPr/>
          <w:p>
            <w:pPr>
              <w:pStyle w:val="Compact"/>
              <w:jc w:val="left"/>
            </w:pPr>
            <w:r>
              <w:t xml:space="preserve">Verify against birth certificates. The Redline’s Julian date (Nov. 9, 2015) is more consistent with</w:t>
            </w:r>
            <w:r>
              <w:t xml:space="preserve"> </w:t>
            </w:r>
            <w:r>
              <w:t xml:space="preserve">“</w:t>
            </w:r>
            <w:r>
              <w:t xml:space="preserve">age 9</w:t>
            </w:r>
            <w:r>
              <w:t xml:space="preserve">”</w:t>
            </w:r>
            <w:r>
              <w:t xml:space="preserve"> </w:t>
            </w:r>
            <w:r>
              <w:t xml:space="preserve">than the Original Draft’s (Mar. 22, 2016, which yields age 8), but Elena’s change (Oct. 3 → Aug. 22) has no corroborating basis.</w:t>
            </w:r>
          </w:p>
        </w:tc>
      </w:tr>
      <w:tr>
        <w:tc>
          <w:tcPr/>
          <w:p>
            <w:pPr>
              <w:pStyle w:val="Compact"/>
              <w:jc w:val="left"/>
            </w:pPr>
            <w:r>
              <w:t xml:space="preserve">11</w:t>
            </w:r>
          </w:p>
        </w:tc>
        <w:tc>
          <w:tcPr/>
          <w:p>
            <w:pPr>
              <w:pStyle w:val="Compact"/>
              <w:jc w:val="left"/>
            </w:pPr>
            <w:r>
              <w:t xml:space="preserve">Wife’s practice tenure</w:t>
            </w:r>
          </w:p>
        </w:tc>
        <w:tc>
          <w:tcPr/>
          <w:p>
            <w:pPr>
              <w:pStyle w:val="Compact"/>
              <w:jc w:val="left"/>
            </w:pPr>
            <w:r>
              <w:t xml:space="preserve">“</w:t>
            </w:r>
            <w:r>
              <w:t xml:space="preserve">since completing her fellowship training</w:t>
            </w:r>
            <w:r>
              <w:t xml:space="preserve">”</w:t>
            </w:r>
          </w:p>
        </w:tc>
        <w:tc>
          <w:tcPr/>
          <w:p>
            <w:pPr>
              <w:pStyle w:val="Compact"/>
              <w:jc w:val="left"/>
            </w:pPr>
            <w:r>
              <w:t xml:space="preserve">“</w:t>
            </w:r>
            <w:r>
              <w:t xml:space="preserve">since 2011</w:t>
            </w:r>
            <w:r>
              <w:t xml:space="preserve">”</w:t>
            </w:r>
          </w:p>
        </w:tc>
        <w:tc>
          <w:tcPr/>
          <w:p>
            <w:pPr>
              <w:pStyle w:val="Compact"/>
              <w:jc w:val="left"/>
            </w:pPr>
            <w:r>
              <w:t xml:space="preserve">Intake memo:</w:t>
            </w:r>
            <w:r>
              <w:t xml:space="preserve"> </w:t>
            </w:r>
            <w:r>
              <w:t xml:space="preserve">“</w:t>
            </w:r>
            <w:r>
              <w:t xml:space="preserve">over fifteen years</w:t>
            </w:r>
            <w:r>
              <w:t xml:space="preserve">”</w:t>
            </w:r>
            <w:r>
              <w:t xml:space="preserve"> </w:t>
            </w:r>
            <w:r>
              <w:t xml:space="preserve">(i.e., since ~2009 or earlier)</w:t>
            </w:r>
          </w:p>
        </w:tc>
        <w:tc>
          <w:tcPr/>
          <w:p>
            <w:pPr>
              <w:pStyle w:val="Compact"/>
              <w:jc w:val="left"/>
            </w:pPr>
            <w:r>
              <w:t xml:space="preserve">Verify.</w:t>
            </w:r>
            <w:r>
              <w:t xml:space="preserve"> </w:t>
            </w:r>
            <w:r>
              <w:t xml:space="preserve">“</w:t>
            </w:r>
            <w:r>
              <w:t xml:space="preserve">Since 2011</w:t>
            </w:r>
            <w:r>
              <w:t xml:space="preserve">”</w:t>
            </w:r>
            <w:r>
              <w:t xml:space="preserve"> </w:t>
            </w:r>
            <w:r>
              <w:t xml:space="preserve">yields ~13 years and is inconsistent with</w:t>
            </w:r>
            <w:r>
              <w:t xml:space="preserve"> </w:t>
            </w:r>
            <w:r>
              <w:t xml:space="preserve">“</w:t>
            </w:r>
            <w:r>
              <w:t xml:space="preserve">over fifteen years.</w:t>
            </w:r>
            <w:r>
              <w:t xml:space="preserve">”</w:t>
            </w:r>
            <w:r>
              <w:t xml:space="preserve"> </w:t>
            </w:r>
            <w:r>
              <w:t xml:space="preserve">Minor, but correct for accuracy.</w:t>
            </w:r>
          </w:p>
        </w:tc>
      </w:tr>
      <w:tr>
        <w:tc>
          <w:tcPr/>
          <w:p>
            <w:pPr>
              <w:pStyle w:val="Compact"/>
              <w:jc w:val="left"/>
            </w:pPr>
            <w:r>
              <w:t xml:space="preserve">12</w:t>
            </w:r>
          </w:p>
        </w:tc>
        <w:tc>
          <w:tcPr/>
          <w:p>
            <w:pPr>
              <w:pStyle w:val="Compact"/>
              <w:jc w:val="left"/>
            </w:pPr>
            <w:r>
              <w:t xml:space="preserve">Wife’s Practice distributions (income)</w:t>
            </w:r>
          </w:p>
        </w:tc>
        <w:tc>
          <w:tcPr/>
          <w:p>
            <w:pPr>
              <w:pStyle w:val="Compact"/>
              <w:jc w:val="left"/>
            </w:pPr>
            <w:r>
              <w:t xml:space="preserve">Not separately disclosed</w:t>
            </w:r>
          </w:p>
        </w:tc>
        <w:tc>
          <w:tcPr/>
          <w:p>
            <w:pPr>
              <w:pStyle w:val="Compact"/>
              <w:jc w:val="left"/>
            </w:pPr>
            <w:r>
              <w:t xml:space="preserve">“</w:t>
            </w:r>
            <w:r>
              <w:t xml:space="preserve">Included in W-2 / K-1 reporting</w:t>
            </w:r>
            <w:r>
              <w:t xml:space="preserve">”</w:t>
            </w:r>
            <w:r>
              <w:t xml:space="preserve"> </w:t>
            </w:r>
            <w:r>
              <w:t xml:space="preserve">(Schedule A)</w:t>
            </w:r>
          </w:p>
        </w:tc>
        <w:tc>
          <w:tcPr/>
          <w:p>
            <w:pPr>
              <w:pStyle w:val="Compact"/>
              <w:jc w:val="left"/>
            </w:pPr>
            <w:r>
              <w:t xml:space="preserve">~$145,000/year average, 2021–2023 (Strand report, § 5) — separate from the $487,000 hospital W-2</w:t>
            </w:r>
          </w:p>
        </w:tc>
        <w:tc>
          <w:tcPr/>
          <w:p>
            <w:pPr>
              <w:pStyle w:val="Compact"/>
              <w:jc w:val="left"/>
            </w:pPr>
            <w:r>
              <w:t xml:space="preserve">Add the ~$145,000 annual Practice distributions as a distinct income line. This is a material income source omitted from both drafts’ income summaries and is relevant to the maintenance analysis and the Gross Income definition.</w:t>
            </w:r>
          </w:p>
        </w:tc>
      </w:tr>
    </w:tbl>
    <w:p>
      <w:pPr>
        <w:pStyle w:val="BodyText"/>
      </w:pPr>
      <w:r>
        <w:rPr>
          <w:b/>
          <w:bCs/>
        </w:rPr>
        <w:t xml:space="preserve">Additional completeness note.</w:t>
      </w:r>
      <w:r>
        <w:t xml:space="preserve"> </w:t>
      </w:r>
      <w:r>
        <w:t xml:space="preserve">Neither draft’s disclosure schedules itemize the parties’ automobiles (Wife’s 2022 BMW X5, ~$52,000; Husband’s 2023 Mercedes GLE, ~$58,000) or personal property (Wife ~$45,000; Husband ~$28,000; joint household ~$65,000), all of which appear in the Linden &amp; Fosse schedules. These should be added to the schedules for completeness, and the RSU administrator (Strand Transfer Services, Grant #2024-001, per Line H-4) may be noted for precision.</w:t>
      </w:r>
    </w:p>
    <w:p>
      <w:r>
        <w:pict>
          <v:rect style="width:0;height:1.5pt" o:hralign="center" o:hrstd="t" o:hr="t"/>
        </w:pict>
      </w:r>
    </w:p>
    <w:bookmarkEnd w:id="41"/>
    <w:bookmarkStart w:id="42" w:name="Xc0ec89575ce747070ff1a4bb344f30d6242b352"/>
    <w:p>
      <w:pPr>
        <w:pStyle w:val="Heading2"/>
      </w:pPr>
      <w:r>
        <w:t xml:space="preserve">VI. Mapping the Redline to the Client’s Stated Objectives</w:t>
      </w:r>
    </w:p>
    <w:p>
      <w:pPr>
        <w:pStyle w:val="FirstParagraph"/>
      </w:pPr>
      <w:r>
        <w:t xml:space="preserve">The client articulated five objectives in priority order. The following table summarizes how the Redline affects each.</w:t>
      </w:r>
    </w:p>
    <w:tbl>
      <w:tblPr>
        <w:tblStyle w:val="Table"/>
        <w:tblW w:type="pct" w:w="5000"/>
        <w:jc w:val="left"/>
        <w:tblLayout w:type="fixed"/>
        <w:tblLook w:firstRow="1" w:lastRow="0" w:firstColumn="0" w:lastColumn="0" w:noHBand="0" w:noVBand="0" w:val="0020"/>
      </w:tblPr>
      <w:tblGrid>
        <w:gridCol w:w="2970"/>
        <w:gridCol w:w="2574"/>
        <w:gridCol w:w="1584"/>
        <w:gridCol w:w="792"/>
      </w:tblGrid>
      <w:tr>
        <w:trPr>
          <w:tblHeader w:val="on"/>
        </w:trPr>
        <w:tc>
          <w:tcPr/>
          <w:p>
            <w:pPr>
              <w:pStyle w:val="Compact"/>
              <w:jc w:val="left"/>
            </w:pPr>
            <w:r>
              <w:t xml:space="preserve">Client Objective (priority)</w:t>
            </w:r>
          </w:p>
        </w:tc>
        <w:tc>
          <w:tcPr/>
          <w:p>
            <w:pPr>
              <w:pStyle w:val="Compact"/>
              <w:jc w:val="left"/>
            </w:pPr>
            <w:r>
              <w:t xml:space="preserve">Original Draft treatment</w:t>
            </w:r>
          </w:p>
        </w:tc>
        <w:tc>
          <w:tcPr/>
          <w:p>
            <w:pPr>
              <w:pStyle w:val="Compact"/>
              <w:jc w:val="left"/>
            </w:pPr>
            <w:r>
              <w:t xml:space="preserve">Redline effect</w:t>
            </w:r>
          </w:p>
        </w:tc>
        <w:tc>
          <w:tcPr/>
          <w:p>
            <w:pPr>
              <w:pStyle w:val="Compact"/>
              <w:jc w:val="left"/>
            </w:pPr>
            <w:r>
              <w:t xml:space="preserve">Status</w:t>
            </w:r>
          </w:p>
        </w:tc>
      </w:tr>
      <w:tr>
        <w:tc>
          <w:tcPr/>
          <w:p>
            <w:pPr>
              <w:pStyle w:val="Compact"/>
              <w:jc w:val="left"/>
            </w:pPr>
            <w:r>
              <w:rPr>
                <w:b/>
                <w:bCs/>
              </w:rPr>
              <w:t xml:space="preserve">1. Protect $1.2M premarital savings</w:t>
            </w:r>
            <w:r>
              <w:t xml:space="preserve"> </w:t>
            </w:r>
            <w:r>
              <w:t xml:space="preserve">(non-negotiable;</w:t>
            </w:r>
            <w:r>
              <w:t xml:space="preserve"> </w:t>
            </w:r>
            <w:r>
              <w:t xml:space="preserve">“</w:t>
            </w:r>
            <w:r>
              <w:t xml:space="preserve">the whole reason</w:t>
            </w:r>
            <w:r>
              <w:t xml:space="preserve">”</w:t>
            </w:r>
            <w:r>
              <w:t xml:space="preserve">)</w:t>
            </w:r>
          </w:p>
        </w:tc>
        <w:tc>
          <w:tcPr/>
          <w:p>
            <w:pPr>
              <w:pStyle w:val="Compact"/>
              <w:jc w:val="left"/>
            </w:pPr>
            <w:r>
              <w:t xml:space="preserve">First-priority reimbursement right, § 5.2</w:t>
            </w:r>
          </w:p>
        </w:tc>
        <w:tc>
          <w:tcPr/>
          <w:p>
            <w:pPr>
              <w:pStyle w:val="Compact"/>
              <w:jc w:val="left"/>
            </w:pPr>
            <w:r>
              <w:rPr>
                <w:b/>
                <w:bCs/>
              </w:rPr>
              <w:t xml:space="preserve">Deleted entirely</w:t>
            </w:r>
            <w:r>
              <w:t xml:space="preserve"> </w:t>
            </w:r>
            <w:r>
              <w:t xml:space="preserve">(MC-05 calls it</w:t>
            </w:r>
            <w:r>
              <w:t xml:space="preserve"> </w:t>
            </w:r>
            <w:r>
              <w:t xml:space="preserve">“</w:t>
            </w:r>
            <w:r>
              <w:t xml:space="preserve">duplicative</w:t>
            </w:r>
            <w:r>
              <w:t xml:space="preserve">”</w:t>
            </w:r>
            <w:r>
              <w:t xml:space="preserve">)</w:t>
            </w:r>
          </w:p>
        </w:tc>
        <w:tc>
          <w:tcPr/>
          <w:p>
            <w:pPr>
              <w:pStyle w:val="Compact"/>
              <w:jc w:val="left"/>
            </w:pPr>
            <w:r>
              <w:rPr>
                <w:b/>
                <w:bCs/>
              </w:rPr>
              <w:t xml:space="preserve">Defeated.</w:t>
            </w:r>
            <w:r>
              <w:t xml:space="preserve"> </w:t>
            </w:r>
            <w:r>
              <w:t xml:space="preserve">Reject.</w:t>
            </w:r>
          </w:p>
        </w:tc>
      </w:tr>
      <w:tr>
        <w:tc>
          <w:tcPr/>
          <w:p>
            <w:pPr>
              <w:pStyle w:val="Compact"/>
              <w:jc w:val="left"/>
            </w:pPr>
            <w:r>
              <w:rPr>
                <w:b/>
                <w:bCs/>
              </w:rPr>
              <w:t xml:space="preserve">2. Full financial transparency</w:t>
            </w:r>
            <w:r>
              <w:t xml:space="preserve"> </w:t>
            </w:r>
            <w:r>
              <w:t xml:space="preserve">(robust disclosure; voidable on material omission, no high threshold; ongoing disclosure; $68K debt solely to Husband, no loopholes)</w:t>
            </w:r>
          </w:p>
        </w:tc>
        <w:tc>
          <w:tcPr/>
          <w:p>
            <w:pPr>
              <w:pStyle w:val="Compact"/>
              <w:jc w:val="left"/>
            </w:pPr>
            <w:r>
              <w:t xml:space="preserve">Material-omission voidability, no threshold/intent (§ 3.3); ongoing duty (§ 3.4); future-debt duty (§ 11.3); unlimited indemnity (§ 11.1)</w:t>
            </w:r>
          </w:p>
        </w:tc>
        <w:tc>
          <w:tcPr/>
          <w:p>
            <w:pPr>
              <w:pStyle w:val="Compact"/>
              <w:jc w:val="left"/>
            </w:pPr>
            <w:r>
              <w:t xml:space="preserve">Clear-and-convincing + intentional + $100K threshold + 2-year limit (§ 12.2); ongoing and future-debt duties deleted; $5K de minimis carve-out on indemnity (§ 11.2);</w:t>
            </w:r>
            <w:r>
              <w:t xml:space="preserve"> </w:t>
            </w:r>
            <w:r>
              <w:t xml:space="preserve">“</w:t>
            </w:r>
            <w:r>
              <w:t xml:space="preserve">substantially</w:t>
            </w:r>
            <w:r>
              <w:t xml:space="preserve">”</w:t>
            </w:r>
            <w:r>
              <w:t xml:space="preserve">/</w:t>
            </w:r>
            <w:r>
              <w:t xml:space="preserve">“</w:t>
            </w:r>
            <w:r>
              <w:t xml:space="preserve">generally satisfied</w:t>
            </w:r>
            <w:r>
              <w:t xml:space="preserve">”</w:t>
            </w:r>
            <w:r>
              <w:t xml:space="preserve"> </w:t>
            </w:r>
            <w:r>
              <w:t xml:space="preserve">qualifiers added</w:t>
            </w:r>
          </w:p>
        </w:tc>
        <w:tc>
          <w:tcPr/>
          <w:p>
            <w:pPr>
              <w:pStyle w:val="Compact"/>
              <w:jc w:val="left"/>
            </w:pPr>
            <w:r>
              <w:rPr>
                <w:b/>
                <w:bCs/>
              </w:rPr>
              <w:t xml:space="preserve">Defeated.</w:t>
            </w:r>
            <w:r>
              <w:t xml:space="preserve"> </w:t>
            </w:r>
            <w:r>
              <w:t xml:space="preserve">Reject.</w:t>
            </w:r>
          </w:p>
        </w:tc>
      </w:tr>
      <w:tr>
        <w:tc>
          <w:tcPr/>
          <w:p>
            <w:pPr>
              <w:pStyle w:val="Compact"/>
              <w:jc w:val="left"/>
            </w:pPr>
            <w:r>
              <w:rPr>
                <w:b/>
                <w:bCs/>
              </w:rPr>
              <w:t xml:space="preserve">3. Children’s stability</w:t>
            </w:r>
            <w:r>
              <w:t xml:space="preserve"> </w:t>
            </w:r>
            <w:r>
              <w:t xml:space="preserve">(first right to buy home; term at least until Julian 18, ~2034, preferably 15 yrs to ~2040)</w:t>
            </w:r>
          </w:p>
        </w:tc>
        <w:tc>
          <w:tcPr/>
          <w:p>
            <w:pPr>
              <w:pStyle w:val="Compact"/>
              <w:jc w:val="left"/>
            </w:pPr>
            <w:r>
              <w:t xml:space="preserve">Wife’s right of first refusal, 24-mo buyout (§ 9.2); 15-yr sunset to 2040 with renewal (§ 15.4)</w:t>
            </w:r>
          </w:p>
        </w:tc>
        <w:tc>
          <w:tcPr/>
          <w:p>
            <w:pPr>
              <w:pStyle w:val="Compact"/>
              <w:jc w:val="left"/>
            </w:pPr>
            <w:r>
              <w:t xml:space="preserve">18-mo buyout, Husband matching right, single appraisal (§ 9.2); 7-yr sunset to ~2032, no renewal (§ 15.5)</w:t>
            </w:r>
          </w:p>
        </w:tc>
        <w:tc>
          <w:tcPr/>
          <w:p>
            <w:pPr>
              <w:pStyle w:val="Compact"/>
              <w:jc w:val="left"/>
            </w:pPr>
            <w:r>
              <w:rPr>
                <w:b/>
                <w:bCs/>
              </w:rPr>
              <w:t xml:space="preserve">Partially defeated.</w:t>
            </w:r>
            <w:r>
              <w:t xml:space="preserve"> </w:t>
            </w:r>
            <w:r>
              <w:t xml:space="preserve">Counter.</w:t>
            </w:r>
          </w:p>
        </w:tc>
      </w:tr>
      <w:tr>
        <w:tc>
          <w:tcPr/>
          <w:p>
            <w:pPr>
              <w:pStyle w:val="Compact"/>
              <w:jc w:val="left"/>
            </w:pPr>
            <w:r>
              <w:rPr>
                <w:b/>
                <w:bCs/>
              </w:rPr>
              <w:t xml:space="preserve">4. Preserve Practice Interest as separate</w:t>
            </w:r>
            <w:r>
              <w:t xml:space="preserve"> </w:t>
            </w:r>
            <w:r>
              <w:t xml:space="preserve">(baseline valuation; only post-agreement appreciation marital; no burdensome valuation)</w:t>
            </w:r>
          </w:p>
        </w:tc>
        <w:tc>
          <w:tcPr/>
          <w:p>
            <w:pPr>
              <w:pStyle w:val="Compact"/>
              <w:jc w:val="left"/>
            </w:pPr>
            <w:r>
              <w:t xml:space="preserve">All appreciation above $1.65M marital, 50/50 (§ 6.1(b))</w:t>
            </w:r>
          </w:p>
        </w:tc>
        <w:tc>
          <w:tcPr/>
          <w:p>
            <w:pPr>
              <w:pStyle w:val="Compact"/>
              <w:jc w:val="left"/>
            </w:pPr>
            <w:r>
              <w:t xml:space="preserve">Active/passive split — only active appreciation marital (§ 6.1); ~60% passive per Strand</w:t>
            </w:r>
          </w:p>
        </w:tc>
        <w:tc>
          <w:tcPr/>
          <w:p>
            <w:pPr>
              <w:pStyle w:val="Compact"/>
              <w:jc w:val="left"/>
            </w:pPr>
            <w:r>
              <w:rPr>
                <w:b/>
                <w:bCs/>
              </w:rPr>
              <w:t xml:space="preserve">Advanced in substance, burdened in procedure.</w:t>
            </w:r>
            <w:r>
              <w:t xml:space="preserve"> </w:t>
            </w:r>
            <w:r>
              <w:t xml:space="preserve">Accept in principle; streamline.</w:t>
            </w:r>
          </w:p>
        </w:tc>
      </w:tr>
      <w:tr>
        <w:tc>
          <w:tcPr/>
          <w:p>
            <w:pPr>
              <w:pStyle w:val="Compact"/>
              <w:jc w:val="left"/>
            </w:pPr>
            <w:r>
              <w:rPr>
                <w:b/>
                <w:bCs/>
              </w:rPr>
              <w:t xml:space="preserve">5. Long-term enforceability</w:t>
            </w:r>
            <w:r>
              <w:t xml:space="preserve"> </w:t>
            </w:r>
            <w:r>
              <w:t xml:space="preserve">(independent counsel; adequate time; no unconscionability; prevailing-party fees; Cook County venue; mutual-written-consent modification)</w:t>
            </w:r>
          </w:p>
        </w:tc>
        <w:tc>
          <w:tcPr/>
          <w:p>
            <w:pPr>
              <w:pStyle w:val="Compact"/>
              <w:jc w:val="left"/>
            </w:pPr>
            <w:r>
              <w:t xml:space="preserve">Prevailing-party fees (§ 13.2); Cook County (§ 15.2); mutual written consent (§ 14.1); voluntary-execution/fairness &amp; fiduciary-duty ack. (§ 15.9); no-pending-proceedings (§ 15.10)</w:t>
            </w:r>
          </w:p>
        </w:tc>
        <w:tc>
          <w:tcPr/>
          <w:p>
            <w:pPr>
              <w:pStyle w:val="Compact"/>
              <w:jc w:val="left"/>
            </w:pPr>
            <w:r>
              <w:t xml:space="preserve">Mutual fee waiver (§ 13.2); DuPage County (§ 15.2); unilateral modification by notice (§ 14.2); fiduciary-duty ack. and no-pending-proceedings dropped</w:t>
            </w:r>
          </w:p>
        </w:tc>
        <w:tc>
          <w:tcPr/>
          <w:p>
            <w:pPr>
              <w:pStyle w:val="Compact"/>
              <w:jc w:val="left"/>
            </w:pPr>
            <w:r>
              <w:rPr>
                <w:b/>
                <w:bCs/>
              </w:rPr>
              <w:t xml:space="preserve">Defeated on fees, venue, and modification; partially defeated on general provisions.</w:t>
            </w:r>
            <w:r>
              <w:t xml:space="preserve"> </w:t>
            </w:r>
            <w:r>
              <w:t xml:space="preserve">Reject/counter. Notarization and severability (added) are favorable.</w:t>
            </w:r>
          </w:p>
        </w:tc>
      </w:tr>
    </w:tbl>
    <w:p>
      <w:pPr>
        <w:pStyle w:val="BodyText"/>
      </w:pPr>
      <w:r>
        <w:t xml:space="preserve">The maintenance changes (three-year cap and $200,000 waiver) are favorable to the client but were not among her stated objectives — she asked for a five-year cap, and the Redline goes further. These should be treated as acceptable concessions to retain, not as offsets that justify accepting the adverse property changes.</w:t>
      </w:r>
    </w:p>
    <w:p>
      <w:r>
        <w:pict>
          <v:rect style="width:0;height:1.5pt" o:hralign="center" o:hrstd="t" o:hr="t"/>
        </w:pict>
      </w:r>
    </w:p>
    <w:bookmarkEnd w:id="42"/>
    <w:bookmarkStart w:id="43" w:name="X40d4ca3f3bd8d3b6fa29219a5d941324194b5c9"/>
    <w:p>
      <w:pPr>
        <w:pStyle w:val="Heading2"/>
      </w:pPr>
      <w:r>
        <w:t xml:space="preserve">VII. Assessment of Opposing Counsel’s Transmittal Email</w:t>
      </w:r>
    </w:p>
    <w:p>
      <w:pPr>
        <w:pStyle w:val="FirstParagraph"/>
      </w:pPr>
      <w:r>
        <w:t xml:space="preserve">Mr. Baxter’s January 6 email is cordial and minimizes the scope of the edits. He flags four items: (i) the severability clause; (ii) the notarization/witness blocks; (iii) the</w:t>
      </w:r>
      <w:r>
        <w:t xml:space="preserve"> </w:t>
      </w:r>
      <w:r>
        <w:t xml:space="preserve">“</w:t>
      </w:r>
      <w:r>
        <w:t xml:space="preserve">Constane</w:t>
      </w:r>
      <w:r>
        <w:t xml:space="preserve">”</w:t>
      </w:r>
      <w:r>
        <w:t xml:space="preserve"> </w:t>
      </w:r>
      <w:r>
        <w:t xml:space="preserve">→</w:t>
      </w:r>
      <w:r>
        <w:t xml:space="preserve"> </w:t>
      </w:r>
      <w:r>
        <w:t xml:space="preserve">“</w:t>
      </w:r>
      <w:r>
        <w:t xml:space="preserve">Constance</w:t>
      </w:r>
      <w:r>
        <w:t xml:space="preserve">”</w:t>
      </w:r>
      <w:r>
        <w:t xml:space="preserve"> </w:t>
      </w:r>
      <w:r>
        <w:t xml:space="preserve">correction; and (iv) a</w:t>
      </w:r>
      <w:r>
        <w:t xml:space="preserve"> </w:t>
      </w:r>
      <w:r>
        <w:t xml:space="preserve">“</w:t>
      </w:r>
      <w:r>
        <w:t xml:space="preserve">brief expression of the parties’ desire to preserve and strengthen their marriage.</w:t>
      </w:r>
      <w:r>
        <w:t xml:space="preserve">”</w:t>
      </w:r>
      <w:r>
        <w:t xml:space="preserve"> </w:t>
      </w:r>
      <w:r>
        <w:t xml:space="preserve">He then addresses two substantive items: the shorter sunset term and the DuPage venue. He closes by saying,</w:t>
      </w:r>
      <w:r>
        <w:t xml:space="preserve"> </w:t>
      </w:r>
      <w:r>
        <w:t xml:space="preserve">“</w:t>
      </w:r>
      <w:r>
        <w:t xml:space="preserve">I don’t think you’ll find anything in here that moves us far from where we started.</w:t>
      </w:r>
      <w:r>
        <w:t xml:space="preserve">”</w:t>
      </w:r>
    </w:p>
    <w:p>
      <w:pPr>
        <w:pStyle w:val="BodyText"/>
      </w:pPr>
      <w:r>
        <w:t xml:space="preserve">The email does</w:t>
      </w:r>
      <w:r>
        <w:t xml:space="preserve"> </w:t>
      </w:r>
      <w:r>
        <w:rPr>
          <w:b/>
          <w:bCs/>
        </w:rPr>
        <w:t xml:space="preserve">not</w:t>
      </w:r>
      <w:r>
        <w:t xml:space="preserve"> </w:t>
      </w:r>
      <w:r>
        <w:t xml:space="preserve">mention: the deletion of the $1.2 million reimbursement right; the reversal of the commingling/transmutation rule; the gutting of the voidability remedy; the unilateral modification mechanism; the $5,000 de minimis debt carve-out; the mutual fee waiver; the active/passive appreciation split; the coverture-fraction RSU treatment; the maintenance waiver; the Earned Income definition; the softened disclosure acknowledgments; or any of the factual errors. In other words, the email flags the benign edits and the two most defensible substantive asks, while omitting every change that materially shifts economics against the client.</w:t>
      </w:r>
    </w:p>
    <w:p>
      <w:pPr>
        <w:pStyle w:val="BodyText"/>
      </w:pPr>
      <w:r>
        <w:t xml:space="preserve">This pattern is significant for two reasons. First, it confirms the client’s stated concern — recorded in the intake memo — that Mr. Baxter might</w:t>
      </w:r>
      <w:r>
        <w:t xml:space="preserve"> </w:t>
      </w:r>
      <w:r>
        <w:t xml:space="preserve">“</w:t>
      </w:r>
      <w:r>
        <w:t xml:space="preserve">attempt to water down</w:t>
      </w:r>
      <w:r>
        <w:t xml:space="preserve">”</w:t>
      </w:r>
      <w:r>
        <w:t xml:space="preserve"> </w:t>
      </w:r>
      <w:r>
        <w:t xml:space="preserve">her protections and that we should</w:t>
      </w:r>
      <w:r>
        <w:t xml:space="preserve"> </w:t>
      </w:r>
      <w:r>
        <w:t xml:space="preserve">“</w:t>
      </w:r>
      <w:r>
        <w:t xml:space="preserve">scrutinize any counterproposals carefully for hidden or embedded terms that might undermine her core objectives.</w:t>
      </w:r>
      <w:r>
        <w:t xml:space="preserve">”</w:t>
      </w:r>
      <w:r>
        <w:t xml:space="preserve"> </w:t>
      </w:r>
      <w:r>
        <w:t xml:space="preserve">The Redline contains precisely such embedded terms. Second, the gap between the email’s conciliatory tone and the Redline’s substance is itself a negotiating point: we can fairly observe that the marked-up draft does not match the</w:t>
      </w:r>
      <w:r>
        <w:t xml:space="preserve"> </w:t>
      </w:r>
      <w:r>
        <w:t xml:space="preserve">“</w:t>
      </w:r>
      <w:r>
        <w:t xml:space="preserve">modest clarifications</w:t>
      </w:r>
      <w:r>
        <w:t xml:space="preserve">”</w:t>
      </w:r>
      <w:r>
        <w:t xml:space="preserve"> </w:t>
      </w:r>
      <w:r>
        <w:t xml:space="preserve">described in the cover email, and we can ask that the conference agenda reflect the actual scope of the open issues rather than the email’s abbreviated list.</w:t>
      </w:r>
    </w:p>
    <w:p>
      <w:r>
        <w:pict>
          <v:rect style="width:0;height:1.5pt" o:hralign="center" o:hrstd="t" o:hr="t"/>
        </w:pict>
      </w:r>
    </w:p>
    <w:bookmarkEnd w:id="43"/>
    <w:bookmarkStart w:id="44" w:name="Xbcc893ee407fd14a4ab455f9702c4f6edb072d8"/>
    <w:p>
      <w:pPr>
        <w:pStyle w:val="Heading2"/>
      </w:pPr>
      <w:r>
        <w:t xml:space="preserve">VIII. Enforceability and Scrutiny Considerations</w:t>
      </w:r>
    </w:p>
    <w:p>
      <w:pPr>
        <w:pStyle w:val="FirstParagraph"/>
      </w:pPr>
      <w:r>
        <w:t xml:space="preserve">Postnuptial agreements are enforceable in Illinois under 750 ILCS 5/502 but receive heightened scrutiny because of the fiduciary relationship between spouses. Courts examine both procedural fairness (independent counsel, adequate time, voluntariness) and substantive fairness at execution. The following enforceability points should guide our positions:</w:t>
      </w:r>
    </w:p>
    <w:p>
      <w:pPr>
        <w:pStyle w:val="Compact"/>
        <w:numPr>
          <w:ilvl w:val="0"/>
          <w:numId w:val="1007"/>
        </w:numPr>
      </w:pPr>
      <w:r>
        <w:rPr>
          <w:b/>
          <w:bCs/>
        </w:rPr>
        <w:t xml:space="preserve">Unilateral modification (§ 14.2).</w:t>
      </w:r>
      <w:r>
        <w:t xml:space="preserve"> </w:t>
      </w:r>
      <w:r>
        <w:t xml:space="preserve">Likely unenforceable as a unilateral amendment mechanism and inconsistent with the mutual-assent premise of the Agreement. Its presence also undermines the stability that supports enforceability. Remove it.</w:t>
      </w:r>
    </w:p>
    <w:p>
      <w:pPr>
        <w:pStyle w:val="Compact"/>
        <w:numPr>
          <w:ilvl w:val="0"/>
          <w:numId w:val="1007"/>
        </w:numPr>
      </w:pPr>
      <w:r>
        <w:rPr>
          <w:b/>
          <w:bCs/>
        </w:rPr>
        <w:t xml:space="preserve">Automatic/irrevocable maintenance waiver (§ 10.3).</w:t>
      </w:r>
      <w:r>
        <w:t xml:space="preserve"> </w:t>
      </w:r>
      <w:r>
        <w:t xml:space="preserve">Illinois permits maintenance waivers in postnuptial agreements if knowing and fair, but</w:t>
      </w:r>
      <w:r>
        <w:t xml:space="preserve"> </w:t>
      </w:r>
      <w:r>
        <w:t xml:space="preserve">“</w:t>
      </w:r>
      <w:r>
        <w:t xml:space="preserve">automatic and irrevocable</w:t>
      </w:r>
      <w:r>
        <w:t xml:space="preserve">”</w:t>
      </w:r>
      <w:r>
        <w:t xml:space="preserve"> </w:t>
      </w:r>
      <w:r>
        <w:t xml:space="preserve">language tied to an income threshold invites challenge. Soften to a court-administered waiver and define the income measure by a multi-year average to reduce manipulation risk.</w:t>
      </w:r>
    </w:p>
    <w:p>
      <w:pPr>
        <w:pStyle w:val="Compact"/>
        <w:numPr>
          <w:ilvl w:val="0"/>
          <w:numId w:val="1007"/>
        </w:numPr>
      </w:pPr>
      <w:r>
        <w:rPr>
          <w:b/>
          <w:bCs/>
        </w:rPr>
        <w:t xml:space="preserve">Weakened voidability (§ 12.2).</w:t>
      </w:r>
      <w:r>
        <w:t xml:space="preserve"> </w:t>
      </w:r>
      <w:r>
        <w:t xml:space="preserve">Paradoxically, the combination of the deleted reimbursement right, the commingling reversal, and the weakened voidability remedy pushes the Agreement toward substantive unfairness to Wife — which gives Wife a potential unconscionability argument if she later sought to set it aside. But the weakened voidability and the mutual fee waiver make such a challenge harder and more expensive to bring. The client’s goal is a fair, enforceable agreement that protects her — not one she would need to litigate to escape. The cleaner path is to negotiate fair terms now.</w:t>
      </w:r>
    </w:p>
    <w:p>
      <w:pPr>
        <w:pStyle w:val="Compact"/>
        <w:numPr>
          <w:ilvl w:val="0"/>
          <w:numId w:val="1007"/>
        </w:numPr>
      </w:pPr>
      <w:r>
        <w:rPr>
          <w:b/>
          <w:bCs/>
        </w:rPr>
        <w:t xml:space="preserve">Fiduciary-duty acknowledgment.</w:t>
      </w:r>
      <w:r>
        <w:t xml:space="preserve"> </w:t>
      </w:r>
      <w:r>
        <w:t xml:space="preserve">The Original Draft’s § 15.9 contained an express acknowledgment of the spousal fiduciary duty and good-faith dealing. This is valuable under 502 scrutiny and should be reinstated; its deletion is a step away from the provisions that support enforceability.</w:t>
      </w:r>
    </w:p>
    <w:p>
      <w:pPr>
        <w:pStyle w:val="Compact"/>
        <w:numPr>
          <w:ilvl w:val="0"/>
          <w:numId w:val="1007"/>
        </w:numPr>
      </w:pPr>
      <w:r>
        <w:rPr>
          <w:b/>
          <w:bCs/>
        </w:rPr>
        <w:t xml:space="preserve">Disclosure sufficiency.</w:t>
      </w:r>
      <w:r>
        <w:t xml:space="preserve"> </w:t>
      </w:r>
      <w:r>
        <w:t xml:space="preserve">The</w:t>
      </w:r>
      <w:r>
        <w:t xml:space="preserve"> </w:t>
      </w:r>
      <w:r>
        <w:t xml:space="preserve">“</w:t>
      </w:r>
      <w:r>
        <w:t xml:space="preserve">substantially</w:t>
      </w:r>
      <w:r>
        <w:t xml:space="preserve">”</w:t>
      </w:r>
      <w:r>
        <w:t xml:space="preserve"> </w:t>
      </w:r>
      <w:r>
        <w:t xml:space="preserve">and</w:t>
      </w:r>
      <w:r>
        <w:t xml:space="preserve"> </w:t>
      </w:r>
      <w:r>
        <w:t xml:space="preserve">“</w:t>
      </w:r>
      <w:r>
        <w:t xml:space="preserve">generally satisfied</w:t>
      </w:r>
      <w:r>
        <w:t xml:space="preserve">”</w:t>
      </w:r>
      <w:r>
        <w:t xml:space="preserve"> </w:t>
      </w:r>
      <w:r>
        <w:t xml:space="preserve">qualifiers weaken the disclosure representations that underpin enforceability. Restoring the</w:t>
      </w:r>
      <w:r>
        <w:t xml:space="preserve"> </w:t>
      </w:r>
      <w:r>
        <w:t xml:space="preserve">“</w:t>
      </w:r>
      <w:r>
        <w:t xml:space="preserve">full and complete</w:t>
      </w:r>
      <w:r>
        <w:t xml:space="preserve">”</w:t>
      </w:r>
      <w:r>
        <w:t xml:space="preserve"> </w:t>
      </w:r>
      <w:r>
        <w:t xml:space="preserve">/</w:t>
      </w:r>
      <w:r>
        <w:t xml:space="preserve"> </w:t>
      </w:r>
      <w:r>
        <w:t xml:space="preserve">“</w:t>
      </w:r>
      <w:r>
        <w:t xml:space="preserve">full and fair</w:t>
      </w:r>
      <w:r>
        <w:t xml:space="preserve">”</w:t>
      </w:r>
      <w:r>
        <w:t xml:space="preserve"> </w:t>
      </w:r>
      <w:r>
        <w:t xml:space="preserve">language both protects the client and strengthens the Agreement against a later disclosure-based challenge by either side.</w:t>
      </w:r>
    </w:p>
    <w:p>
      <w:r>
        <w:pict>
          <v:rect style="width:0;height:1.5pt" o:hralign="center" o:hrstd="t" o:hr="t"/>
        </w:pict>
      </w:r>
    </w:p>
    <w:bookmarkEnd w:id="44"/>
    <w:bookmarkStart w:id="51" w:name="X43a76a10e8dfc444277b4cac0b618b78daee867"/>
    <w:p>
      <w:pPr>
        <w:pStyle w:val="Heading2"/>
      </w:pPr>
      <w:r>
        <w:t xml:space="preserve">IX. Negotigation Strategy and Prioritized Recommendations</w:t>
      </w:r>
    </w:p>
    <w:p>
      <w:pPr>
        <w:pStyle w:val="FirstParagraph"/>
      </w:pPr>
      <w:r>
        <w:t xml:space="preserve">I recommend we return a clean counter-draft and a short, prioritized issue list for the January 27 conference. The positions below are ordered by priority.</w:t>
      </w:r>
    </w:p>
    <w:bookmarkStart w:id="45" w:name="X66499699173f259c118afea799bcb8989544f6c"/>
    <w:p>
      <w:pPr>
        <w:pStyle w:val="Heading3"/>
      </w:pPr>
      <w:r>
        <w:t xml:space="preserve">Tier 1 — Non-negotiables (reject; reinstate Original Draft)</w:t>
      </w:r>
    </w:p>
    <w:p>
      <w:pPr>
        <w:pStyle w:val="Compact"/>
        <w:numPr>
          <w:ilvl w:val="0"/>
          <w:numId w:val="1008"/>
        </w:numPr>
      </w:pPr>
      <w:r>
        <w:rPr>
          <w:b/>
          <w:bCs/>
        </w:rPr>
        <w:t xml:space="preserve">Premarital savings reimbursement right (§ 5.2).</w:t>
      </w:r>
      <w:r>
        <w:t xml:space="preserve"> </w:t>
      </w:r>
      <w:r>
        <w:t xml:space="preserve">Reinstate the $1.2 million first-priority reimbursement claim, corrected to account 3291. This is the client’s primary objective and the reason she engaged us.</w:t>
      </w:r>
    </w:p>
    <w:p>
      <w:pPr>
        <w:pStyle w:val="Compact"/>
        <w:numPr>
          <w:ilvl w:val="0"/>
          <w:numId w:val="1008"/>
        </w:numPr>
      </w:pPr>
      <w:r>
        <w:rPr>
          <w:b/>
          <w:bCs/>
        </w:rPr>
        <w:t xml:space="preserve">Voidability for non-disclosure (§§ 3.3, 12.2).</w:t>
      </w:r>
      <w:r>
        <w:t xml:space="preserve"> </w:t>
      </w:r>
      <w:r>
        <w:t xml:space="preserve">Reinstate the material-omission standard — no heightened evidentiary standard, no dollar threshold, no intent requirement. Reinstate the ongoing disclosure duty (§ 3.4) and the future-debt disclosure duty (§ 11.3).</w:t>
      </w:r>
    </w:p>
    <w:p>
      <w:pPr>
        <w:pStyle w:val="Compact"/>
        <w:numPr>
          <w:ilvl w:val="0"/>
          <w:numId w:val="1008"/>
        </w:numPr>
      </w:pPr>
      <w:r>
        <w:rPr>
          <w:b/>
          <w:bCs/>
        </w:rPr>
        <w:t xml:space="preserve">Modification (§ 14.1).</w:t>
      </w:r>
      <w:r>
        <w:t xml:space="preserve"> </w:t>
      </w:r>
      <w:r>
        <w:t xml:space="preserve">Reinstate mutual-written-consent requirement. Remove the unilateral-notice mechanism (§ 14.2) entirely.</w:t>
      </w:r>
    </w:p>
    <w:p>
      <w:pPr>
        <w:pStyle w:val="Compact"/>
        <w:numPr>
          <w:ilvl w:val="0"/>
          <w:numId w:val="1008"/>
        </w:numPr>
      </w:pPr>
      <w:r>
        <w:rPr>
          <w:b/>
          <w:bCs/>
        </w:rPr>
        <w:t xml:space="preserve">Commingling/transmutation (§ 4.3).</w:t>
      </w:r>
      <w:r>
        <w:t xml:space="preserve"> </w:t>
      </w:r>
      <w:r>
        <w:t xml:space="preserve">Reinstate the gift-to-the-marriage presumption for separate property used for joint household benefit, applicable to both parties. If a reimbursement framework is offered as a compromise, condition it on reinstatement of the premarital-savings reimbursement right and require contemporaneous documentation.</w:t>
      </w:r>
    </w:p>
    <w:bookmarkEnd w:id="45"/>
    <w:bookmarkStart w:id="46" w:name="tier-2-strong-preferences-counter-firmly"/>
    <w:p>
      <w:pPr>
        <w:pStyle w:val="Heading3"/>
      </w:pPr>
      <w:r>
        <w:t xml:space="preserve">Tier 2 — Strong preferences (counter firmly)</w:t>
      </w:r>
    </w:p>
    <w:p>
      <w:pPr>
        <w:pStyle w:val="Compact"/>
        <w:numPr>
          <w:ilvl w:val="0"/>
          <w:numId w:val="1009"/>
        </w:numPr>
      </w:pPr>
      <w:r>
        <w:rPr>
          <w:b/>
          <w:bCs/>
        </w:rPr>
        <w:t xml:space="preserve">Debt indemnity (§ 11.2).</w:t>
      </w:r>
      <w:r>
        <w:t xml:space="preserve"> </w:t>
      </w:r>
      <w:r>
        <w:t xml:space="preserve">Remove the $5,000 de minimis carve-out; reinstate</w:t>
      </w:r>
      <w:r>
        <w:t xml:space="preserve"> </w:t>
      </w:r>
      <w:r>
        <w:t xml:space="preserve">“</w:t>
      </w:r>
      <w:r>
        <w:t xml:space="preserve">without limitation as to the amount or nature of individual claims.</w:t>
      </w:r>
      <w:r>
        <w:t xml:space="preserve">”</w:t>
      </w:r>
      <w:r>
        <w:t xml:space="preserve"> </w:t>
      </w:r>
      <w:r>
        <w:t xml:space="preserve">Retain the 24-month payoff deadline and quarterly statements.</w:t>
      </w:r>
    </w:p>
    <w:p>
      <w:pPr>
        <w:pStyle w:val="Compact"/>
        <w:numPr>
          <w:ilvl w:val="0"/>
          <w:numId w:val="1009"/>
        </w:numPr>
      </w:pPr>
      <w:r>
        <w:rPr>
          <w:b/>
          <w:bCs/>
        </w:rPr>
        <w:t xml:space="preserve">Attorney’s fees (§ 13.2).</w:t>
      </w:r>
      <w:r>
        <w:t xml:space="preserve"> </w:t>
      </w:r>
      <w:r>
        <w:t xml:space="preserve">Reinstate prevailing-party fee-shifting, or compromise on fee-shifting for willful breach / bad-faith challenge.</w:t>
      </w:r>
    </w:p>
    <w:p>
      <w:pPr>
        <w:pStyle w:val="Compact"/>
        <w:numPr>
          <w:ilvl w:val="0"/>
          <w:numId w:val="1009"/>
        </w:numPr>
      </w:pPr>
      <w:r>
        <w:rPr>
          <w:b/>
          <w:bCs/>
        </w:rPr>
        <w:t xml:space="preserve">Venue (§ 15.2).</w:t>
      </w:r>
      <w:r>
        <w:t xml:space="preserve"> </w:t>
      </w:r>
      <w:r>
        <w:t xml:space="preserve">Reinstate Cook County.</w:t>
      </w:r>
    </w:p>
    <w:p>
      <w:pPr>
        <w:pStyle w:val="Compact"/>
        <w:numPr>
          <w:ilvl w:val="0"/>
          <w:numId w:val="1009"/>
        </w:numPr>
      </w:pPr>
      <w:r>
        <w:rPr>
          <w:b/>
          <w:bCs/>
        </w:rPr>
        <w:t xml:space="preserve">Sunset (§ 15.5).</w:t>
      </w:r>
      <w:r>
        <w:t xml:space="preserve"> </w:t>
      </w:r>
      <w:r>
        <w:t xml:space="preserve">Reinstate a fifteen-year term (to ~2040) with five-year mutual renewal, or at minimum a term through Julian’s 18th birthday (~2034). Reject the seven-year sunset.</w:t>
      </w:r>
    </w:p>
    <w:p>
      <w:pPr>
        <w:pStyle w:val="Compact"/>
        <w:numPr>
          <w:ilvl w:val="0"/>
          <w:numId w:val="1009"/>
        </w:numPr>
      </w:pPr>
      <w:r>
        <w:rPr>
          <w:b/>
          <w:bCs/>
        </w:rPr>
        <w:t xml:space="preserve">RSUs (§ 7.1).</w:t>
      </w:r>
      <w:r>
        <w:t xml:space="preserve"> </w:t>
      </w:r>
      <w:r>
        <w:t xml:space="preserve">Revert to 100%-marital / 50-50 division (the grant and full vesting period are within the marriage). If coverture is retained, define the Relevant Service Period as grant-to-vesting. Accept the net-after-tax treatment.</w:t>
      </w:r>
    </w:p>
    <w:p>
      <w:pPr>
        <w:pStyle w:val="Compact"/>
        <w:numPr>
          <w:ilvl w:val="0"/>
          <w:numId w:val="1009"/>
        </w:numPr>
      </w:pPr>
      <w:r>
        <w:rPr>
          <w:b/>
          <w:bCs/>
        </w:rPr>
        <w:t xml:space="preserve">Marital residence (§ 9.2).</w:t>
      </w:r>
      <w:r>
        <w:t xml:space="preserve"> </w:t>
      </w:r>
      <w:r>
        <w:t xml:space="preserve">Restore the 24-month buyout period, the three-appraiser fallback, and condition Husband’s matching right on Wife’s affirmative non-election. Accept the lien and AFR interest.</w:t>
      </w:r>
    </w:p>
    <w:p>
      <w:pPr>
        <w:pStyle w:val="Compact"/>
        <w:numPr>
          <w:ilvl w:val="0"/>
          <w:numId w:val="1009"/>
        </w:numPr>
      </w:pPr>
      <w:r>
        <w:rPr>
          <w:b/>
          <w:bCs/>
        </w:rPr>
        <w:t xml:space="preserve">Deleted protective provisions.</w:t>
      </w:r>
      <w:r>
        <w:t xml:space="preserve"> </w:t>
      </w:r>
      <w:r>
        <w:t xml:space="preserve">Reinstate the during-marriage mortgage/encumbrance provisions (§ 9.4), the other-debt consent threshold (§ 11.2 orig.), the maintenance termination events (§ 10.4 orig.), and the general provisions (§§ 15.6, 15.8, 15.9, 15.10), especially the fiduciary-duty acknowledgment.</w:t>
      </w:r>
    </w:p>
    <w:p>
      <w:pPr>
        <w:pStyle w:val="Compact"/>
        <w:numPr>
          <w:ilvl w:val="0"/>
          <w:numId w:val="1009"/>
        </w:numPr>
      </w:pPr>
      <w:r>
        <w:rPr>
          <w:b/>
          <w:bCs/>
        </w:rPr>
        <w:t xml:space="preserve">Disclosure qualifiers.</w:t>
      </w:r>
      <w:r>
        <w:t xml:space="preserve"> </w:t>
      </w:r>
      <w:r>
        <w:t xml:space="preserve">Strike</w:t>
      </w:r>
      <w:r>
        <w:t xml:space="preserve"> </w:t>
      </w:r>
      <w:r>
        <w:t xml:space="preserve">“</w:t>
      </w:r>
      <w:r>
        <w:t xml:space="preserve">substantially</w:t>
      </w:r>
      <w:r>
        <w:t xml:space="preserve">”</w:t>
      </w:r>
      <w:r>
        <w:t xml:space="preserve"> </w:t>
      </w:r>
      <w:r>
        <w:t xml:space="preserve">and</w:t>
      </w:r>
      <w:r>
        <w:t xml:space="preserve"> </w:t>
      </w:r>
      <w:r>
        <w:t xml:space="preserve">“</w:t>
      </w:r>
      <w:r>
        <w:t xml:space="preserve">generally satisfied</w:t>
      </w:r>
      <w:r>
        <w:t xml:space="preserve">”</w:t>
      </w:r>
      <w:r>
        <w:t xml:space="preserve">; restore</w:t>
      </w:r>
      <w:r>
        <w:t xml:space="preserve"> </w:t>
      </w:r>
      <w:r>
        <w:t xml:space="preserve">“</w:t>
      </w:r>
      <w:r>
        <w:t xml:space="preserve">full and complete</w:t>
      </w:r>
      <w:r>
        <w:t xml:space="preserve">”</w:t>
      </w:r>
      <w:r>
        <w:t xml:space="preserve"> </w:t>
      </w:r>
      <w:r>
        <w:t xml:space="preserve">/</w:t>
      </w:r>
      <w:r>
        <w:t xml:space="preserve"> </w:t>
      </w:r>
      <w:r>
        <w:t xml:space="preserve">“</w:t>
      </w:r>
      <w:r>
        <w:t xml:space="preserve">full and fair.</w:t>
      </w:r>
      <w:r>
        <w:t xml:space="preserve">”</w:t>
      </w:r>
    </w:p>
    <w:bookmarkEnd w:id="46"/>
    <w:bookmarkStart w:id="47" w:name="Xb80afddd6747c8121788bbea7a90cebf25fe396"/>
    <w:p>
      <w:pPr>
        <w:pStyle w:val="Heading3"/>
      </w:pPr>
      <w:r>
        <w:t xml:space="preserve">Tier 3 — Acceptable concessions (accept, with cleanup)</w:t>
      </w:r>
    </w:p>
    <w:p>
      <w:pPr>
        <w:pStyle w:val="Compact"/>
        <w:numPr>
          <w:ilvl w:val="0"/>
          <w:numId w:val="1010"/>
        </w:numPr>
      </w:pPr>
      <w:r>
        <w:rPr>
          <w:b/>
          <w:bCs/>
        </w:rPr>
        <w:t xml:space="preserve">Maintenance cap and waiver (§§ 10.2–10.3).</w:t>
      </w:r>
      <w:r>
        <w:t xml:space="preserve"> </w:t>
      </w:r>
      <w:r>
        <w:t xml:space="preserve">Accept the three-year cap and the $200,000 waiver in principle; soften</w:t>
      </w:r>
      <w:r>
        <w:t xml:space="preserve"> </w:t>
      </w:r>
      <w:r>
        <w:t xml:space="preserve">“</w:t>
      </w:r>
      <w:r>
        <w:t xml:space="preserve">automatic and irrevocable</w:t>
      </w:r>
      <w:r>
        <w:t xml:space="preserve">”</w:t>
      </w:r>
      <w:r>
        <w:t xml:space="preserve"> </w:t>
      </w:r>
      <w:r>
        <w:t xml:space="preserve">to a court-administered waiver; define income by a multi-year average; revert the calculation base to Gross Income. Model the Earned-Income vs. Gross-Income effect before the conference.</w:t>
      </w:r>
    </w:p>
    <w:p>
      <w:pPr>
        <w:pStyle w:val="Compact"/>
        <w:numPr>
          <w:ilvl w:val="0"/>
          <w:numId w:val="1010"/>
        </w:numPr>
      </w:pPr>
      <w:r>
        <w:rPr>
          <w:b/>
          <w:bCs/>
        </w:rPr>
        <w:t xml:space="preserve">Practice interest active/passive split (§ 6.1).</w:t>
      </w:r>
      <w:r>
        <w:t xml:space="preserve"> </w:t>
      </w:r>
      <w:r>
        <w:t xml:space="preserve">Accept in principle; streamline by incorporating the Strand 60/40 framework as the default methodology, or adopt a fixed 40%-marital / 60%-separate bright-line split to avoid a second expert valuation.</w:t>
      </w:r>
    </w:p>
    <w:bookmarkEnd w:id="47"/>
    <w:bookmarkStart w:id="48" w:name="tier-4-accept-as-drafted"/>
    <w:p>
      <w:pPr>
        <w:pStyle w:val="Heading3"/>
      </w:pPr>
      <w:r>
        <w:t xml:space="preserve">Tier 4 — Accept as drafted</w:t>
      </w:r>
    </w:p>
    <w:p>
      <w:pPr>
        <w:pStyle w:val="Compact"/>
        <w:numPr>
          <w:ilvl w:val="0"/>
          <w:numId w:val="1011"/>
        </w:numPr>
      </w:pPr>
      <w:r>
        <w:rPr>
          <w:b/>
          <w:bCs/>
        </w:rPr>
        <w:t xml:space="preserve">Severability (§ 15.3); notarization and witness blocks (Art. XVI);</w:t>
      </w:r>
      <w:r>
        <w:rPr>
          <w:b/>
          <w:bCs/>
        </w:rPr>
        <w:t xml:space="preserve"> </w:t>
      </w:r>
      <w:r>
        <w:rPr>
          <w:b/>
          <w:bCs/>
        </w:rPr>
        <w:t xml:space="preserve">“</w:t>
      </w:r>
      <w:r>
        <w:rPr>
          <w:b/>
          <w:bCs/>
        </w:rPr>
        <w:t xml:space="preserve">Constance</w:t>
      </w:r>
      <w:r>
        <w:rPr>
          <w:b/>
          <w:bCs/>
        </w:rPr>
        <w:t xml:space="preserve">”</w:t>
      </w:r>
      <w:r>
        <w:rPr>
          <w:b/>
          <w:bCs/>
        </w:rPr>
        <w:t xml:space="preserve"> </w:t>
      </w:r>
      <w:r>
        <w:rPr>
          <w:b/>
          <w:bCs/>
        </w:rPr>
        <w:t xml:space="preserve">correction; hire date and office address.</w:t>
      </w:r>
      <w:r>
        <w:t xml:space="preserve"> </w:t>
      </w:r>
      <w:r>
        <w:t xml:space="preserve">Accept. Verify</w:t>
      </w:r>
      <w:r>
        <w:t xml:space="preserve"> </w:t>
      </w:r>
      <w:r>
        <w:t xml:space="preserve">“</w:t>
      </w:r>
      <w:r>
        <w:t xml:space="preserve">(née Albrecht)</w:t>
      </w:r>
      <w:r>
        <w:t xml:space="preserve">”</w:t>
      </w:r>
      <w:r>
        <w:t xml:space="preserve"> </w:t>
      </w:r>
      <w:r>
        <w:t xml:space="preserve">before inclusion.</w:t>
      </w:r>
    </w:p>
    <w:bookmarkEnd w:id="48"/>
    <w:bookmarkStart w:id="49" w:name="Xed3534529b2dcadf397ae3254aaed6b12a59736"/>
    <w:p>
      <w:pPr>
        <w:pStyle w:val="Heading3"/>
      </w:pPr>
      <w:r>
        <w:t xml:space="preserve">Factual corrections (apply across the counter-draft)</w:t>
      </w:r>
    </w:p>
    <w:p>
      <w:pPr>
        <w:pStyle w:val="Compact"/>
        <w:numPr>
          <w:ilvl w:val="0"/>
          <w:numId w:val="1012"/>
        </w:numPr>
      </w:pPr>
      <w:r>
        <w:t xml:space="preserve">Correct all items in the Section V table, with the Linden &amp; Fosse schedules controlling. Add the ~$145,000 annual Practice distributions to the income disclosure. Add the automobiles and personal property to the schedules. Confirm the decedent’s date of death and the children’s dates of birth against source documents before finalizing.</w:t>
      </w:r>
    </w:p>
    <w:bookmarkEnd w:id="49"/>
    <w:bookmarkStart w:id="50" w:name="negotiating-framing"/>
    <w:p>
      <w:pPr>
        <w:pStyle w:val="Heading3"/>
      </w:pPr>
      <w:r>
        <w:t xml:space="preserve">Negotiating framing</w:t>
      </w:r>
    </w:p>
    <w:p>
      <w:pPr>
        <w:pStyle w:val="Compact"/>
        <w:numPr>
          <w:ilvl w:val="0"/>
          <w:numId w:val="1013"/>
        </w:numPr>
      </w:pPr>
      <w:r>
        <w:rPr>
          <w:b/>
          <w:bCs/>
        </w:rPr>
        <w:t xml:space="preserve">Lead with the email-vs.-Redline gap.</w:t>
      </w:r>
      <w:r>
        <w:t xml:space="preserve"> </w:t>
      </w:r>
      <w:r>
        <w:t xml:space="preserve">Open the conference by noting that the marked-up draft goes well beyond the</w:t>
      </w:r>
      <w:r>
        <w:t xml:space="preserve"> </w:t>
      </w:r>
      <w:r>
        <w:t xml:space="preserve">“</w:t>
      </w:r>
      <w:r>
        <w:t xml:space="preserve">modest clarifications</w:t>
      </w:r>
      <w:r>
        <w:t xml:space="preserve">”</w:t>
      </w:r>
      <w:r>
        <w:t xml:space="preserve"> </w:t>
      </w:r>
      <w:r>
        <w:t xml:space="preserve">described in the cover email and that we have prepared a clean counter-draft addressing the actual scope of changes. This sets a tone of careful review and signals that embedded terms have been identified.</w:t>
      </w:r>
    </w:p>
    <w:p>
      <w:pPr>
        <w:pStyle w:val="Compact"/>
        <w:numPr>
          <w:ilvl w:val="0"/>
          <w:numId w:val="1013"/>
        </w:numPr>
      </w:pPr>
      <w:r>
        <w:rPr>
          <w:b/>
          <w:bCs/>
        </w:rPr>
        <w:t xml:space="preserve">Package the maintenance concessions as ours to keep, not theirs to trade.</w:t>
      </w:r>
      <w:r>
        <w:t xml:space="preserve"> </w:t>
      </w:r>
      <w:r>
        <w:t xml:space="preserve">The three-year cap and $200,000 waiver favor Wife; we should retain them but decline to treat them as consideration for accepting adverse property changes. The property changes (reimbursement deletion, commingling reversal, voidability) are far larger in economic terms than the maintenance concessions.</w:t>
      </w:r>
    </w:p>
    <w:p>
      <w:pPr>
        <w:pStyle w:val="Compact"/>
        <w:numPr>
          <w:ilvl w:val="0"/>
          <w:numId w:val="1013"/>
        </w:numPr>
      </w:pPr>
      <w:r>
        <w:rPr>
          <w:b/>
          <w:bCs/>
        </w:rPr>
        <w:t xml:space="preserve">Quantify the stakes.</w:t>
      </w:r>
      <w:r>
        <w:t xml:space="preserve"> </w:t>
      </w:r>
      <w:r>
        <w:t xml:space="preserve">Be prepared to state the dollars: the reimbursement deletion costs Wife ~$265,000 of traceable principal on the current Joint Investment Account value; the commingling reversal exposes up to $3.8 million of inheritance to one-way protection; the $100,000 voidability threshold would shield the documented $68,000 concealment. Concrete figures make the imbalance undeniable.</w:t>
      </w:r>
    </w:p>
    <w:p>
      <w:pPr>
        <w:pStyle w:val="Compact"/>
        <w:numPr>
          <w:ilvl w:val="0"/>
          <w:numId w:val="1013"/>
        </w:numPr>
      </w:pPr>
      <w:r>
        <w:rPr>
          <w:b/>
          <w:bCs/>
        </w:rPr>
        <w:t xml:space="preserve">Keep the issue list short.</w:t>
      </w:r>
      <w:r>
        <w:t xml:space="preserve"> </w:t>
      </w:r>
      <w:r>
        <w:t xml:space="preserve">Aim to walk into the 27th with a one-page list of Tier 1 and Tier 2 items, having pre-accepted Tier 3 and Tier 4. Reserve the four-way session for the genuine disputes.</w:t>
      </w:r>
    </w:p>
    <w:p>
      <w:r>
        <w:pict>
          <v:rect style="width:0;height:1.5pt" o:hralign="center" o:hrstd="t" o:hr="t"/>
        </w:pict>
      </w:r>
    </w:p>
    <w:bookmarkEnd w:id="50"/>
    <w:bookmarkEnd w:id="51"/>
    <w:bookmarkStart w:id="52" w:name="Xaaff207ed5303c5be024a0867d6660cd221ca05"/>
    <w:p>
      <w:pPr>
        <w:pStyle w:val="Heading2"/>
      </w:pPr>
      <w:r>
        <w:t xml:space="preserve">X. Recommended Position for the January 27, 2025 Four-Way Conference</w:t>
      </w:r>
    </w:p>
    <w:p>
      <w:pPr>
        <w:pStyle w:val="Compact"/>
        <w:numPr>
          <w:ilvl w:val="0"/>
          <w:numId w:val="1014"/>
        </w:numPr>
      </w:pPr>
      <w:r>
        <w:rPr>
          <w:b/>
          <w:bCs/>
        </w:rPr>
        <w:t xml:space="preserve">Deliver a clean counter-draft</w:t>
      </w:r>
      <w:r>
        <w:t xml:space="preserve"> </w:t>
      </w:r>
      <w:r>
        <w:t xml:space="preserve">before the conference that (a) reinstates all Tier 1 and Tier 2 provisions, (b) accepts Tier 3 and Tier 4, (c) corrects all Section V factual errors, and (d) is accompanied by a one-page issue list.</w:t>
      </w:r>
    </w:p>
    <w:p>
      <w:pPr>
        <w:pStyle w:val="Compact"/>
        <w:numPr>
          <w:ilvl w:val="0"/>
          <w:numId w:val="1014"/>
        </w:numPr>
      </w:pPr>
      <w:r>
        <w:rPr>
          <w:b/>
          <w:bCs/>
        </w:rPr>
        <w:t xml:space="preserve">Advise the client in advance</w:t>
      </w:r>
      <w:r>
        <w:t xml:space="preserve"> </w:t>
      </w:r>
      <w:r>
        <w:t xml:space="preserve">that several of Husband’s proposals — particularly the reimbursement deletion, the voidability changes, and the unilateral modification mechanism — are non-starters, and that the conference may not resolve all items. Manage expectations on timing; the email’s</w:t>
      </w:r>
      <w:r>
        <w:t xml:space="preserve"> </w:t>
      </w:r>
      <w:r>
        <w:t xml:space="preserve">“</w:t>
      </w:r>
      <w:r>
        <w:t xml:space="preserve">move toward execution shortly thereafter</w:t>
      </w:r>
      <w:r>
        <w:t xml:space="preserve">”</w:t>
      </w:r>
      <w:r>
        <w:t xml:space="preserve"> </w:t>
      </w:r>
      <w:r>
        <w:t xml:space="preserve">is optimistic given the gap.</w:t>
      </w:r>
    </w:p>
    <w:p>
      <w:pPr>
        <w:pStyle w:val="Compact"/>
        <w:numPr>
          <w:ilvl w:val="0"/>
          <w:numId w:val="1014"/>
        </w:numPr>
      </w:pPr>
      <w:r>
        <w:rPr>
          <w:b/>
          <w:bCs/>
        </w:rPr>
        <w:t xml:space="preserve">At the conference</w:t>
      </w:r>
      <w:r>
        <w:t xml:space="preserve">, work the Tier 1 items first. If Husband will not reinstate the reimbursement right and the material-omission voidability standard, those are the items that will determine whether the Agreement can be finalized at all.</w:t>
      </w:r>
    </w:p>
    <w:p>
      <w:pPr>
        <w:pStyle w:val="Compact"/>
        <w:numPr>
          <w:ilvl w:val="0"/>
          <w:numId w:val="1014"/>
        </w:numPr>
      </w:pPr>
      <w:r>
        <w:rPr>
          <w:b/>
          <w:bCs/>
        </w:rPr>
        <w:t xml:space="preserve">On maintenance</w:t>
      </w:r>
      <w:r>
        <w:t xml:space="preserve">, present the modeled Earned-Income vs. Gross-Income figures and propose the softened waiver language. This is the area most likely to close quickly.</w:t>
      </w:r>
    </w:p>
    <w:p>
      <w:pPr>
        <w:pStyle w:val="Compact"/>
        <w:numPr>
          <w:ilvl w:val="0"/>
          <w:numId w:val="1014"/>
        </w:numPr>
      </w:pPr>
      <w:r>
        <w:rPr>
          <w:b/>
          <w:bCs/>
        </w:rPr>
        <w:t xml:space="preserve">On the practice interest</w:t>
      </w:r>
      <w:r>
        <w:t xml:space="preserve">, offer the fixed 40/60 bright-line split as the streamlined alternative to a second expert valuation; it addresses both Husband’s active/passive concern and the client’s burden concern.</w:t>
      </w:r>
    </w:p>
    <w:p>
      <w:pPr>
        <w:pStyle w:val="Compact"/>
        <w:numPr>
          <w:ilvl w:val="0"/>
          <w:numId w:val="1014"/>
        </w:numPr>
      </w:pPr>
      <w:r>
        <w:rPr>
          <w:b/>
          <w:bCs/>
        </w:rPr>
        <w:t xml:space="preserve">On the residence, sunset, venue, fees, and debt</w:t>
      </w:r>
      <w:r>
        <w:t xml:space="preserve">, present the Tier 2 positions as a package; several are low-cost for Husband to concede (venue, fees structure) and can be traded against our acceptance of the maintenance and practice-interest terms.</w:t>
      </w:r>
    </w:p>
    <w:p>
      <w:pPr>
        <w:pStyle w:val="Compact"/>
        <w:numPr>
          <w:ilvl w:val="0"/>
          <w:numId w:val="1014"/>
        </w:numPr>
      </w:pPr>
      <w:r>
        <w:rPr>
          <w:b/>
          <w:bCs/>
        </w:rPr>
        <w:t xml:space="preserve">Do not finalize</w:t>
      </w:r>
      <w:r>
        <w:t xml:space="preserve"> </w:t>
      </w:r>
      <w:r>
        <w:t xml:space="preserve">until the decedent’s date of death and the children’s dates of birth are confirmed against source documents and all Section V factual corrections are accepted.</w:t>
      </w:r>
    </w:p>
    <w:p>
      <w:r>
        <w:pict>
          <v:rect style="width:0;height:1.5pt" o:hralign="center" o:hrstd="t" o:hr="t"/>
        </w:pict>
      </w:r>
    </w:p>
    <w:bookmarkEnd w:id="52"/>
    <w:bookmarkStart w:id="53" w:name="xi.-conclusion"/>
    <w:p>
      <w:pPr>
        <w:pStyle w:val="Heading2"/>
      </w:pPr>
      <w:r>
        <w:t xml:space="preserve">XI. Conclusion</w:t>
      </w:r>
    </w:p>
    <w:p>
      <w:pPr>
        <w:pStyle w:val="FirstParagraph"/>
      </w:pPr>
      <w:r>
        <w:t xml:space="preserve">The Redline is a substantial reworking of the Agreement, not a clarification pass. Its most significant changes — deletion of the premarital savings reimbursement right, reversal of the commingling rule, evisceration of the voidability remedy, and insertion of a unilateral modification mechanism — each strike at the client’s core objectives, and the cover email does not disclose them. At the same time, the Redline offers several changes we can accept or improve (maintenance cap and waiver, active/passive appreciation, severability, notarization), and it corrects one genuine error (the decedent’s name) while introducing a number of new factual errors that must be fixed.</w:t>
      </w:r>
    </w:p>
    <w:p>
      <w:pPr>
        <w:pStyle w:val="BodyText"/>
      </w:pPr>
      <w:r>
        <w:t xml:space="preserve">I recommend we prepare a clean counter-draft along the Tier 1–4 framework above, correct the factual record, model the maintenance calculation, and walk into the January 27 conference with a short, prioritized issue list and a firm position on the non-negotiables. I am available to prepare the counter-draft and the modeling immediately upon your approval.</w:t>
      </w:r>
    </w:p>
    <w:p>
      <w:pPr>
        <w:pStyle w:val="BodyText"/>
      </w:pPr>
      <w:r>
        <w:rPr>
          <w:i/>
          <w:iCs/>
        </w:rPr>
        <w:t xml:space="preserve">This memorandum is prepared for the internal use of Kessler, Odom &amp; Pratt LLP and is protected by the attorney-client privilege and the work product doctrine. It should not be disclosed to any person outside the firm without prior authorization from the supervising partner.</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2026-06-26T23:50:44Z</dcterms:created>
  <dcterms:modified xsi:type="dcterms:W3CDTF">2026-06-26T23:50:44Z</dcterms:modified>
</cp:coreProperties>
</file>

<file path=docProps/custom.xml><?xml version="1.0" encoding="utf-8"?>
<Properties xmlns="http://schemas.openxmlformats.org/officeDocument/2006/custom-properties" xmlns:vt="http://schemas.openxmlformats.org/officeDocument/2006/docPropsVTypes"/>
</file>