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kessler-odom-pratt-llp"/>
    <w:p>
      <w:pPr>
        <w:pStyle w:val="Heading1"/>
      </w:pPr>
      <w:r>
        <w:t xml:space="preserve">KESSLER, ODOM &amp; PRATT LLP</w:t>
      </w:r>
    </w:p>
    <w:p>
      <w:pPr>
        <w:pStyle w:val="FirstParagraph"/>
      </w:pPr>
      <w:r>
        <w:rPr>
          <w:b/>
          <w:bCs/>
        </w:rPr>
        <w:t xml:space="preserve">210 South Wacker Drive, Suite 2400 | Chicago, Illinois 60606</w:t>
      </w:r>
    </w:p>
    <w:p>
      <w:pPr>
        <w:pStyle w:val="BodyText"/>
      </w:pPr>
      <w:r>
        <w:rPr>
          <w:b/>
          <w:bCs/>
        </w:rPr>
        <w:t xml:space="preserve">PRIVILEGED AND CONFIDENTIAL — ATTORNEY-CLIENT COMMUNICATION / ATTORNEY WORK PRODUCT</w:t>
      </w:r>
    </w:p>
    <w:p>
      <w:r>
        <w:pict>
          <v:rect style="width:0;height:1.5pt" o:hralign="center" o:hrstd="t" o:hr="t"/>
        </w:pict>
      </w:r>
    </w:p>
    <w:bookmarkStart w:id="20" w:name="memorandum"/>
    <w:p>
      <w:pPr>
        <w:pStyle w:val="Heading2"/>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Odom, Partner</w:t>
            </w:r>
          </w:p>
        </w:tc>
      </w:tr>
      <w:tr>
        <w:tc>
          <w:tcPr/>
          <w:p>
            <w:pPr>
              <w:pStyle w:val="Compact"/>
              <w:jc w:val="left"/>
            </w:pPr>
            <w:r>
              <w:rPr>
                <w:b/>
                <w:bCs/>
              </w:rPr>
              <w:t xml:space="preserve">FROM:</w:t>
            </w:r>
          </w:p>
        </w:tc>
        <w:tc>
          <w:tcPr/>
          <w:p>
            <w:pPr>
              <w:pStyle w:val="Compact"/>
              <w:jc w:val="left"/>
            </w:pPr>
            <w:r>
              <w:t xml:space="preserve">Alejandro Reyes, Associate</w:t>
            </w:r>
          </w:p>
        </w:tc>
      </w:tr>
      <w:tr>
        <w:tc>
          <w:tcPr/>
          <w:p>
            <w:pPr>
              <w:pStyle w:val="Compact"/>
              <w:jc w:val="left"/>
            </w:pPr>
            <w:r>
              <w:rPr>
                <w:b/>
                <w:bCs/>
              </w:rPr>
              <w:t xml:space="preserve">DATE:</w:t>
            </w:r>
          </w:p>
        </w:tc>
        <w:tc>
          <w:tcPr/>
          <w:p>
            <w:pPr>
              <w:pStyle w:val="Compact"/>
              <w:jc w:val="left"/>
            </w:pPr>
            <w:r>
              <w:t xml:space="preserve">January 9, 2025</w:t>
            </w:r>
          </w:p>
        </w:tc>
      </w:tr>
      <w:tr>
        <w:tc>
          <w:tcPr/>
          <w:p>
            <w:pPr>
              <w:pStyle w:val="Compact"/>
              <w:jc w:val="left"/>
            </w:pPr>
            <w:r>
              <w:rPr>
                <w:b/>
                <w:bCs/>
              </w:rPr>
              <w:t xml:space="preserve">RE:</w:t>
            </w:r>
          </w:p>
        </w:tc>
        <w:tc>
          <w:tcPr/>
          <w:p>
            <w:pPr>
              <w:pStyle w:val="Compact"/>
              <w:jc w:val="left"/>
            </w:pPr>
            <w:r>
              <w:t xml:space="preserve">Veselka-Thornton / Thornton — Review of Husband’s Counsel’s Redlined Postnuptial Agreement; Change Analysis and Negotiation Strategy for the January 27 Four-Way Conference</w:t>
            </w:r>
          </w:p>
        </w:tc>
      </w:tr>
    </w:tbl>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reviews the redlined postnuptial agreement transmitted by Thomas Baxter of Hargrove Baxter LLP on January 6, 2025 (the</w:t>
      </w:r>
      <w:r>
        <w:t xml:space="preserve"> </w:t>
      </w:r>
      <w:r>
        <w:t xml:space="preserve">“</w:t>
      </w:r>
      <w:r>
        <w:t xml:space="preserve">Redline</w:t>
      </w:r>
      <w:r>
        <w:t xml:space="preserve">”</w:t>
      </w:r>
      <w:r>
        <w:t xml:space="preserve">) against (a) our initial draft transmitted to opposing counsel on December 16, 2024 (the</w:t>
      </w:r>
      <w:r>
        <w:t xml:space="preserve"> </w:t>
      </w:r>
      <w:r>
        <w:t xml:space="preserve">“</w:t>
      </w:r>
      <w:r>
        <w:t xml:space="preserve">Original Draft</w:t>
      </w:r>
      <w:r>
        <w:t xml:space="preserve">”</w:t>
      </w:r>
      <w:r>
        <w:t xml:space="preserve">), and (b) the supporting record in this matter. It identifies every material change, flags factual discrepancies between the Redline and the supporting documents, quantifies the financial impact on our client where possible, and sets out a tiered negotiation strategy for the four-way conference scheduled for January 27, 2025.</w:t>
      </w:r>
    </w:p>
    <w:p>
      <w:pPr>
        <w:pStyle w:val="BodyText"/>
      </w:pPr>
      <w:r>
        <w:t xml:space="preserve">Our client is Diane Veselka-Thornton (</w:t>
      </w:r>
      <w:r>
        <w:t xml:space="preserve">“</w:t>
      </w:r>
      <w:r>
        <w:t xml:space="preserve">Wife</w:t>
      </w:r>
      <w:r>
        <w:t xml:space="preserve">”</w:t>
      </w:r>
      <w:r>
        <w:t xml:space="preserve">). Opposing party is Marcus Thornton (</w:t>
      </w:r>
      <w:r>
        <w:t xml:space="preserve">“</w:t>
      </w:r>
      <w:r>
        <w:t xml:space="preserve">Husband</w:t>
      </w:r>
      <w:r>
        <w:t xml:space="preserve">”</w:t>
      </w:r>
      <w:r>
        <w:t xml:space="preserve">). This analysis is prepared from Wife’s perspective throughout.</w:t>
      </w:r>
    </w:p>
    <w:bookmarkEnd w:id="21"/>
    <w:bookmarkStart w:id="22" w:name="ii.-documents-reviewed"/>
    <w:p>
      <w:pPr>
        <w:pStyle w:val="Heading2"/>
      </w:pPr>
      <w:r>
        <w:t xml:space="preserve">II. Documents Reviewed</w:t>
      </w:r>
    </w:p>
    <w:p>
      <w:pPr>
        <w:pStyle w:val="Compact"/>
        <w:numPr>
          <w:ilvl w:val="0"/>
          <w:numId w:val="1001"/>
        </w:numPr>
      </w:pPr>
      <w:r>
        <w:rPr>
          <w:b/>
          <w:bCs/>
        </w:rPr>
        <w:t xml:space="preserve">Original Draft</w:t>
      </w:r>
      <w:r>
        <w:t xml:space="preserve"> </w:t>
      </w:r>
      <w:r>
        <w:t xml:space="preserve">— Postnuptial Agreement (our draft, transmitted December 16, 2024).</w:t>
      </w:r>
    </w:p>
    <w:p>
      <w:pPr>
        <w:pStyle w:val="Compact"/>
        <w:numPr>
          <w:ilvl w:val="0"/>
          <w:numId w:val="1001"/>
        </w:numPr>
      </w:pPr>
      <w:r>
        <w:rPr>
          <w:b/>
          <w:bCs/>
        </w:rPr>
        <w:t xml:space="preserve">Redline</w:t>
      </w:r>
      <w:r>
        <w:t xml:space="preserve"> </w:t>
      </w:r>
      <w:r>
        <w:t xml:space="preserve">— Revised Draft dated January 6, 2025, with tracked-change markers (denoted</w:t>
      </w:r>
      <w:r>
        <w:t xml:space="preserve"> </w:t>
      </w:r>
      <w:r>
        <w:t xml:space="preserve">“</w:t>
      </w:r>
      <w:r>
        <w:t xml:space="preserve">TC-01</w:t>
      </w:r>
      <w:r>
        <w:t xml:space="preserve">”</w:t>
      </w:r>
      <w:r>
        <w:t xml:space="preserve"> </w:t>
      </w:r>
      <w:r>
        <w:t xml:space="preserve">through</w:t>
      </w:r>
      <w:r>
        <w:t xml:space="preserve"> </w:t>
      </w:r>
      <w:r>
        <w:t xml:space="preserve">“</w:t>
      </w:r>
      <w:r>
        <w:t xml:space="preserve">TC-47</w:t>
      </w:r>
      <w:r>
        <w:t xml:space="preserve">”</w:t>
      </w:r>
      <w:r>
        <w:t xml:space="preserve">) and margin comments (denoted</w:t>
      </w:r>
      <w:r>
        <w:t xml:space="preserve"> </w:t>
      </w:r>
      <w:r>
        <w:t xml:space="preserve">“</w:t>
      </w:r>
      <w:r>
        <w:t xml:space="preserve">MC-01</w:t>
      </w:r>
      <w:r>
        <w:t xml:space="preserve">”</w:t>
      </w:r>
      <w:r>
        <w:t xml:space="preserve"> </w:t>
      </w:r>
      <w:r>
        <w:t xml:space="preserve">through</w:t>
      </w:r>
      <w:r>
        <w:t xml:space="preserve"> </w:t>
      </w:r>
      <w:r>
        <w:t xml:space="preserve">“</w:t>
      </w:r>
      <w:r>
        <w:t xml:space="preserve">MC-12,</w:t>
      </w:r>
      <w:r>
        <w:t xml:space="preserve">”</w:t>
      </w:r>
      <w:r>
        <w:t xml:space="preserve"> </w:t>
      </w:r>
      <w:r>
        <w:t xml:space="preserve">authored</w:t>
      </w:r>
      <w:r>
        <w:t xml:space="preserve"> </w:t>
      </w:r>
      <w:r>
        <w:t xml:space="preserve">“</w:t>
      </w:r>
      <w:r>
        <w:t xml:space="preserve">TB</w:t>
      </w:r>
      <w:r>
        <w:t xml:space="preserve">”</w:t>
      </w:r>
      <w:r>
        <w:t xml:space="preserve"> </w:t>
      </w:r>
      <w:r>
        <w:t xml:space="preserve">/ Thomas Baxter).</w:t>
      </w:r>
    </w:p>
    <w:p>
      <w:pPr>
        <w:pStyle w:val="Compact"/>
        <w:numPr>
          <w:ilvl w:val="0"/>
          <w:numId w:val="1001"/>
        </w:numPr>
      </w:pPr>
      <w:r>
        <w:rPr>
          <w:b/>
          <w:bCs/>
        </w:rPr>
        <w:t xml:space="preserve">Transmittal Email</w:t>
      </w:r>
      <w:r>
        <w:t xml:space="preserve"> </w:t>
      </w:r>
      <w:r>
        <w:t xml:space="preserve">— Thomas Baxter to Catherine Odom, January 6, 2025, 10:47 a.m.</w:t>
      </w:r>
    </w:p>
    <w:p>
      <w:pPr>
        <w:pStyle w:val="Compact"/>
        <w:numPr>
          <w:ilvl w:val="0"/>
          <w:numId w:val="1001"/>
        </w:numPr>
      </w:pPr>
      <w:r>
        <w:rPr>
          <w:b/>
          <w:bCs/>
        </w:rPr>
        <w:t xml:space="preserve">Client Intake Memorandum</w:t>
      </w:r>
      <w:r>
        <w:t xml:space="preserve"> </w:t>
      </w:r>
      <w:r>
        <w:t xml:space="preserve">— Reyes to Odom, November 5, 2024 (client objectives and background).</w:t>
      </w:r>
    </w:p>
    <w:p>
      <w:pPr>
        <w:pStyle w:val="Compact"/>
        <w:numPr>
          <w:ilvl w:val="0"/>
          <w:numId w:val="1001"/>
        </w:numPr>
      </w:pPr>
      <w:r>
        <w:rPr>
          <w:b/>
          <w:bCs/>
        </w:rPr>
        <w:t xml:space="preserve">Financial Disclosure Summary</w:t>
      </w:r>
      <w:r>
        <w:t xml:space="preserve"> </w:t>
      </w:r>
      <w:r>
        <w:t xml:space="preserve">— Linden &amp; Fosse CPA, workbook dated as of November 30, 2024 (Wife, Husband, and Joint sheets).</w:t>
      </w:r>
    </w:p>
    <w:p>
      <w:pPr>
        <w:pStyle w:val="Compact"/>
        <w:numPr>
          <w:ilvl w:val="0"/>
          <w:numId w:val="1001"/>
        </w:numPr>
      </w:pPr>
      <w:r>
        <w:rPr>
          <w:b/>
          <w:bCs/>
        </w:rPr>
        <w:t xml:space="preserve">Practice Valuation Report</w:t>
      </w:r>
      <w:r>
        <w:t xml:space="preserve"> </w:t>
      </w:r>
      <w:r>
        <w:t xml:space="preserve">— Strand Valuation Services, Summary Valuation Report dated November 30, 2024 (22% interest in Heartbeat Pediatric Partners LLC).</w:t>
      </w:r>
    </w:p>
    <w:bookmarkEnd w:id="22"/>
    <w:bookmarkStart w:id="23" w:name="iii.-executive-summary"/>
    <w:p>
      <w:pPr>
        <w:pStyle w:val="Heading2"/>
      </w:pPr>
      <w:r>
        <w:t xml:space="preserve">III. Executive Summary</w:t>
      </w:r>
    </w:p>
    <w:p>
      <w:pPr>
        <w:pStyle w:val="FirstParagraph"/>
      </w:pPr>
      <w:r>
        <w:rPr>
          <w:b/>
          <w:bCs/>
        </w:rPr>
        <w:t xml:space="preserve">The Redline is not a set of</w:t>
      </w:r>
      <w:r>
        <w:rPr>
          <w:b/>
          <w:bCs/>
        </w:rPr>
        <w:t xml:space="preserve"> </w:t>
      </w:r>
      <w:r>
        <w:rPr>
          <w:b/>
          <w:bCs/>
        </w:rPr>
        <w:t xml:space="preserve">“</w:t>
      </w:r>
      <w:r>
        <w:rPr>
          <w:b/>
          <w:bCs/>
        </w:rPr>
        <w:t xml:space="preserve">modest clarifications.</w:t>
      </w:r>
      <w:r>
        <w:rPr>
          <w:b/>
          <w:bCs/>
        </w:rPr>
        <w:t xml:space="preserve">”</w:t>
      </w:r>
      <w:r>
        <w:t xml:space="preserve"> </w:t>
      </w:r>
      <w:r>
        <w:t xml:space="preserve">Mr. Baxter’s transmittal email characterizes the markup as containing</w:t>
      </w:r>
      <w:r>
        <w:t xml:space="preserve"> </w:t>
      </w:r>
      <w:r>
        <w:t xml:space="preserve">“</w:t>
      </w:r>
      <w:r>
        <w:t xml:space="preserve">modest clarifications and a few requests for balanced treatment</w:t>
      </w:r>
      <w:r>
        <w:t xml:space="preserve">”</w:t>
      </w:r>
      <w:r>
        <w:t xml:space="preserve"> </w:t>
      </w:r>
      <w:r>
        <w:t xml:space="preserve">and states that</w:t>
      </w:r>
      <w:r>
        <w:t xml:space="preserve"> </w:t>
      </w:r>
      <w:r>
        <w:t xml:space="preserve">“</w:t>
      </w:r>
      <w:r>
        <w:t xml:space="preserve">I don’t think you’ll find anything in here that moves us far from where we started.</w:t>
      </w:r>
      <w:r>
        <w:t xml:space="preserve">”</w:t>
      </w:r>
      <w:r>
        <w:t xml:space="preserve"> </w:t>
      </w:r>
      <w:r>
        <w:t xml:space="preserve">That framing is not accurate. The email flags only the severability clause, the notarization/witness blocks, the spelling correction, the marriage-commitment recital, the sunset term, and the DuPage venue selection. It does not mention — and therefore buries — the most consequential edits:</w:t>
      </w:r>
    </w:p>
    <w:p>
      <w:pPr>
        <w:pStyle w:val="Compact"/>
        <w:numPr>
          <w:ilvl w:val="0"/>
          <w:numId w:val="1002"/>
        </w:numPr>
      </w:pPr>
      <w:r>
        <w:rPr>
          <w:b/>
          <w:bCs/>
        </w:rPr>
        <w:t xml:space="preserve">Deletion of Wife’s $1,200,000 premarital-savings reimbursement right</w:t>
      </w:r>
      <w:r>
        <w:t xml:space="preserve"> </w:t>
      </w:r>
      <w:r>
        <w:t xml:space="preserve">(the client’s stated #1,</w:t>
      </w:r>
      <w:r>
        <w:t xml:space="preserve"> </w:t>
      </w:r>
      <w:r>
        <w:t xml:space="preserve">“</w:t>
      </w:r>
      <w:r>
        <w:t xml:space="preserve">non-negotiable</w:t>
      </w:r>
      <w:r>
        <w:t xml:space="preserve">”</w:t>
      </w:r>
      <w:r>
        <w:t xml:space="preserve"> </w:t>
      </w:r>
      <w:r>
        <w:t xml:space="preserve">objective), which shifts approximately</w:t>
      </w:r>
      <w:r>
        <w:t xml:space="preserve"> </w:t>
      </w:r>
      <w:r>
        <w:rPr>
          <w:b/>
          <w:bCs/>
        </w:rPr>
        <w:t xml:space="preserve">$600,000</w:t>
      </w:r>
      <w:r>
        <w:t xml:space="preserve"> </w:t>
      </w:r>
      <w:r>
        <w:t xml:space="preserve">from Wife to Husband;</w:t>
      </w:r>
    </w:p>
    <w:p>
      <w:pPr>
        <w:pStyle w:val="Compact"/>
        <w:numPr>
          <w:ilvl w:val="0"/>
          <w:numId w:val="1002"/>
        </w:numPr>
      </w:pPr>
      <w:r>
        <w:rPr>
          <w:b/>
          <w:bCs/>
        </w:rPr>
        <w:t xml:space="preserve">Reversal of the transmutation rule</w:t>
      </w:r>
      <w:r>
        <w:t xml:space="preserve"> </w:t>
      </w:r>
      <w:r>
        <w:t xml:space="preserve">so that Husband’s $3.8 million inheritance used for the joint household remains his separate property, eliminating Wife’s ability to claim a marital interest in such use;</w:t>
      </w:r>
    </w:p>
    <w:p>
      <w:pPr>
        <w:pStyle w:val="Compact"/>
        <w:numPr>
          <w:ilvl w:val="0"/>
          <w:numId w:val="1002"/>
        </w:numPr>
      </w:pPr>
      <w:r>
        <w:rPr>
          <w:b/>
          <w:bCs/>
        </w:rPr>
        <w:t xml:space="preserve">Gutting of the voidability remedy</w:t>
      </w:r>
      <w:r>
        <w:t xml:space="preserve"> </w:t>
      </w:r>
      <w:r>
        <w:t xml:space="preserve">— replacing our</w:t>
      </w:r>
      <w:r>
        <w:t xml:space="preserve"> </w:t>
      </w:r>
      <w:r>
        <w:t xml:space="preserve">“</w:t>
      </w:r>
      <w:r>
        <w:t xml:space="preserve">material omission</w:t>
      </w:r>
      <w:r>
        <w:t xml:space="preserve">”</w:t>
      </w:r>
      <w:r>
        <w:t xml:space="preserve"> </w:t>
      </w:r>
      <w:r>
        <w:t xml:space="preserve">standard with an</w:t>
      </w:r>
      <w:r>
        <w:t xml:space="preserve"> </w:t>
      </w:r>
      <w:r>
        <w:t xml:space="preserve">“</w:t>
      </w:r>
      <w:r>
        <w:t xml:space="preserve">intentional concealment over $100,000, by clear and convincing evidence, within two years</w:t>
      </w:r>
      <w:r>
        <w:t xml:space="preserve">”</w:t>
      </w:r>
      <w:r>
        <w:t xml:space="preserve"> </w:t>
      </w:r>
      <w:r>
        <w:t xml:space="preserve">standard, plus deletion of the ongoing and future-debt disclosure duties;</w:t>
      </w:r>
    </w:p>
    <w:p>
      <w:pPr>
        <w:pStyle w:val="Compact"/>
        <w:numPr>
          <w:ilvl w:val="0"/>
          <w:numId w:val="1002"/>
        </w:numPr>
      </w:pPr>
      <w:r>
        <w:rPr>
          <w:b/>
          <w:bCs/>
        </w:rPr>
        <w:t xml:space="preserve">A new unilateral modification mechanism</w:t>
      </w:r>
      <w:r>
        <w:t xml:space="preserve"> </w:t>
      </w:r>
      <w:r>
        <w:t xml:space="preserve">allowing either party to amend the agreement by written notice that takes effect in 90 days unless the other party objects — directly contrary to the client’s objective that modifications require mutual written consent;</w:t>
      </w:r>
    </w:p>
    <w:p>
      <w:pPr>
        <w:pStyle w:val="Compact"/>
        <w:numPr>
          <w:ilvl w:val="0"/>
          <w:numId w:val="1002"/>
        </w:numPr>
      </w:pPr>
      <w:r>
        <w:rPr>
          <w:b/>
          <w:bCs/>
        </w:rPr>
        <w:t xml:space="preserve">Adverse changes to the marital-residence buyout</w:t>
      </w:r>
      <w:r>
        <w:t xml:space="preserve"> </w:t>
      </w:r>
      <w:r>
        <w:t xml:space="preserve">— a shorter exercise window (60→30 days), a shorter payment term (24→18 months), and a</w:t>
      </w:r>
      <w:r>
        <w:t xml:space="preserve"> </w:t>
      </w:r>
      <w:r>
        <w:rPr>
          <w:b/>
          <w:bCs/>
        </w:rPr>
        <w:t xml:space="preserve">new purchase right for Husband</w:t>
      </w:r>
      <w:r>
        <w:t xml:space="preserve"> </w:t>
      </w:r>
      <w:r>
        <w:t xml:space="preserve">if Wife declines, which could allow Husband to take the home and displace the children (the client’s Objective 3);</w:t>
      </w:r>
    </w:p>
    <w:p>
      <w:pPr>
        <w:pStyle w:val="Compact"/>
        <w:numPr>
          <w:ilvl w:val="0"/>
          <w:numId w:val="1002"/>
        </w:numPr>
      </w:pPr>
      <w:r>
        <w:rPr>
          <w:b/>
          <w:bCs/>
        </w:rPr>
        <w:t xml:space="preserve">A mutual waiver of attorney’s fees, a venue shift to DuPage County, a sunset reduction from 15 to 7 years, a dropped $10,000 individual-debt consent requirement, and a narrowing of</w:t>
      </w:r>
      <w:r>
        <w:rPr>
          <w:b/>
          <w:bCs/>
        </w:rPr>
        <w:t xml:space="preserve"> </w:t>
      </w:r>
      <w:r>
        <w:rPr>
          <w:b/>
          <w:bCs/>
        </w:rPr>
        <w:t xml:space="preserve">“</w:t>
      </w:r>
      <w:r>
        <w:rPr>
          <w:b/>
          <w:bCs/>
        </w:rPr>
        <w:t xml:space="preserve">Marital Property</w:t>
      </w:r>
      <w:r>
        <w:rPr>
          <w:b/>
          <w:bCs/>
        </w:rPr>
        <w:t xml:space="preserve">”</w:t>
      </w:r>
      <w:r>
        <w:rPr>
          <w:b/>
          <w:bCs/>
        </w:rPr>
        <w:t xml:space="preserve"> </w:t>
      </w:r>
      <w:r>
        <w:rPr>
          <w:b/>
          <w:bCs/>
        </w:rPr>
        <w:t xml:space="preserve">and income definitions</w:t>
      </w:r>
      <w:r>
        <w:t xml:space="preserve"> </w:t>
      </w:r>
      <w:r>
        <w:t xml:space="preserve">that exclude bonuses, equity, investment income, and LLC distributions.</w:t>
      </w:r>
    </w:p>
    <w:p>
      <w:pPr>
        <w:pStyle w:val="FirstParagraph"/>
      </w:pPr>
      <w:r>
        <w:t xml:space="preserve">Set against these are a number of changes that</w:t>
      </w:r>
      <w:r>
        <w:t xml:space="preserve"> </w:t>
      </w:r>
      <w:r>
        <w:rPr>
          <w:b/>
          <w:bCs/>
        </w:rPr>
        <w:t xml:space="preserve">favor Wife</w:t>
      </w:r>
      <w:r>
        <w:t xml:space="preserve"> </w:t>
      </w:r>
      <w:r>
        <w:t xml:space="preserve">— principally a reduction of the maintenance duration cap from five to three years and a new automatic maintenance waiver when the recipient spouse’s gross income exceeds $200,000 (which, because Husband earns $305,000, effectively eliminates his maintenance claim); an active/passive appreciation distinction for Wife’s practice interest supported by the Strand valuation report; a more favorable RSU tax allocation (Wife receives net after-tax value with no reimbursement obligation); and a 60-day review-period representation that strengthens procedural fairness. These favorable terms are valuable but</w:t>
      </w:r>
      <w:r>
        <w:t xml:space="preserve"> </w:t>
      </w:r>
      <w:r>
        <w:rPr>
          <w:b/>
          <w:bCs/>
        </w:rPr>
        <w:t xml:space="preserve">contingent and speculative</w:t>
      </w:r>
      <w:r>
        <w:t xml:space="preserve"> </w:t>
      </w:r>
      <w:r>
        <w:t xml:space="preserve">(they matter only upon a dissolution that may never occur), whereas the principal adverse terms are</w:t>
      </w:r>
      <w:r>
        <w:t xml:space="preserve"> </w:t>
      </w:r>
      <w:r>
        <w:rPr>
          <w:b/>
          <w:bCs/>
        </w:rPr>
        <w:t xml:space="preserve">immediate and certain</w:t>
      </w:r>
      <w:r>
        <w:t xml:space="preserve"> </w:t>
      </w:r>
      <w:r>
        <w:t xml:space="preserve">in their effect.</w:t>
      </w:r>
    </w:p>
    <w:p>
      <w:pPr>
        <w:pStyle w:val="BodyText"/>
      </w:pPr>
      <w:r>
        <w:rPr>
          <w:b/>
          <w:bCs/>
        </w:rPr>
        <w:t xml:space="preserve">Bottom line:</w:t>
      </w:r>
      <w:r>
        <w:t xml:space="preserve"> </w:t>
      </w:r>
      <w:r>
        <w:t xml:space="preserve">If accepted as written, the Redline would transfer substantial, largely certain value to Husband (at minimum the $600,000 reimbursement loss, plus the loss of the transmutation argument, the weakened disclosure protections, and the marital-residence risk) in exchange for speculative maintenance savings to Wife. We should accept the favorable maintenance, practice-appreciation, RSU-tax, and review-period terms, firmly restore the client’s core protections, and treat the transmittal email’s minimizing language as a negotiation posture rather than an accurate description of the markup.</w:t>
      </w:r>
    </w:p>
    <w:bookmarkEnd w:id="23"/>
    <w:bookmarkStart w:id="24" w:name="X7aa33cf01a1e94cc7109d30e3e0915611d6f42d"/>
    <w:p>
      <w:pPr>
        <w:pStyle w:val="Heading2"/>
      </w:pPr>
      <w:r>
        <w:t xml:space="preserve">IV. Factual Discrepancies Between the Redline and the Supporting Record</w:t>
      </w:r>
    </w:p>
    <w:p>
      <w:pPr>
        <w:pStyle w:val="FirstParagraph"/>
      </w:pPr>
      <w:r>
        <w:t xml:space="preserve">Before addressing substantive changes, the Redline contains numerous factual statements that conflict with the CPA-prepared financial disclosure and the client intake record.</w:t>
      </w:r>
      <w:r>
        <w:t xml:space="preserve"> </w:t>
      </w:r>
      <w:r>
        <w:rPr>
          <w:b/>
          <w:bCs/>
        </w:rPr>
        <w:t xml:space="preserve">Each must be verified against source documents (account statements, the death certificate, birth certificates, appraisal reports) before execution.</w:t>
      </w:r>
      <w:r>
        <w:t xml:space="preserve"> </w:t>
      </w:r>
      <w:r>
        <w:t xml:space="preserve">A postnuptial agreement containing inaccurate recitals or schedules is vulnerable to a later challenge for misrepresentation or incomplete disclosure — a risk that cuts against both parties but that we must not allow to undermine our client’s position.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Original Draft</w:t>
            </w:r>
          </w:p>
        </w:tc>
        <w:tc>
          <w:tcPr/>
          <w:p>
            <w:pPr>
              <w:pStyle w:val="Compact"/>
              <w:jc w:val="left"/>
            </w:pPr>
            <w:r>
              <w:t xml:space="preserve">Redline</w:t>
            </w:r>
          </w:p>
        </w:tc>
        <w:tc>
          <w:tcPr/>
          <w:p>
            <w:pPr>
              <w:pStyle w:val="Compact"/>
              <w:jc w:val="left"/>
            </w:pPr>
            <w:r>
              <w:t xml:space="preserve">Financial Disclosure / Intake Memo</w:t>
            </w:r>
          </w:p>
        </w:tc>
        <w:tc>
          <w:tcPr/>
          <w:p>
            <w:pPr>
              <w:pStyle w:val="Compact"/>
              <w:jc w:val="left"/>
            </w:pPr>
            <w:r>
              <w:t xml:space="preserve">Action</w:t>
            </w:r>
          </w:p>
        </w:tc>
      </w:tr>
      <w:tr>
        <w:tc>
          <w:tcPr/>
          <w:p>
            <w:pPr>
              <w:pStyle w:val="Compact"/>
              <w:jc w:val="left"/>
            </w:pPr>
            <w:r>
              <w:t xml:space="preserve">1</w:t>
            </w:r>
          </w:p>
        </w:tc>
        <w:tc>
          <w:tcPr/>
          <w:p>
            <w:pPr>
              <w:pStyle w:val="Compact"/>
              <w:jc w:val="left"/>
            </w:pPr>
            <w:r>
              <w:rPr>
                <w:b/>
                <w:bCs/>
              </w:rPr>
              <w:t xml:space="preserve">Children’s birth dates</w:t>
            </w:r>
          </w:p>
        </w:tc>
        <w:tc>
          <w:tcPr/>
          <w:p>
            <w:pPr>
              <w:pStyle w:val="Compact"/>
              <w:jc w:val="left"/>
            </w:pPr>
            <w:r>
              <w:t xml:space="preserve">Elena b. Oct 3, 2012; Julian b. Mar 22, 2016</w:t>
            </w:r>
          </w:p>
        </w:tc>
        <w:tc>
          <w:tcPr/>
          <w:p>
            <w:pPr>
              <w:pStyle w:val="Compact"/>
              <w:jc w:val="left"/>
            </w:pPr>
            <w:r>
              <w:t xml:space="preserve">Elena b. Aug 22, 2012; Julian b. Nov 9, 2015</w:t>
            </w:r>
          </w:p>
        </w:tc>
        <w:tc>
          <w:tcPr/>
          <w:p>
            <w:pPr>
              <w:pStyle w:val="Compact"/>
              <w:jc w:val="left"/>
            </w:pPr>
            <w:r>
              <w:t xml:space="preserve">Intake: Elena age 12, Julian age 9 (as of Nov 5, 2024)</w:t>
            </w:r>
          </w:p>
        </w:tc>
        <w:tc>
          <w:tcPr/>
          <w:p>
            <w:pPr>
              <w:pStyle w:val="Compact"/>
              <w:jc w:val="left"/>
            </w:pPr>
            <w:r>
              <w:t xml:space="preserve">Verify against birth certificates. Note: the Original’s Julian date (Mar 2016) yields age 8, inconsistent with the intake memo’s</w:t>
            </w:r>
            <w:r>
              <w:t xml:space="preserve"> </w:t>
            </w:r>
            <w:r>
              <w:t xml:space="preserve">“</w:t>
            </w:r>
            <w:r>
              <w:t xml:space="preserve">age 9</w:t>
            </w:r>
            <w:r>
              <w:t xml:space="preserve">”</w:t>
            </w:r>
            <w:r>
              <w:t xml:space="preserve">; the Redline’s Julian date (Nov 9, 2015) is consistent with age 9.</w:t>
            </w:r>
            <w:r>
              <w:t xml:space="preserve"> </w:t>
            </w:r>
            <w:r>
              <w:rPr>
                <w:b/>
                <w:bCs/>
              </w:rPr>
              <w:t xml:space="preserve">Both drafts place Elena’s birth in 2012, before the June 14, 2013 marriage, which is inconsistent with the recital that the children were</w:t>
            </w:r>
            <w:r>
              <w:rPr>
                <w:b/>
                <w:bCs/>
              </w:rPr>
              <w:t xml:space="preserve"> </w:t>
            </w:r>
            <w:r>
              <w:rPr>
                <w:b/>
                <w:bCs/>
              </w:rPr>
              <w:t xml:space="preserve">“</w:t>
            </w:r>
            <w:r>
              <w:rPr>
                <w:b/>
                <w:bCs/>
              </w:rPr>
              <w:t xml:space="preserve">born of the marriage.</w:t>
            </w:r>
            <w:r>
              <w:rPr>
                <w:b/>
                <w:bCs/>
              </w:rPr>
              <w:t xml:space="preserve">”</w:t>
            </w:r>
            <w:r>
              <w:t xml:space="preserve"> </w:t>
            </w:r>
            <w:r>
              <w:t xml:space="preserve">Clarify with client.</w:t>
            </w:r>
          </w:p>
        </w:tc>
      </w:tr>
      <w:tr>
        <w:tc>
          <w:tcPr/>
          <w:p>
            <w:pPr>
              <w:pStyle w:val="Compact"/>
              <w:jc w:val="left"/>
            </w:pPr>
            <w:r>
              <w:t xml:space="preserve">2</w:t>
            </w:r>
          </w:p>
        </w:tc>
        <w:tc>
          <w:tcPr/>
          <w:p>
            <w:pPr>
              <w:pStyle w:val="Compact"/>
              <w:jc w:val="left"/>
            </w:pPr>
            <w:r>
              <w:rPr>
                <w:b/>
                <w:bCs/>
              </w:rPr>
              <w:t xml:space="preserve">Mother’s date of death</w:t>
            </w:r>
          </w:p>
        </w:tc>
        <w:tc>
          <w:tcPr/>
          <w:p>
            <w:pPr>
              <w:pStyle w:val="Compact"/>
              <w:jc w:val="left"/>
            </w:pPr>
            <w:r>
              <w:t xml:space="preserve">Aug 12, 2024</w:t>
            </w:r>
          </w:p>
        </w:tc>
        <w:tc>
          <w:tcPr/>
          <w:p>
            <w:pPr>
              <w:pStyle w:val="Compact"/>
              <w:jc w:val="left"/>
            </w:pPr>
            <w:r>
              <w:t xml:space="preserve">Sept 3, 2024</w:t>
            </w:r>
          </w:p>
        </w:tc>
        <w:tc>
          <w:tcPr/>
          <w:p>
            <w:pPr>
              <w:pStyle w:val="Compact"/>
              <w:jc w:val="left"/>
            </w:pPr>
            <w:r>
              <w:t xml:space="preserve">Intake memo &amp; financial disclosure:</w:t>
            </w:r>
            <w:r>
              <w:t xml:space="preserve"> </w:t>
            </w:r>
            <w:r>
              <w:t xml:space="preserve">“</w:t>
            </w:r>
            <w:r>
              <w:t xml:space="preserve">deceased October 2024</w:t>
            </w:r>
            <w:r>
              <w:t xml:space="preserve">”</w:t>
            </w:r>
          </w:p>
        </w:tc>
        <w:tc>
          <w:tcPr/>
          <w:p>
            <w:pPr>
              <w:pStyle w:val="Compact"/>
              <w:jc w:val="left"/>
            </w:pPr>
            <w:r>
              <w:t xml:space="preserve">Three different dates across three sources. Verify against death certificate.</w:t>
            </w:r>
          </w:p>
        </w:tc>
      </w:tr>
      <w:tr>
        <w:tc>
          <w:tcPr/>
          <w:p>
            <w:pPr>
              <w:pStyle w:val="Compact"/>
              <w:jc w:val="left"/>
            </w:pPr>
            <w:r>
              <w:t xml:space="preserve">3</w:t>
            </w:r>
          </w:p>
        </w:tc>
        <w:tc>
          <w:tcPr/>
          <w:p>
            <w:pPr>
              <w:pStyle w:val="Compact"/>
              <w:jc w:val="left"/>
            </w:pPr>
            <w:r>
              <w:rPr>
                <w:b/>
                <w:bCs/>
              </w:rPr>
              <w:t xml:space="preserve">Mother’s name</w:t>
            </w:r>
          </w:p>
        </w:tc>
        <w:tc>
          <w:tcPr/>
          <w:p>
            <w:pPr>
              <w:pStyle w:val="Compact"/>
              <w:jc w:val="left"/>
            </w:pPr>
            <w:r>
              <w:t xml:space="preserve">“</w:t>
            </w:r>
            <w:r>
              <w:t xml:space="preserve">Constane Thornton</w:t>
            </w:r>
            <w:r>
              <w:t xml:space="preserve">”</w:t>
            </w:r>
            <w:r>
              <w:t xml:space="preserve"> </w:t>
            </w:r>
            <w:r>
              <w:t xml:space="preserve">(misspelled)</w:t>
            </w:r>
          </w:p>
        </w:tc>
        <w:tc>
          <w:tcPr/>
          <w:p>
            <w:pPr>
              <w:pStyle w:val="Compact"/>
              <w:jc w:val="left"/>
            </w:pPr>
            <w:r>
              <w:t xml:space="preserve">“</w:t>
            </w:r>
            <w:r>
              <w:t xml:space="preserve">Constance Thornton (née Albrecht)</w:t>
            </w:r>
            <w:r>
              <w:t xml:space="preserve">”</w:t>
            </w:r>
          </w:p>
        </w:tc>
        <w:tc>
          <w:tcPr/>
          <w:p>
            <w:pPr>
              <w:pStyle w:val="Compact"/>
              <w:jc w:val="left"/>
            </w:pPr>
            <w:r>
              <w:t xml:space="preserve">Intake memo:</w:t>
            </w:r>
            <w:r>
              <w:t xml:space="preserve"> </w:t>
            </w:r>
            <w:r>
              <w:t xml:space="preserve">“</w:t>
            </w:r>
            <w:r>
              <w:t xml:space="preserve">Constance Thornton</w:t>
            </w:r>
            <w:r>
              <w:t xml:space="preserve">”</w:t>
            </w:r>
          </w:p>
        </w:tc>
        <w:tc>
          <w:tcPr/>
          <w:p>
            <w:pPr>
              <w:pStyle w:val="Compact"/>
              <w:jc w:val="left"/>
            </w:pPr>
            <w:r>
              <w:t xml:space="preserve">Redline corrects the spelling (good). Maiden name</w:t>
            </w:r>
            <w:r>
              <w:t xml:space="preserve"> </w:t>
            </w:r>
            <w:r>
              <w:t xml:space="preserve">“</w:t>
            </w:r>
            <w:r>
              <w:t xml:space="preserve">Albrecht</w:t>
            </w:r>
            <w:r>
              <w:t xml:space="preserve">”</w:t>
            </w:r>
            <w:r>
              <w:t xml:space="preserve"> </w:t>
            </w:r>
            <w:r>
              <w:t xml:space="preserve">is not corroborated by the intake record; verify.</w:t>
            </w:r>
          </w:p>
        </w:tc>
      </w:tr>
      <w:tr>
        <w:tc>
          <w:tcPr/>
          <w:p>
            <w:pPr>
              <w:pStyle w:val="Compact"/>
              <w:jc w:val="left"/>
            </w:pPr>
            <w:r>
              <w:t xml:space="preserve">4</w:t>
            </w:r>
          </w:p>
        </w:tc>
        <w:tc>
          <w:tcPr/>
          <w:p>
            <w:pPr>
              <w:pStyle w:val="Compact"/>
              <w:jc w:val="left"/>
            </w:pPr>
            <w:r>
              <w:rPr>
                <w:b/>
                <w:bCs/>
              </w:rPr>
              <w:t xml:space="preserve">Inheritance brokerage custodian</w:t>
            </w:r>
          </w:p>
        </w:tc>
        <w:tc>
          <w:tcPr/>
          <w:p>
            <w:pPr>
              <w:pStyle w:val="Compact"/>
              <w:jc w:val="left"/>
            </w:pPr>
            <w:r>
              <w:t xml:space="preserve">Hartleigh Investments</w:t>
            </w:r>
          </w:p>
        </w:tc>
        <w:tc>
          <w:tcPr/>
          <w:p>
            <w:pPr>
              <w:pStyle w:val="Compact"/>
              <w:jc w:val="left"/>
            </w:pPr>
            <w:r>
              <w:t xml:space="preserve">Tidewater Securities (acct ending -7724)</w:t>
            </w:r>
          </w:p>
        </w:tc>
        <w:tc>
          <w:tcPr/>
          <w:p>
            <w:pPr>
              <w:pStyle w:val="Compact"/>
              <w:jc w:val="left"/>
            </w:pPr>
            <w:r>
              <w:t xml:space="preserve">Northbridge Wealth Advisors (acct **8837)</w:t>
            </w:r>
          </w:p>
        </w:tc>
        <w:tc>
          <w:tcPr/>
          <w:p>
            <w:pPr>
              <w:pStyle w:val="Compact"/>
              <w:jc w:val="left"/>
            </w:pPr>
            <w:r>
              <w:t xml:space="preserve">Three different institutions. Verify against account statements.</w:t>
            </w:r>
          </w:p>
        </w:tc>
      </w:tr>
      <w:tr>
        <w:tc>
          <w:tcPr/>
          <w:p>
            <w:pPr>
              <w:pStyle w:val="Compact"/>
              <w:jc w:val="left"/>
            </w:pPr>
            <w:r>
              <w:t xml:space="preserve">5</w:t>
            </w:r>
          </w:p>
        </w:tc>
        <w:tc>
          <w:tcPr/>
          <w:p>
            <w:pPr>
              <w:pStyle w:val="Compact"/>
              <w:jc w:val="left"/>
            </w:pPr>
            <w:r>
              <w:rPr>
                <w:b/>
                <w:bCs/>
              </w:rPr>
              <w:t xml:space="preserve">Husband’s 401(k) custodian</w:t>
            </w:r>
          </w:p>
        </w:tc>
        <w:tc>
          <w:tcPr/>
          <w:p>
            <w:pPr>
              <w:pStyle w:val="Compact"/>
              <w:jc w:val="left"/>
            </w:pPr>
            <w:r>
              <w:t xml:space="preserve">(not named)</w:t>
            </w:r>
          </w:p>
        </w:tc>
        <w:tc>
          <w:tcPr/>
          <w:p>
            <w:pPr>
              <w:pStyle w:val="Compact"/>
              <w:jc w:val="left"/>
            </w:pPr>
            <w:r>
              <w:t xml:space="preserve">Hartleigh Investments</w:t>
            </w:r>
          </w:p>
        </w:tc>
        <w:tc>
          <w:tcPr/>
          <w:p>
            <w:pPr>
              <w:pStyle w:val="Compact"/>
              <w:jc w:val="left"/>
            </w:pPr>
            <w:r>
              <w:t xml:space="preserve">Northbridge Wealth Advisors (acct **5518)</w:t>
            </w:r>
          </w:p>
        </w:tc>
        <w:tc>
          <w:tcPr/>
          <w:p>
            <w:pPr>
              <w:pStyle w:val="Compact"/>
              <w:jc w:val="left"/>
            </w:pPr>
            <w:r>
              <w:t xml:space="preserve">Redline’s custodian conflicts with the CPA disclosure. Verify.</w:t>
            </w:r>
          </w:p>
        </w:tc>
      </w:tr>
      <w:tr>
        <w:tc>
          <w:tcPr/>
          <w:p>
            <w:pPr>
              <w:pStyle w:val="Compact"/>
              <w:jc w:val="left"/>
            </w:pPr>
            <w:r>
              <w:t xml:space="preserve">6</w:t>
            </w:r>
          </w:p>
        </w:tc>
        <w:tc>
          <w:tcPr/>
          <w:p>
            <w:pPr>
              <w:pStyle w:val="Compact"/>
              <w:jc w:val="left"/>
            </w:pPr>
            <w:r>
              <w:rPr>
                <w:b/>
                <w:bCs/>
              </w:rPr>
              <w:t xml:space="preserve">Joint Investment Account number</w:t>
            </w:r>
          </w:p>
        </w:tc>
        <w:tc>
          <w:tcPr/>
          <w:p>
            <w:pPr>
              <w:pStyle w:val="Compact"/>
              <w:jc w:val="left"/>
            </w:pPr>
            <w:r>
              <w:t xml:space="preserve">(not specified)</w:t>
            </w:r>
          </w:p>
        </w:tc>
        <w:tc>
          <w:tcPr/>
          <w:p>
            <w:pPr>
              <w:pStyle w:val="Compact"/>
              <w:jc w:val="left"/>
            </w:pPr>
            <w:r>
              <w:t xml:space="preserve">acct ending -3961</w:t>
            </w:r>
          </w:p>
        </w:tc>
        <w:tc>
          <w:tcPr/>
          <w:p>
            <w:pPr>
              <w:pStyle w:val="Compact"/>
              <w:jc w:val="left"/>
            </w:pPr>
            <w:r>
              <w:t xml:space="preserve">acct **3291</w:t>
            </w:r>
          </w:p>
        </w:tc>
        <w:tc>
          <w:tcPr/>
          <w:p>
            <w:pPr>
              <w:pStyle w:val="Compact"/>
              <w:jc w:val="left"/>
            </w:pPr>
            <w:r>
              <w:t xml:space="preserve">Different account numbers. Verify.</w:t>
            </w:r>
          </w:p>
        </w:tc>
      </w:tr>
      <w:tr>
        <w:tc>
          <w:tcPr/>
          <w:p>
            <w:pPr>
              <w:pStyle w:val="Compact"/>
              <w:jc w:val="left"/>
            </w:pPr>
            <w:r>
              <w:t xml:space="preserve">7</w:t>
            </w:r>
          </w:p>
        </w:tc>
        <w:tc>
          <w:tcPr/>
          <w:p>
            <w:pPr>
              <w:pStyle w:val="Compact"/>
              <w:jc w:val="left"/>
            </w:pPr>
            <w:r>
              <w:rPr>
                <w:b/>
                <w:bCs/>
              </w:rPr>
              <w:t xml:space="preserve">Wife’s 403(b) custodian</w:t>
            </w:r>
          </w:p>
        </w:tc>
        <w:tc>
          <w:tcPr/>
          <w:p>
            <w:pPr>
              <w:pStyle w:val="Compact"/>
              <w:jc w:val="left"/>
            </w:pPr>
            <w:r>
              <w:t xml:space="preserve">(not named)</w:t>
            </w:r>
          </w:p>
        </w:tc>
        <w:tc>
          <w:tcPr/>
          <w:p>
            <w:pPr>
              <w:pStyle w:val="Compact"/>
              <w:jc w:val="left"/>
            </w:pPr>
            <w:r>
              <w:t xml:space="preserve">TIAA-CREF</w:t>
            </w:r>
          </w:p>
        </w:tc>
        <w:tc>
          <w:tcPr/>
          <w:p>
            <w:pPr>
              <w:pStyle w:val="Compact"/>
              <w:jc w:val="left"/>
            </w:pPr>
            <w:r>
              <w:t xml:space="preserve">Northbridge Wealth Advisors (acct **7842)</w:t>
            </w:r>
          </w:p>
        </w:tc>
        <w:tc>
          <w:tcPr/>
          <w:p>
            <w:pPr>
              <w:pStyle w:val="Compact"/>
              <w:jc w:val="left"/>
            </w:pPr>
            <w:r>
              <w:t xml:space="preserve">Redline’s custodian conflicts with the CPA disclosure. Verify.</w:t>
            </w:r>
          </w:p>
        </w:tc>
      </w:tr>
      <w:tr>
        <w:tc>
          <w:tcPr/>
          <w:p>
            <w:pPr>
              <w:pStyle w:val="Compact"/>
              <w:jc w:val="left"/>
            </w:pPr>
            <w:r>
              <w:t xml:space="preserve">8</w:t>
            </w:r>
          </w:p>
        </w:tc>
        <w:tc>
          <w:tcPr/>
          <w:p>
            <w:pPr>
              <w:pStyle w:val="Compact"/>
              <w:jc w:val="left"/>
            </w:pPr>
            <w:r>
              <w:rPr>
                <w:b/>
                <w:bCs/>
              </w:rPr>
              <w:t xml:space="preserve">Joint savings/checking institutions</w:t>
            </w:r>
          </w:p>
        </w:tc>
        <w:tc>
          <w:tcPr/>
          <w:p>
            <w:pPr>
              <w:pStyle w:val="Compact"/>
              <w:jc w:val="left"/>
            </w:pPr>
            <w:r>
              <w:t xml:space="preserve">(not specified)</w:t>
            </w:r>
          </w:p>
        </w:tc>
        <w:tc>
          <w:tcPr/>
          <w:p>
            <w:pPr>
              <w:pStyle w:val="Compact"/>
              <w:jc w:val="left"/>
            </w:pPr>
            <w:r>
              <w:t xml:space="preserve">First Saxonbrook Bank</w:t>
            </w:r>
            <w:r>
              <w:t xml:space="preserve"> </w:t>
            </w:r>
            <w:r>
              <w:rPr>
                <w:b/>
                <w:bCs/>
              </w:rPr>
              <w:t xml:space="preserve">and Hollcroft Fiduciary</w:t>
            </w:r>
          </w:p>
        </w:tc>
        <w:tc>
          <w:tcPr/>
          <w:p>
            <w:pPr>
              <w:pStyle w:val="Compact"/>
              <w:jc w:val="left"/>
            </w:pPr>
            <w:r>
              <w:t xml:space="preserve">First Saxonbrook Bank only (checking **4410; savings **4417)</w:t>
            </w:r>
          </w:p>
        </w:tc>
        <w:tc>
          <w:tcPr/>
          <w:p>
            <w:pPr>
              <w:pStyle w:val="Compact"/>
              <w:jc w:val="left"/>
            </w:pPr>
            <w:r>
              <w:t xml:space="preserve">Redline adds</w:t>
            </w:r>
            <w:r>
              <w:t xml:space="preserve"> </w:t>
            </w:r>
            <w:r>
              <w:t xml:space="preserve">“</w:t>
            </w:r>
            <w:r>
              <w:t xml:space="preserve">Hollcroft Fiduciary,</w:t>
            </w:r>
            <w:r>
              <w:t xml:space="preserve">”</w:t>
            </w:r>
            <w:r>
              <w:t xml:space="preserve"> </w:t>
            </w:r>
            <w:r>
              <w:t xml:space="preserve">which does not appear in the CPA disclosure. Verify.</w:t>
            </w:r>
          </w:p>
        </w:tc>
      </w:tr>
      <w:tr>
        <w:tc>
          <w:tcPr/>
          <w:p>
            <w:pPr>
              <w:pStyle w:val="Compact"/>
              <w:jc w:val="left"/>
            </w:pPr>
            <w:r>
              <w:t xml:space="preserve">9</w:t>
            </w:r>
          </w:p>
        </w:tc>
        <w:tc>
          <w:tcPr/>
          <w:p>
            <w:pPr>
              <w:pStyle w:val="Compact"/>
              <w:jc w:val="left"/>
            </w:pPr>
            <w:r>
              <w:rPr>
                <w:b/>
                <w:bCs/>
              </w:rPr>
              <w:t xml:space="preserve">Door County property appraiser</w:t>
            </w:r>
          </w:p>
        </w:tc>
        <w:tc>
          <w:tcPr/>
          <w:p>
            <w:pPr>
              <w:pStyle w:val="Compact"/>
              <w:jc w:val="left"/>
            </w:pPr>
            <w:r>
              <w:t xml:space="preserve">(not named in recital)</w:t>
            </w:r>
          </w:p>
        </w:tc>
        <w:tc>
          <w:tcPr/>
          <w:p>
            <w:pPr>
              <w:pStyle w:val="Compact"/>
              <w:jc w:val="left"/>
            </w:pPr>
            <w:r>
              <w:t xml:space="preserve">Midwest Appraisal Associates (Oct 15, 2024)</w:t>
            </w:r>
          </w:p>
        </w:tc>
        <w:tc>
          <w:tcPr/>
          <w:p>
            <w:pPr>
              <w:pStyle w:val="Compact"/>
              <w:jc w:val="left"/>
            </w:pPr>
            <w:r>
              <w:t xml:space="preserve">Pendleton Appraisal Group</w:t>
            </w:r>
          </w:p>
        </w:tc>
        <w:tc>
          <w:tcPr/>
          <w:p>
            <w:pPr>
              <w:pStyle w:val="Compact"/>
              <w:jc w:val="left"/>
            </w:pPr>
            <w:r>
              <w:t xml:space="preserve">Redline’s appraiser conflicts with the financial disclosure. Verify which firm appraised the Door County property.</w:t>
            </w:r>
          </w:p>
        </w:tc>
      </w:tr>
      <w:tr>
        <w:tc>
          <w:tcPr/>
          <w:p>
            <w:pPr>
              <w:pStyle w:val="Compact"/>
              <w:jc w:val="left"/>
            </w:pPr>
            <w:r>
              <w:t xml:space="preserve">10</w:t>
            </w:r>
          </w:p>
        </w:tc>
        <w:tc>
          <w:tcPr/>
          <w:p>
            <w:pPr>
              <w:pStyle w:val="Compact"/>
              <w:jc w:val="left"/>
            </w:pPr>
            <w:r>
              <w:rPr>
                <w:b/>
                <w:bCs/>
              </w:rPr>
              <w:t xml:space="preserve">Wife’s retirement split</w:t>
            </w:r>
          </w:p>
        </w:tc>
        <w:tc>
          <w:tcPr/>
          <w:p>
            <w:pPr>
              <w:pStyle w:val="Compact"/>
              <w:jc w:val="left"/>
            </w:pPr>
            <w:r>
              <w:t xml:space="preserve">Combined $2,340,000</w:t>
            </w:r>
          </w:p>
        </w:tc>
        <w:tc>
          <w:tcPr/>
          <w:p>
            <w:pPr>
              <w:pStyle w:val="Compact"/>
              <w:jc w:val="left"/>
            </w:pPr>
            <w:r>
              <w:t xml:space="preserve">403(b) $1,440,000 + pension $900,000</w:t>
            </w:r>
          </w:p>
        </w:tc>
        <w:tc>
          <w:tcPr/>
          <w:p>
            <w:pPr>
              <w:pStyle w:val="Compact"/>
              <w:jc w:val="left"/>
            </w:pPr>
            <w:r>
              <w:t xml:space="preserve">403(b) $1,415,000 + pension $925,000</w:t>
            </w:r>
          </w:p>
        </w:tc>
        <w:tc>
          <w:tcPr/>
          <w:p>
            <w:pPr>
              <w:pStyle w:val="Compact"/>
              <w:jc w:val="left"/>
            </w:pPr>
            <w:r>
              <w:t xml:space="preserve">Both sum to $2,340,000, but the split differs from the CPA figures. Verify.</w:t>
            </w:r>
          </w:p>
        </w:tc>
      </w:tr>
      <w:tr>
        <w:tc>
          <w:tcPr/>
          <w:p>
            <w:pPr>
              <w:pStyle w:val="Compact"/>
              <w:jc w:val="left"/>
            </w:pPr>
            <w:r>
              <w:t xml:space="preserve">11</w:t>
            </w:r>
          </w:p>
        </w:tc>
        <w:tc>
          <w:tcPr/>
          <w:p>
            <w:pPr>
              <w:pStyle w:val="Compact"/>
              <w:jc w:val="left"/>
            </w:pPr>
            <w:r>
              <w:rPr>
                <w:b/>
                <w:bCs/>
              </w:rPr>
              <w:t xml:space="preserve">Wife’s individual credit-card balance</w:t>
            </w:r>
          </w:p>
        </w:tc>
        <w:tc>
          <w:tcPr/>
          <w:p>
            <w:pPr>
              <w:pStyle w:val="Compact"/>
              <w:jc w:val="left"/>
            </w:pPr>
            <w:r>
              <w:t xml:space="preserve">(not in schedule)</w:t>
            </w:r>
          </w:p>
        </w:tc>
        <w:tc>
          <w:tcPr/>
          <w:p>
            <w:pPr>
              <w:pStyle w:val="Compact"/>
              <w:jc w:val="left"/>
            </w:pPr>
            <w:r>
              <w:t xml:space="preserve">$4,200</w:t>
            </w:r>
          </w:p>
        </w:tc>
        <w:tc>
          <w:tcPr/>
          <w:p>
            <w:pPr>
              <w:pStyle w:val="Compact"/>
              <w:jc w:val="left"/>
            </w:pPr>
            <w:r>
              <w:t xml:space="preserve">$3,200 (Valemont Visa **4412)</w:t>
            </w:r>
          </w:p>
        </w:tc>
        <w:tc>
          <w:tcPr/>
          <w:p>
            <w:pPr>
              <w:pStyle w:val="Compact"/>
              <w:jc w:val="left"/>
            </w:pPr>
            <w:r>
              <w:t xml:space="preserve">Different figures. Verify.</w:t>
            </w:r>
          </w:p>
        </w:tc>
      </w:tr>
      <w:tr>
        <w:tc>
          <w:tcPr/>
          <w:p>
            <w:pPr>
              <w:pStyle w:val="Compact"/>
              <w:jc w:val="left"/>
            </w:pPr>
            <w:r>
              <w:t xml:space="preserve">12</w:t>
            </w:r>
          </w:p>
        </w:tc>
        <w:tc>
          <w:tcPr/>
          <w:p>
            <w:pPr>
              <w:pStyle w:val="Compact"/>
              <w:jc w:val="left"/>
            </w:pPr>
            <w:r>
              <w:rPr>
                <w:b/>
                <w:bCs/>
              </w:rPr>
              <w:t xml:space="preserve">Identified Debt characterization</w:t>
            </w:r>
          </w:p>
        </w:tc>
        <w:tc>
          <w:tcPr/>
          <w:p>
            <w:pPr>
              <w:pStyle w:val="Compact"/>
              <w:jc w:val="left"/>
            </w:pPr>
            <w:r>
              <w:t xml:space="preserve">“</w:t>
            </w:r>
            <w:r>
              <w:t xml:space="preserve">credit card obligations</w:t>
            </w:r>
            <w:r>
              <w:t xml:space="preserve">”</w:t>
            </w:r>
          </w:p>
        </w:tc>
        <w:tc>
          <w:tcPr/>
          <w:p>
            <w:pPr>
              <w:pStyle w:val="Compact"/>
              <w:jc w:val="left"/>
            </w:pPr>
            <w:r>
              <w:t xml:space="preserve">“</w:t>
            </w:r>
            <w:r>
              <w:t xml:space="preserve">balances on multiple revolving credit accounts … with various credit card issuers</w:t>
            </w:r>
            <w:r>
              <w:t xml:space="preserve">”</w:t>
            </w:r>
          </w:p>
        </w:tc>
        <w:tc>
          <w:tcPr/>
          <w:p>
            <w:pPr>
              <w:pStyle w:val="Compact"/>
              <w:jc w:val="left"/>
            </w:pPr>
            <w:r>
              <w:t xml:space="preserve">Single account: Hollcroft One Mastercard **6673, $68,000; intake memo:</w:t>
            </w:r>
            <w:r>
              <w:t xml:space="preserve"> </w:t>
            </w:r>
            <w:r>
              <w:t xml:space="preserve">“</w:t>
            </w:r>
            <w:r>
              <w:t xml:space="preserve">a hidden credit card</w:t>
            </w:r>
            <w:r>
              <w:t xml:space="preserve">”</w:t>
            </w:r>
            <w:r>
              <w:t xml:space="preserve"> </w:t>
            </w:r>
            <w:r>
              <w:t xml:space="preserve">(singular)</w:t>
            </w:r>
          </w:p>
        </w:tc>
        <w:tc>
          <w:tcPr/>
          <w:p>
            <w:pPr>
              <w:pStyle w:val="Compact"/>
              <w:jc w:val="left"/>
            </w:pPr>
            <w:r>
              <w:rPr>
                <w:b/>
                <w:bCs/>
              </w:rPr>
              <w:t xml:space="preserve">The Redline fragments a single $68,000 card into</w:t>
            </w:r>
            <w:r>
              <w:rPr>
                <w:b/>
                <w:bCs/>
              </w:rPr>
              <w:t xml:space="preserve"> </w:t>
            </w:r>
            <w:r>
              <w:rPr>
                <w:b/>
                <w:bCs/>
              </w:rPr>
              <w:t xml:space="preserve">“</w:t>
            </w:r>
            <w:r>
              <w:rPr>
                <w:b/>
                <w:bCs/>
              </w:rPr>
              <w:t xml:space="preserve">multiple … various issuers.</w:t>
            </w:r>
            <w:r>
              <w:rPr>
                <w:b/>
                <w:bCs/>
              </w:rPr>
              <w:t xml:space="preserve">”</w:t>
            </w:r>
            <w:r>
              <w:t xml:space="preserve"> </w:t>
            </w:r>
            <w:r>
              <w:t xml:space="preserve">This interacts adversely with the new $5,000 de minimis indemnity threshold (see § VI.A.14). Verify and correct.</w:t>
            </w:r>
          </w:p>
        </w:tc>
      </w:tr>
      <w:tr>
        <w:tc>
          <w:tcPr/>
          <w:p>
            <w:pPr>
              <w:pStyle w:val="Compact"/>
              <w:jc w:val="left"/>
            </w:pPr>
            <w:r>
              <w:t xml:space="preserve">13</w:t>
            </w:r>
          </w:p>
        </w:tc>
        <w:tc>
          <w:tcPr/>
          <w:p>
            <w:pPr>
              <w:pStyle w:val="Compact"/>
              <w:jc w:val="left"/>
            </w:pPr>
            <w:r>
              <w:rPr>
                <w:b/>
                <w:bCs/>
              </w:rPr>
              <w:t xml:space="preserve">Wife’s income / practice distributions</w:t>
            </w:r>
          </w:p>
        </w:tc>
        <w:tc>
          <w:tcPr/>
          <w:p>
            <w:pPr>
              <w:pStyle w:val="Compact"/>
              <w:jc w:val="left"/>
            </w:pPr>
            <w:r>
              <w:t xml:space="preserve">W-2 $487,000</w:t>
            </w:r>
          </w:p>
        </w:tc>
        <w:tc>
          <w:tcPr/>
          <w:p>
            <w:pPr>
              <w:pStyle w:val="Compact"/>
              <w:jc w:val="left"/>
            </w:pPr>
            <w:r>
              <w:t xml:space="preserve">Schedule A: $487,000 W-2; distributions</w:t>
            </w:r>
            <w:r>
              <w:t xml:space="preserve"> </w:t>
            </w:r>
            <w:r>
              <w:t xml:space="preserve">“</w:t>
            </w:r>
            <w:r>
              <w:t xml:space="preserve">Included in W-2 / K-1 reporting</w:t>
            </w:r>
            <w:r>
              <w:t xml:space="preserve">”</w:t>
            </w:r>
          </w:p>
        </w:tc>
        <w:tc>
          <w:tcPr/>
          <w:p>
            <w:pPr>
              <w:pStyle w:val="Compact"/>
              <w:jc w:val="left"/>
            </w:pPr>
            <w:r>
              <w:t xml:space="preserve">Strand valuation report: Wife receives ~$145,000/yr in Practice distributions</w:t>
            </w:r>
            <w:r>
              <w:t xml:space="preserve"> </w:t>
            </w:r>
            <w:r>
              <w:rPr>
                <w:b/>
                <w:bCs/>
              </w:rPr>
              <w:t xml:space="preserve">separate from</w:t>
            </w:r>
            <w:r>
              <w:t xml:space="preserve"> </w:t>
            </w:r>
            <w:r>
              <w:t xml:space="preserve">W-2 (total ~$632,000)</w:t>
            </w:r>
          </w:p>
        </w:tc>
        <w:tc>
          <w:tcPr/>
          <w:p>
            <w:pPr>
              <w:pStyle w:val="Compact"/>
              <w:jc w:val="left"/>
            </w:pPr>
            <w:r>
              <w:rPr>
                <w:b/>
                <w:bCs/>
              </w:rPr>
              <w:t xml:space="preserve">The Redline understates Wife’s gross income by omitting the ~$145,000 in annual Practice distributions.</w:t>
            </w:r>
            <w:r>
              <w:t xml:space="preserve"> </w:t>
            </w:r>
            <w:r>
              <w:t xml:space="preserve">This is a disclosure-completeness problem that cuts against our own client and must be corrected so Wife’s disclosure is accurate and not later challengeable.</w:t>
            </w:r>
          </w:p>
        </w:tc>
      </w:tr>
      <w:tr>
        <w:tc>
          <w:tcPr/>
          <w:p>
            <w:pPr>
              <w:pStyle w:val="Compact"/>
              <w:jc w:val="left"/>
            </w:pPr>
            <w:r>
              <w:t xml:space="preserve">14</w:t>
            </w:r>
          </w:p>
        </w:tc>
        <w:tc>
          <w:tcPr/>
          <w:p>
            <w:pPr>
              <w:pStyle w:val="Compact"/>
              <w:jc w:val="left"/>
            </w:pPr>
            <w:r>
              <w:rPr>
                <w:b/>
                <w:bCs/>
              </w:rPr>
              <w:t xml:space="preserve">Husband’s disclosed credit card</w:t>
            </w:r>
          </w:p>
        </w:tc>
        <w:tc>
          <w:tcPr/>
          <w:p>
            <w:pPr>
              <w:pStyle w:val="Compact"/>
              <w:jc w:val="left"/>
            </w:pPr>
            <w:r>
              <w:t xml:space="preserve">(not in schedule)</w:t>
            </w:r>
          </w:p>
        </w:tc>
        <w:tc>
          <w:tcPr/>
          <w:p>
            <w:pPr>
              <w:pStyle w:val="Compact"/>
              <w:jc w:val="left"/>
            </w:pPr>
            <w:r>
              <w:t xml:space="preserve">Omitted from Schedule B</w:t>
            </w:r>
          </w:p>
        </w:tc>
        <w:tc>
          <w:tcPr/>
          <w:p>
            <w:pPr>
              <w:pStyle w:val="Compact"/>
              <w:jc w:val="left"/>
            </w:pPr>
            <w:r>
              <w:t xml:space="preserve">Amex Platinum **2201, $4,800</w:t>
            </w:r>
          </w:p>
        </w:tc>
        <w:tc>
          <w:tcPr/>
          <w:p>
            <w:pPr>
              <w:pStyle w:val="Compact"/>
              <w:jc w:val="left"/>
            </w:pPr>
            <w:r>
              <w:t xml:space="preserve">Minor omission; include for completeness.</w:t>
            </w:r>
          </w:p>
        </w:tc>
      </w:tr>
      <w:tr>
        <w:tc>
          <w:tcPr/>
          <w:p>
            <w:pPr>
              <w:pStyle w:val="Compact"/>
              <w:jc w:val="left"/>
            </w:pPr>
            <w:r>
              <w:t xml:space="preserve">15</w:t>
            </w:r>
          </w:p>
        </w:tc>
        <w:tc>
          <w:tcPr/>
          <w:p>
            <w:pPr>
              <w:pStyle w:val="Compact"/>
              <w:jc w:val="left"/>
            </w:pPr>
            <w:r>
              <w:rPr>
                <w:b/>
                <w:bCs/>
              </w:rPr>
              <w:t xml:space="preserve">Automobiles</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Wife: 2022 BMW X5 ($52,000); Husband: 2023 Mercedes GLE ($58,000)</w:t>
            </w:r>
          </w:p>
        </w:tc>
        <w:tc>
          <w:tcPr/>
          <w:p>
            <w:pPr>
              <w:pStyle w:val="Compact"/>
              <w:jc w:val="left"/>
            </w:pPr>
            <w:r>
              <w:t xml:space="preserve">~$110,000 in marital assets unaddressed in both drafts. Add to marital property.</w:t>
            </w:r>
          </w:p>
        </w:tc>
      </w:tr>
      <w:tr>
        <w:tc>
          <w:tcPr/>
          <w:p>
            <w:pPr>
              <w:pStyle w:val="Compact"/>
              <w:jc w:val="left"/>
            </w:pPr>
            <w:r>
              <w:t xml:space="preserve">16</w:t>
            </w:r>
          </w:p>
        </w:tc>
        <w:tc>
          <w:tcPr/>
          <w:p>
            <w:pPr>
              <w:pStyle w:val="Compact"/>
              <w:jc w:val="left"/>
            </w:pPr>
            <w:r>
              <w:rPr>
                <w:b/>
                <w:bCs/>
              </w:rPr>
              <w:t xml:space="preserve">Wife’s hospital address</w:t>
            </w:r>
          </w:p>
        </w:tc>
        <w:tc>
          <w:tcPr/>
          <w:p>
            <w:pPr>
              <w:pStyle w:val="Compact"/>
              <w:jc w:val="left"/>
            </w:pPr>
            <w:r>
              <w:t xml:space="preserve">“</w:t>
            </w:r>
            <w:r>
              <w:t xml:space="preserve">suburban Chicago</w:t>
            </w:r>
            <w:r>
              <w:t xml:space="preserve">”</w:t>
            </w:r>
          </w:p>
        </w:tc>
        <w:tc>
          <w:tcPr/>
          <w:p>
            <w:pPr>
              <w:pStyle w:val="Compact"/>
              <w:jc w:val="left"/>
            </w:pPr>
            <w:r>
              <w:t xml:space="preserve">“</w:t>
            </w:r>
            <w:r>
              <w:t xml:space="preserve">680 North Lake Shore Drive, Chicago, IL 60611</w:t>
            </w:r>
            <w:r>
              <w:t xml:space="preserve">”</w:t>
            </w:r>
          </w:p>
        </w:tc>
        <w:tc>
          <w:tcPr/>
          <w:p>
            <w:pPr>
              <w:pStyle w:val="Compact"/>
              <w:jc w:val="left"/>
            </w:pPr>
            <w:r>
              <w:t xml:space="preserve">“</w:t>
            </w:r>
            <w:r>
              <w:t xml:space="preserve">suburban Chicago</w:t>
            </w:r>
            <w:r>
              <w:t xml:space="preserve">”</w:t>
            </w:r>
          </w:p>
        </w:tc>
        <w:tc>
          <w:tcPr/>
          <w:p>
            <w:pPr>
              <w:pStyle w:val="Compact"/>
              <w:jc w:val="left"/>
            </w:pPr>
            <w:r>
              <w:t xml:space="preserve">Redline adds a specific address not corroborated by the intake record. Verify.</w:t>
            </w:r>
          </w:p>
        </w:tc>
      </w:tr>
      <w:tr>
        <w:tc>
          <w:tcPr/>
          <w:p>
            <w:pPr>
              <w:pStyle w:val="Compact"/>
              <w:jc w:val="left"/>
            </w:pPr>
            <w:r>
              <w:t xml:space="preserve">17</w:t>
            </w:r>
          </w:p>
        </w:tc>
        <w:tc>
          <w:tcPr/>
          <w:p>
            <w:pPr>
              <w:pStyle w:val="Compact"/>
              <w:jc w:val="left"/>
            </w:pPr>
            <w:r>
              <w:rPr>
                <w:b/>
                <w:bCs/>
              </w:rPr>
              <w:t xml:space="preserve">Wife’s practice start year</w:t>
            </w:r>
          </w:p>
        </w:tc>
        <w:tc>
          <w:tcPr/>
          <w:p>
            <w:pPr>
              <w:pStyle w:val="Compact"/>
              <w:jc w:val="left"/>
            </w:pPr>
            <w:r>
              <w:t xml:space="preserve">“</w:t>
            </w:r>
            <w:r>
              <w:t xml:space="preserve">since completing fellowship</w:t>
            </w:r>
            <w:r>
              <w:t xml:space="preserve">”</w:t>
            </w:r>
          </w:p>
        </w:tc>
        <w:tc>
          <w:tcPr/>
          <w:p>
            <w:pPr>
              <w:pStyle w:val="Compact"/>
              <w:jc w:val="left"/>
            </w:pPr>
            <w:r>
              <w:t xml:space="preserve">“</w:t>
            </w:r>
            <w:r>
              <w:t xml:space="preserve">since 2011</w:t>
            </w:r>
            <w:r>
              <w:t xml:space="preserve">”</w:t>
            </w:r>
          </w:p>
        </w:tc>
        <w:tc>
          <w:tcPr/>
          <w:p>
            <w:pPr>
              <w:pStyle w:val="Compact"/>
              <w:jc w:val="left"/>
            </w:pPr>
            <w:r>
              <w:t xml:space="preserve">Intake:</w:t>
            </w:r>
            <w:r>
              <w:t xml:space="preserve"> </w:t>
            </w:r>
            <w:r>
              <w:t xml:space="preserve">“</w:t>
            </w:r>
            <w:r>
              <w:t xml:space="preserve">over fifteen years</w:t>
            </w:r>
            <w:r>
              <w:t xml:space="preserve">”</w:t>
            </w:r>
            <w:r>
              <w:t xml:space="preserve"> </w:t>
            </w:r>
            <w:r>
              <w:t xml:space="preserve">(~2009); Strand: Practice</w:t>
            </w:r>
            <w:r>
              <w:t xml:space="preserve"> </w:t>
            </w:r>
            <w:r>
              <w:t xml:space="preserve">“</w:t>
            </w:r>
            <w:r>
              <w:t xml:space="preserve">founded ~2012</w:t>
            </w:r>
            <w:r>
              <w:t xml:space="preserve">”</w:t>
            </w:r>
          </w:p>
        </w:tc>
        <w:tc>
          <w:tcPr/>
          <w:p>
            <w:pPr>
              <w:pStyle w:val="Compact"/>
              <w:jc w:val="left"/>
            </w:pPr>
            <w:r>
              <w:t xml:space="preserve">Minor inconsistency; verify.</w:t>
            </w:r>
          </w:p>
        </w:tc>
      </w:tr>
      <w:tr>
        <w:tc>
          <w:tcPr/>
          <w:p>
            <w:pPr>
              <w:pStyle w:val="Compact"/>
              <w:jc w:val="left"/>
            </w:pPr>
            <w:r>
              <w:t xml:space="preserve">18</w:t>
            </w:r>
          </w:p>
        </w:tc>
        <w:tc>
          <w:tcPr/>
          <w:p>
            <w:pPr>
              <w:pStyle w:val="Compact"/>
              <w:jc w:val="left"/>
            </w:pPr>
            <w:r>
              <w:rPr>
                <w:b/>
                <w:bCs/>
              </w:rPr>
              <w:t xml:space="preserve">Personal property (non-vehicle)</w:t>
            </w:r>
          </w:p>
        </w:tc>
        <w:tc>
          <w:tcPr/>
          <w:p>
            <w:pPr>
              <w:pStyle w:val="Compact"/>
              <w:jc w:val="left"/>
            </w:pPr>
            <w:r>
              <w:t xml:space="preserve">Not scheduled</w:t>
            </w:r>
          </w:p>
        </w:tc>
        <w:tc>
          <w:tcPr/>
          <w:p>
            <w:pPr>
              <w:pStyle w:val="Compact"/>
              <w:jc w:val="left"/>
            </w:pPr>
            <w:r>
              <w:t xml:space="preserve">Not scheduled</w:t>
            </w:r>
          </w:p>
        </w:tc>
        <w:tc>
          <w:tcPr/>
          <w:p>
            <w:pPr>
              <w:pStyle w:val="Compact"/>
              <w:jc w:val="left"/>
            </w:pPr>
            <w:r>
              <w:t xml:space="preserve">Wife personal property $45,000 (jewelry/furnishings, W-6); Husband personal property $28,000 (golf clubs/electronics, H-6); Joint household property $65,000 (J-5)</w:t>
            </w:r>
          </w:p>
        </w:tc>
        <w:tc>
          <w:tcPr/>
          <w:p>
            <w:pPr>
              <w:pStyle w:val="Compact"/>
              <w:jc w:val="left"/>
            </w:pPr>
            <w:r>
              <w:t xml:space="preserve">~$138,000 in personal property across all three categories is unscheduled in both drafts. Add to the schedules for completeness.</w:t>
            </w:r>
          </w:p>
        </w:tc>
      </w:tr>
    </w:tbl>
    <w:p>
      <w:pPr>
        <w:pStyle w:val="BodyText"/>
      </w:pPr>
      <w:r>
        <w:rPr>
          <w:b/>
          <w:bCs/>
        </w:rPr>
        <w:t xml:space="preserve">Particular attention to Item 13.</w:t>
      </w:r>
      <w:r>
        <w:t xml:space="preserve"> </w:t>
      </w:r>
      <w:r>
        <w:t xml:space="preserve">The Strand valuation report (Section 5) expressly states that Wife’s annual W-2 compensation is approximately $487,000</w:t>
      </w:r>
      <w:r>
        <w:t xml:space="preserve"> </w:t>
      </w:r>
      <w:r>
        <w:rPr>
          <w:b/>
          <w:bCs/>
        </w:rPr>
        <w:t xml:space="preserve">and</w:t>
      </w:r>
      <w:r>
        <w:t xml:space="preserve">, separately, that</w:t>
      </w:r>
      <w:r>
        <w:t xml:space="preserve"> </w:t>
      </w:r>
      <w:r>
        <w:t xml:space="preserve">“</w:t>
      </w:r>
      <w:r>
        <w:t xml:space="preserve">annual distributions from the Practice to Dr. Veselka-Thornton have averaged approximately $145,000 over the most recent three-year period.</w:t>
      </w:r>
      <w:r>
        <w:t xml:space="preserve">”</w:t>
      </w:r>
      <w:r>
        <w:t xml:space="preserve"> </w:t>
      </w:r>
      <w:r>
        <w:t xml:space="preserve">The Redline’s Schedule A characterizes those distributions as</w:t>
      </w:r>
      <w:r>
        <w:t xml:space="preserve"> </w:t>
      </w:r>
      <w:r>
        <w:t xml:space="preserve">“</w:t>
      </w:r>
      <w:r>
        <w:t xml:space="preserve">Included in W-2 / K-1 reporting,</w:t>
      </w:r>
      <w:r>
        <w:t xml:space="preserve">”</w:t>
      </w:r>
      <w:r>
        <w:t xml:space="preserve"> </w:t>
      </w:r>
      <w:r>
        <w:t xml:space="preserve">which understates Wife’s true gross income (approximately $632,000). Because the enforceability of this agreement depends on full and fair disclosure by</w:t>
      </w:r>
      <w:r>
        <w:t xml:space="preserve"> </w:t>
      </w:r>
      <w:r>
        <w:rPr>
          <w:b/>
          <w:bCs/>
        </w:rPr>
        <w:t xml:space="preserve">both</w:t>
      </w:r>
      <w:r>
        <w:t xml:space="preserve"> </w:t>
      </w:r>
      <w:r>
        <w:t xml:space="preserve">parties, an incomplete disclosure by Wife is a self-inflicted vulnerability. We should correct Schedule A to reflect the distributions separately and accurately.</w:t>
      </w:r>
    </w:p>
    <w:bookmarkEnd w:id="24"/>
    <w:bookmarkStart w:id="25" w:name="Xac608e703c2370b2599649b273546c0abc7a02e"/>
    <w:p>
      <w:pPr>
        <w:pStyle w:val="Heading2"/>
      </w:pPr>
      <w:r>
        <w:t xml:space="preserve">V. Overview of the Redline and the Transmittal Email</w:t>
      </w:r>
    </w:p>
    <w:p>
      <w:pPr>
        <w:pStyle w:val="FirstParagraph"/>
      </w:pPr>
      <w:r>
        <w:t xml:space="preserve">The Redline reorganizes the entire instrument. The Original Draft used lettered Recitals (A–L) followed by Articles 1–15. The Redline folds the recitals into Article I and renumbers all articles with Roman numerals (Articles I–XVI), adds</w:t>
      </w:r>
      <w:r>
        <w:t xml:space="preserve"> </w:t>
      </w:r>
      <w:r>
        <w:t xml:space="preserve">“</w:t>
      </w:r>
      <w:r>
        <w:t xml:space="preserve">REVISED DRAFT — January 6, 2025</w:t>
      </w:r>
      <w:r>
        <w:t xml:space="preserve">”</w:t>
      </w:r>
      <w:r>
        <w:t xml:space="preserve"> </w:t>
      </w:r>
      <w:r>
        <w:t xml:space="preserve">and</w:t>
      </w:r>
      <w:r>
        <w:t xml:space="preserve"> </w:t>
      </w:r>
      <w:r>
        <w:t xml:space="preserve">“</w:t>
      </w:r>
      <w:r>
        <w:t xml:space="preserve">PRIVILEGED AND CONFIDENTIAL — DRAFT</w:t>
      </w:r>
      <w:r>
        <w:t xml:space="preserve">”</w:t>
      </w:r>
      <w:r>
        <w:t xml:space="preserve"> </w:t>
      </w:r>
      <w:r>
        <w:t xml:space="preserve">markings, and reorders several provisions (e.g., Wife’s separate property now precedes Husband’s). The reorganization itself is acceptable, but it has the effect of making line-by-line comparison harder and has dropped several favorable provisions in the process (see § VI.D).</w:t>
      </w:r>
    </w:p>
    <w:p>
      <w:pPr>
        <w:pStyle w:val="BodyText"/>
      </w:pPr>
      <w:r>
        <w:t xml:space="preserve">The transmittal email’s tone is conciliatory and minimizing. It flags only six items (severability, notarization/witnesses, the spelling correction, the marriage-commitment recital, the sunset term, and the DuPage venue) and represents that the balance of the edits are</w:t>
      </w:r>
      <w:r>
        <w:t xml:space="preserve"> </w:t>
      </w:r>
      <w:r>
        <w:t xml:space="preserve">“</w:t>
      </w:r>
      <w:r>
        <w:t xml:space="preserve">definitional in nature or designed to bring greater precision.</w:t>
      </w:r>
      <w:r>
        <w:t xml:space="preserve">”</w:t>
      </w:r>
      <w:r>
        <w:t xml:space="preserve"> </w:t>
      </w:r>
      <w:r>
        <w:t xml:space="preserve">In fact, the most consequential financial and protective provisions have been altered without any mention in the email, and the two most dangerous edits (the unilateral modification mechanism, TC-46, and the voidability weakening, TC-42) carry</w:t>
      </w:r>
      <w:r>
        <w:t xml:space="preserve"> </w:t>
      </w:r>
      <w:r>
        <w:rPr>
          <w:b/>
          <w:bCs/>
        </w:rPr>
        <w:t xml:space="preserve">no margin comment at all</w:t>
      </w:r>
      <w:r>
        <w:t xml:space="preserve">. This is precisely the pattern the client warned us about at intake: she described Husband’s financial concealment as</w:t>
      </w:r>
      <w:r>
        <w:t xml:space="preserve"> </w:t>
      </w:r>
      <w:r>
        <w:t xml:space="preserve">“</w:t>
      </w:r>
      <w:r>
        <w:t xml:space="preserve">a pattern, noting that on at least two prior occasions she had discovered purchases or accounts he had not mentioned,</w:t>
      </w:r>
      <w:r>
        <w:t xml:space="preserve">”</w:t>
      </w:r>
      <w:r>
        <w:t xml:space="preserve"> </w:t>
      </w:r>
      <w:r>
        <w:t xml:space="preserve">and cautioned that we</w:t>
      </w:r>
      <w:r>
        <w:t xml:space="preserve"> </w:t>
      </w:r>
      <w:r>
        <w:t xml:space="preserve">“</w:t>
      </w:r>
      <w:r>
        <w:t xml:space="preserve">should scrutinize any counterproposals carefully for hidden or embedded terms that might undermine her core objectives.</w:t>
      </w:r>
      <w:r>
        <w:t xml:space="preserve">”</w:t>
      </w:r>
      <w:r>
        <w:t xml:space="preserve"> </w:t>
      </w:r>
      <w:r>
        <w:t xml:space="preserve">The Redline contains several such terms.</w:t>
      </w:r>
    </w:p>
    <w:bookmarkEnd w:id="25"/>
    <w:bookmarkStart w:id="31" w:name="vi.-change-analysis"/>
    <w:p>
      <w:pPr>
        <w:pStyle w:val="Heading2"/>
      </w:pPr>
      <w:r>
        <w:t xml:space="preserve">VI. Change Analysis</w:t>
      </w:r>
    </w:p>
    <w:p>
      <w:pPr>
        <w:pStyle w:val="FirstParagraph"/>
      </w:pPr>
      <w:r>
        <w:t xml:space="preserve">Changes are grouped by effect: (A) major adverse changes requiring restoration; (B) changes favorable to Wife to accept and lock in; (C) benign or standard changes to accept; and (D) provisions dropped in the reorganization that should be restored.</w:t>
      </w:r>
    </w:p>
    <w:bookmarkStart w:id="26" w:name="a.-major-adverse-changes-red-flags"/>
    <w:p>
      <w:pPr>
        <w:pStyle w:val="Heading3"/>
      </w:pPr>
      <w:r>
        <w:t xml:space="preserve">A. Major Adverse Changes (Red Flags)</w:t>
      </w:r>
    </w:p>
    <w:p>
      <w:pPr>
        <w:pStyle w:val="FirstParagraph"/>
      </w:pPr>
      <w:r>
        <w:rPr>
          <w:b/>
          <w:bCs/>
        </w:rPr>
        <w:t xml:space="preserve">A.1 — Deletion of Wife’s $1,200,000 Premarital-Savings Reimbursement Right (TC-22; MC-05).</w:t>
      </w:r>
      <w:r>
        <w:t xml:space="preserve"> </w:t>
      </w:r>
      <w:r>
        <w:t xml:space="preserve">The Original Draft’s Section 5.2 granted Wife a</w:t>
      </w:r>
      <w:r>
        <w:t xml:space="preserve"> </w:t>
      </w:r>
      <w:r>
        <w:rPr>
          <w:b/>
          <w:bCs/>
        </w:rPr>
        <w:t xml:space="preserve">first-priority</w:t>
      </w:r>
      <w:r>
        <w:t xml:space="preserve"> </w:t>
      </w:r>
      <w:r>
        <w:t xml:space="preserve">reimbursement claim of $1,200,000 against the Joint Investment Account before any equal division, reflecting her traceable premarital contribution. The Redline deletes this section entirely. Mr. Baxter’s margin comment (MC-05) calls it</w:t>
      </w:r>
      <w:r>
        <w:t xml:space="preserve"> </w:t>
      </w:r>
      <w:r>
        <w:t xml:space="preserve">“</w:t>
      </w:r>
      <w:r>
        <w:t xml:space="preserve">duplicative of Section 5.1 general property division provisions.</w:t>
      </w:r>
      <w:r>
        <w:t xml:space="preserve">”</w:t>
      </w:r>
      <w:r>
        <w:t xml:space="preserve"> </w:t>
      </w:r>
      <w:r>
        <w:t xml:space="preserve">That characterization is</w:t>
      </w:r>
      <w:r>
        <w:t xml:space="preserve"> </w:t>
      </w:r>
      <w:r>
        <w:rPr>
          <w:b/>
          <w:bCs/>
        </w:rPr>
        <w:t xml:space="preserve">false</w:t>
      </w:r>
      <w:r>
        <w:t xml:space="preserve">: the reimbursement right was a first-dollar, priority claim distinct from a default 50/50 split, and it is the client’s single most important objective. She told us at intake that protecting the $1.2 million was</w:t>
      </w:r>
      <w:r>
        <w:t xml:space="preserve"> </w:t>
      </w:r>
      <w:r>
        <w:t xml:space="preserve">“</w:t>
      </w:r>
      <w:r>
        <w:t xml:space="preserve">the whole reason</w:t>
      </w:r>
      <w:r>
        <w:t xml:space="preserve">”</w:t>
      </w:r>
      <w:r>
        <w:t xml:space="preserve"> </w:t>
      </w:r>
      <w:r>
        <w:t xml:space="preserve">she is pursuing the agreement and that it is</w:t>
      </w:r>
      <w:r>
        <w:t xml:space="preserve"> </w:t>
      </w:r>
      <w:r>
        <w:t xml:space="preserve">“</w:t>
      </w:r>
      <w:r>
        <w:t xml:space="preserve">non-negotiable.</w:t>
      </w:r>
      <w:r>
        <w:t xml:space="preserve">”</w:t>
      </w:r>
      <w:r>
        <w:t xml:space="preserve"> </w:t>
      </w:r>
      <w:r>
        <w:t xml:space="preserve">The financial impact is concrete and large:</w:t>
      </w:r>
    </w:p>
    <w:p>
      <w:pPr>
        <w:pStyle w:val="Compact"/>
        <w:numPr>
          <w:ilvl w:val="0"/>
          <w:numId w:val="1003"/>
        </w:numPr>
      </w:pPr>
      <w:r>
        <w:rPr>
          <w:b/>
          <w:bCs/>
        </w:rPr>
        <w:t xml:space="preserve">Original Draft:</w:t>
      </w:r>
      <w:r>
        <w:t xml:space="preserve"> </w:t>
      </w:r>
      <w:r>
        <w:t xml:space="preserve">Joint Investment Account ($1,870,000) → Wife receives $1,200,000 reimbursement + $335,000 (half of the remaining $670,000 appreciation) =</w:t>
      </w:r>
      <w:r>
        <w:t xml:space="preserve"> </w:t>
      </w:r>
      <w:r>
        <w:rPr>
          <w:b/>
          <w:bCs/>
        </w:rPr>
        <w:t xml:space="preserve">$1,535,000</w:t>
      </w:r>
      <w:r>
        <w:t xml:space="preserve">; Husband receives $335,000.</w:t>
      </w:r>
    </w:p>
    <w:p>
      <w:pPr>
        <w:pStyle w:val="Compact"/>
        <w:numPr>
          <w:ilvl w:val="0"/>
          <w:numId w:val="1003"/>
        </w:numPr>
      </w:pPr>
      <w:r>
        <w:rPr>
          <w:b/>
          <w:bCs/>
        </w:rPr>
        <w:t xml:space="preserve">Redline:</w:t>
      </w:r>
      <w:r>
        <w:t xml:space="preserve"> </w:t>
      </w:r>
      <w:r>
        <w:t xml:space="preserve">Joint Investment Account ($1,870,000) → 50/50 =</w:t>
      </w:r>
      <w:r>
        <w:t xml:space="preserve"> </w:t>
      </w:r>
      <w:r>
        <w:rPr>
          <w:b/>
          <w:bCs/>
        </w:rPr>
        <w:t xml:space="preserve">$935,000</w:t>
      </w:r>
      <w:r>
        <w:t xml:space="preserve"> </w:t>
      </w:r>
      <w:r>
        <w:t xml:space="preserve">each.</w:t>
      </w:r>
    </w:p>
    <w:p>
      <w:pPr>
        <w:pStyle w:val="Compact"/>
        <w:numPr>
          <w:ilvl w:val="0"/>
          <w:numId w:val="1003"/>
        </w:numPr>
      </w:pPr>
      <w:r>
        <w:rPr>
          <w:b/>
          <w:bCs/>
        </w:rPr>
        <w:t xml:space="preserve">Impact on Wife: −$600,000</w:t>
      </w:r>
      <w:r>
        <w:t xml:space="preserve"> </w:t>
      </w:r>
      <w:r>
        <w:t xml:space="preserve">(and a corresponding +$600,000 to Husband).</w:t>
      </w:r>
    </w:p>
    <w:p>
      <w:pPr>
        <w:pStyle w:val="FirstParagraph"/>
      </w:pPr>
      <w:r>
        <w:t xml:space="preserve">The financial disclosure (Joint sheet, Line J-2) documents the tracing in detail (Wife’s premarital funds from individual Northbridge account **0184, closed 2014, into joint account **3291), and the intake memo confirms the client was advised such a reimbursement right is enforceable under Illinois tracing principles (750 ILCS 5/503(c)).</w:t>
      </w:r>
      <w:r>
        <w:t xml:space="preserve"> </w:t>
      </w:r>
      <w:r>
        <w:rPr>
          <w:b/>
          <w:bCs/>
        </w:rPr>
        <w:t xml:space="preserve">This provision must be restored.</w:t>
      </w:r>
    </w:p>
    <w:p>
      <w:pPr>
        <w:pStyle w:val="BodyText"/>
      </w:pPr>
      <w:r>
        <w:rPr>
          <w:b/>
          <w:bCs/>
        </w:rPr>
        <w:t xml:space="preserve">A.2 — Voidability Remedy Gutted (TC-42).</w:t>
      </w:r>
      <w:r>
        <w:t xml:space="preserve"> </w:t>
      </w:r>
      <w:r>
        <w:t xml:space="preserve">The Original Draft (Sections 3.3 and 12.3) made the agreement voidable for</w:t>
      </w:r>
      <w:r>
        <w:t xml:space="preserve"> </w:t>
      </w:r>
      <w:r>
        <w:rPr>
          <w:b/>
          <w:bCs/>
        </w:rPr>
        <w:t xml:space="preserve">any material omission or misrepresentation</w:t>
      </w:r>
      <w:r>
        <w:t xml:space="preserve"> </w:t>
      </w:r>
      <w:r>
        <w:t xml:space="preserve">in financial disclosure, with</w:t>
      </w:r>
      <w:r>
        <w:t xml:space="preserve"> </w:t>
      </w:r>
      <w:r>
        <w:rPr>
          <w:b/>
          <w:bCs/>
        </w:rPr>
        <w:t xml:space="preserve">no heightened evidentiary standard, no dollar threshold, and no intent requirement</w:t>
      </w:r>
      <w:r>
        <w:t xml:space="preserve">. The Redline (Section 12.2) replaces this with: voidable</w:t>
      </w:r>
      <w:r>
        <w:t xml:space="preserve"> </w:t>
      </w:r>
      <w:r>
        <w:rPr>
          <w:b/>
          <w:bCs/>
        </w:rPr>
        <w:t xml:space="preserve">only</w:t>
      </w:r>
      <w:r>
        <w:t xml:space="preserve"> </w:t>
      </w:r>
      <w:r>
        <w:t xml:space="preserve">if a party proves by</w:t>
      </w:r>
      <w:r>
        <w:t xml:space="preserve"> </w:t>
      </w:r>
      <w:r>
        <w:rPr>
          <w:b/>
          <w:bCs/>
        </w:rPr>
        <w:t xml:space="preserve">clear and convincing evidence</w:t>
      </w:r>
      <w:r>
        <w:t xml:space="preserve"> </w:t>
      </w:r>
      <w:r>
        <w:t xml:space="preserve">that the other</w:t>
      </w:r>
      <w:r>
        <w:t xml:space="preserve"> </w:t>
      </w:r>
      <w:r>
        <w:rPr>
          <w:b/>
          <w:bCs/>
        </w:rPr>
        <w:t xml:space="preserve">intentionally concealed</w:t>
      </w:r>
      <w:r>
        <w:t xml:space="preserve"> </w:t>
      </w:r>
      <w:r>
        <w:t xml:space="preserve">assets/income/liabilities with an aggregate value</w:t>
      </w:r>
      <w:r>
        <w:t xml:space="preserve"> </w:t>
      </w:r>
      <w:r>
        <w:rPr>
          <w:b/>
          <w:bCs/>
        </w:rPr>
        <w:t xml:space="preserve">exceeding $100,000</w:t>
      </w:r>
      <w:r>
        <w:t xml:space="preserve">, and the claim must be brought</w:t>
      </w:r>
      <w:r>
        <w:t xml:space="preserve"> </w:t>
      </w:r>
      <w:r>
        <w:rPr>
          <w:b/>
          <w:bCs/>
        </w:rPr>
        <w:t xml:space="preserve">within two years</w:t>
      </w:r>
      <w:r>
        <w:t xml:space="preserve"> </w:t>
      </w:r>
      <w:r>
        <w:t xml:space="preserve">of discovery. This is exactly the outcome the client told us to prevent: she said,</w:t>
      </w:r>
      <w:r>
        <w:t xml:space="preserve"> </w:t>
      </w:r>
      <w:r>
        <w:t xml:space="preserve">“</w:t>
      </w:r>
      <w:r>
        <w:t xml:space="preserve">If Marcus is hiding a $10,000 account or a $50,000 account, I want to be able to void this agreement. I don’t want a provision that only kicks in if he hides a million dollars.</w:t>
      </w:r>
      <w:r>
        <w:t xml:space="preserve">”</w:t>
      </w:r>
      <w:r>
        <w:t xml:space="preserve"> </w:t>
      </w:r>
      <w:r>
        <w:t xml:space="preserve">The intake memo (Section VI) expressly warned us to</w:t>
      </w:r>
      <w:r>
        <w:t xml:space="preserve"> </w:t>
      </w:r>
      <w:r>
        <w:t xml:space="preserve">“</w:t>
      </w:r>
      <w:r>
        <w:t xml:space="preserve">resist any effort by opposing counsel to impose a heightened</w:t>
      </w:r>
      <w:r>
        <w:t xml:space="preserve"> </w:t>
      </w:r>
      <w:r>
        <w:t xml:space="preserve">‘</w:t>
      </w:r>
      <w:r>
        <w:t xml:space="preserve">intentional concealment</w:t>
      </w:r>
      <w:r>
        <w:t xml:space="preserve">’</w:t>
      </w:r>
      <w:r>
        <w:t xml:space="preserve"> </w:t>
      </w:r>
      <w:r>
        <w:t xml:space="preserve">standard or a dollar-amount threshold.</w:t>
      </w:r>
      <w:r>
        <w:t xml:space="preserve">”</w:t>
      </w:r>
      <w:r>
        <w:t xml:space="preserve"> </w:t>
      </w:r>
      <w:r>
        <w:t xml:space="preserve">The $100,000 threshold is also notable because Husband’s</w:t>
      </w:r>
      <w:r>
        <w:t xml:space="preserve"> </w:t>
      </w:r>
      <w:r>
        <w:rPr>
          <w:b/>
          <w:bCs/>
        </w:rPr>
        <w:t xml:space="preserve">prior</w:t>
      </w:r>
      <w:r>
        <w:t xml:space="preserve"> </w:t>
      </w:r>
      <w:r>
        <w:t xml:space="preserve">undisclosed debt was $68,000 — just under the threshold — suggesting the figure was calibrated to shield non-disclosure at the level Husband has already demonstrated. The intake memo further records that the client described Husband’s concealment as</w:t>
      </w:r>
      <w:r>
        <w:t xml:space="preserve"> </w:t>
      </w:r>
      <w:r>
        <w:t xml:space="preserve">“</w:t>
      </w:r>
      <w:r>
        <w:t xml:space="preserve">a pattern,</w:t>
      </w:r>
      <w:r>
        <w:t xml:space="preserve">”</w:t>
      </w:r>
      <w:r>
        <w:t xml:space="preserve"> </w:t>
      </w:r>
      <w:r>
        <w:t xml:space="preserve">with</w:t>
      </w:r>
      <w:r>
        <w:t xml:space="preserve"> </w:t>
      </w:r>
      <w:r>
        <w:t xml:space="preserve">“</w:t>
      </w:r>
      <w:r>
        <w:t xml:space="preserve">at least two prior occasions</w:t>
      </w:r>
      <w:r>
        <w:t xml:space="preserve">”</w:t>
      </w:r>
      <w:r>
        <w:t xml:space="preserve"> </w:t>
      </w:r>
      <w:r>
        <w:t xml:space="preserve">of undisclosed purchases or accounts, which underscores why a robust, low-threshold remedy is essential.</w:t>
      </w:r>
      <w:r>
        <w:t xml:space="preserve"> </w:t>
      </w:r>
      <w:r>
        <w:rPr>
          <w:b/>
          <w:bCs/>
        </w:rPr>
        <w:t xml:space="preserve">Restore the original</w:t>
      </w:r>
      <w:r>
        <w:rPr>
          <w:b/>
          <w:bCs/>
        </w:rPr>
        <w:t xml:space="preserve"> </w:t>
      </w:r>
      <w:r>
        <w:rPr>
          <w:b/>
          <w:bCs/>
        </w:rPr>
        <w:t xml:space="preserve">“</w:t>
      </w:r>
      <w:r>
        <w:rPr>
          <w:b/>
          <w:bCs/>
        </w:rPr>
        <w:t xml:space="preserve">material omission</w:t>
      </w:r>
      <w:r>
        <w:rPr>
          <w:b/>
          <w:bCs/>
        </w:rPr>
        <w:t xml:space="preserve">”</w:t>
      </w:r>
      <w:r>
        <w:rPr>
          <w:b/>
          <w:bCs/>
        </w:rPr>
        <w:t xml:space="preserve"> </w:t>
      </w:r>
      <w:r>
        <w:rPr>
          <w:b/>
          <w:bCs/>
        </w:rPr>
        <w:t xml:space="preserve">standard with no heightened burden, no dollar threshold, and no intent requirement.</w:t>
      </w:r>
    </w:p>
    <w:p>
      <w:pPr>
        <w:pStyle w:val="BodyText"/>
      </w:pPr>
      <w:r>
        <w:rPr>
          <w:b/>
          <w:bCs/>
        </w:rPr>
        <w:t xml:space="preserve">A.3 — Ongoing Disclosure Duty Deleted (Original Section 3.4).</w:t>
      </w:r>
      <w:r>
        <w:t xml:space="preserve"> </w:t>
      </w:r>
      <w:r>
        <w:t xml:space="preserve">The Original Draft imposed a continuing obligation to disclose material post-Effective-Date changes (new assets, new debts, material income/employment changes, gifts/inheritances over $10,000) within 30 days. The Redline contains no equivalent ongoing duty. The client specifically wanted</w:t>
      </w:r>
      <w:r>
        <w:t xml:space="preserve"> </w:t>
      </w:r>
      <w:r>
        <w:t xml:space="preserve">“</w:t>
      </w:r>
      <w:r>
        <w:t xml:space="preserve">ongoing annual disclosure obligations.</w:t>
      </w:r>
      <w:r>
        <w:t xml:space="preserve">”</w:t>
      </w:r>
      <w:r>
        <w:t xml:space="preserve"> </w:t>
      </w:r>
      <w:r>
        <w:rPr>
          <w:b/>
          <w:bCs/>
        </w:rPr>
        <w:t xml:space="preserve">Restore.</w:t>
      </w:r>
    </w:p>
    <w:p>
      <w:pPr>
        <w:pStyle w:val="BodyText"/>
      </w:pPr>
      <w:r>
        <w:rPr>
          <w:b/>
          <w:bCs/>
        </w:rPr>
        <w:t xml:space="preserve">A.4 — Future-Debt Disclosure Duty Deleted (Original Section 11.3).</w:t>
      </w:r>
      <w:r>
        <w:t xml:space="preserve"> </w:t>
      </w:r>
      <w:r>
        <w:t xml:space="preserve">The Original Draft required disclosure of any new debt over $5,000 within 15 days, with failure constituting a material breach. The Redline’s Article XI omits this. Given Husband’s documented history of concealed debt, this proactive transparency mechanism is important.</w:t>
      </w:r>
      <w:r>
        <w:t xml:space="preserve"> </w:t>
      </w:r>
      <w:r>
        <w:rPr>
          <w:b/>
          <w:bCs/>
        </w:rPr>
        <w:t xml:space="preserve">Restore.</w:t>
      </w:r>
    </w:p>
    <w:p>
      <w:pPr>
        <w:pStyle w:val="BodyText"/>
      </w:pPr>
      <w:r>
        <w:rPr>
          <w:b/>
          <w:bCs/>
        </w:rPr>
        <w:t xml:space="preserve">A.5 — New Unilateral Modification Mechanism (TC-46; no margin comment).</w:t>
      </w:r>
      <w:r>
        <w:t xml:space="preserve"> </w:t>
      </w:r>
      <w:r>
        <w:t xml:space="preserve">The Original Draft (Section 14.1) permitted modification</w:t>
      </w:r>
      <w:r>
        <w:t xml:space="preserve"> </w:t>
      </w:r>
      <w:r>
        <w:rPr>
          <w:b/>
          <w:bCs/>
        </w:rPr>
        <w:t xml:space="preserve">only by a written instrument signed by both parties</w:t>
      </w:r>
      <w:r>
        <w:t xml:space="preserve"> </w:t>
      </w:r>
      <w:r>
        <w:t xml:space="preserve">— exactly what the client requested (Objective 5(f):</w:t>
      </w:r>
      <w:r>
        <w:t xml:space="preserve"> </w:t>
      </w:r>
      <w:r>
        <w:t xml:space="preserve">“</w:t>
      </w:r>
      <w:r>
        <w:t xml:space="preserve">a requirement that any modifications be made only by mutual written consent, to prevent one-sided changes</w:t>
      </w:r>
      <w:r>
        <w:t xml:space="preserve">”</w:t>
      </w:r>
      <w:r>
        <w:t xml:space="preserve">). The Redline (Section 14.2) adds that</w:t>
      </w:r>
      <w:r>
        <w:t xml:space="preserve"> </w:t>
      </w:r>
      <w:r>
        <w:rPr>
          <w:b/>
          <w:bCs/>
        </w:rPr>
        <w:t xml:space="preserve">either party may propose a modification by written notice that becomes effective 90 days after delivery unless the other party delivers a written objection within that period.</w:t>
      </w:r>
      <w:r>
        <w:t xml:space="preserve"> </w:t>
      </w:r>
      <w:r>
        <w:t xml:space="preserve">This is a unilateral amendment-by-inaction mechanism: if a spouse fails to object in time (e.g., due to travel, illness, or oversight), the agreement changes without their consent. This is highly unusual, dangerous, and directly contrary to the client’s objective. It carries no margin comment, consistent with the client’s warning about</w:t>
      </w:r>
      <w:r>
        <w:t xml:space="preserve"> </w:t>
      </w:r>
      <w:r>
        <w:t xml:space="preserve">“</w:t>
      </w:r>
      <w:r>
        <w:t xml:space="preserve">hidden or embedded terms.</w:t>
      </w:r>
      <w:r>
        <w:t xml:space="preserve">”</w:t>
      </w:r>
      <w:r>
        <w:t xml:space="preserve"> </w:t>
      </w:r>
      <w:r>
        <w:rPr>
          <w:b/>
          <w:bCs/>
        </w:rPr>
        <w:t xml:space="preserve">Reject entirely; restore mutual-written-consent requirement</w:t>
      </w:r>
      <w:r>
        <w:t xml:space="preserve"> </w:t>
      </w:r>
      <w:r>
        <w:t xml:space="preserve">(including the Original’s express prohibition on oral and unilateral modifications).</w:t>
      </w:r>
    </w:p>
    <w:p>
      <w:pPr>
        <w:pStyle w:val="BodyText"/>
      </w:pPr>
      <w:r>
        <w:rPr>
          <w:b/>
          <w:bCs/>
        </w:rPr>
        <w:t xml:space="preserve">A.6 — Transmutation Rule Reversed (TC-19; MC-04).</w:t>
      </w:r>
      <w:r>
        <w:t xml:space="preserve"> </w:t>
      </w:r>
      <w:r>
        <w:t xml:space="preserve">The Original Draft (Section 4.3(b)) provided that separate property used for the joint benefit of the household (mortgage payments, home improvements, family vacations, children’s tuition, etc.)</w:t>
      </w:r>
      <w:r>
        <w:t xml:space="preserve"> </w:t>
      </w:r>
      <w:r>
        <w:t xml:space="preserve">“</w:t>
      </w:r>
      <w:r>
        <w:t xml:space="preserve">shall be deemed a gift to the marriage and shall be treated as Marital Property,</w:t>
      </w:r>
      <w:r>
        <w:t xml:space="preserve">”</w:t>
      </w:r>
      <w:r>
        <w:t xml:space="preserve"> </w:t>
      </w:r>
      <w:r>
        <w:t xml:space="preserve">with a rebuttable presumption of transmutation. The Redline (Section 4.3(c))</w:t>
      </w:r>
      <w:r>
        <w:t xml:space="preserve"> </w:t>
      </w:r>
      <w:r>
        <w:rPr>
          <w:b/>
          <w:bCs/>
        </w:rPr>
        <w:t xml:space="preserve">reverses</w:t>
      </w:r>
      <w:r>
        <w:t xml:space="preserve"> </w:t>
      </w:r>
      <w:r>
        <w:t xml:space="preserve">this: such use</w:t>
      </w:r>
      <w:r>
        <w:t xml:space="preserve"> </w:t>
      </w:r>
      <w:r>
        <w:t xml:space="preserve">“</w:t>
      </w:r>
      <w:r>
        <w:t xml:space="preserve">shall not be deemed commingled,</w:t>
      </w:r>
      <w:r>
        <w:t xml:space="preserve">”</w:t>
      </w:r>
      <w:r>
        <w:t xml:space="preserve"> </w:t>
      </w:r>
      <w:r>
        <w:t xml:space="preserve">the contributing party</w:t>
      </w:r>
      <w:r>
        <w:t xml:space="preserve"> </w:t>
      </w:r>
      <w:r>
        <w:t xml:space="preserve">“</w:t>
      </w:r>
      <w:r>
        <w:t xml:space="preserve">shall retain a claim for reimbursement,</w:t>
      </w:r>
      <w:r>
        <w:t xml:space="preserve">”</w:t>
      </w:r>
      <w:r>
        <w:t xml:space="preserve"> </w:t>
      </w:r>
      <w:r>
        <w:t xml:space="preserve">and the property</w:t>
      </w:r>
      <w:r>
        <w:t xml:space="preserve"> </w:t>
      </w:r>
      <w:r>
        <w:t xml:space="preserve">“</w:t>
      </w:r>
      <w:r>
        <w:t xml:space="preserve">retain[s] its classification as Separate Property.</w:t>
      </w:r>
      <w:r>
        <w:t xml:space="preserve">”</w:t>
      </w:r>
      <w:r>
        <w:t xml:space="preserve"> </w:t>
      </w:r>
      <w:r>
        <w:t xml:space="preserve">Mr. Baxter’s comment (MC-04) frames this as protecting</w:t>
      </w:r>
      <w:r>
        <w:t xml:space="preserve"> </w:t>
      </w:r>
      <w:r>
        <w:t xml:space="preserve">“</w:t>
      </w:r>
      <w:r>
        <w:t xml:space="preserve">both parties’ separate property from inadvertent commingling through ordinary family expenditures.</w:t>
      </w:r>
      <w:r>
        <w:t xml:space="preserve">”</w:t>
      </w:r>
      <w:r>
        <w:t xml:space="preserve"> </w:t>
      </w:r>
      <w:r>
        <w:t xml:space="preserve">In practice, the separate property most likely to be deployed for joint household use is</w:t>
      </w:r>
      <w:r>
        <w:t xml:space="preserve"> </w:t>
      </w:r>
      <w:r>
        <w:rPr>
          <w:b/>
          <w:bCs/>
        </w:rPr>
        <w:t xml:space="preserve">Husband’s $3.8 million inheritance</w:t>
      </w:r>
      <w:r>
        <w:t xml:space="preserve"> </w:t>
      </w:r>
      <w:r>
        <w:t xml:space="preserve">— the very scenario the client flagged at intake (Section II.H: concern about Husband</w:t>
      </w:r>
      <w:r>
        <w:t xml:space="preserve"> </w:t>
      </w:r>
      <w:r>
        <w:t xml:space="preserve">“</w:t>
      </w:r>
      <w:r>
        <w:t xml:space="preserve">paying down the mortgage, funding home improvements, or paying family expenses</w:t>
      </w:r>
      <w:r>
        <w:t xml:space="preserve">”</w:t>
      </w:r>
      <w:r>
        <w:t xml:space="preserve"> </w:t>
      </w:r>
      <w:r>
        <w:t xml:space="preserve">and the effect on classification). Under the Original, such use could transmute the used portion to marital (Wife shares); under the Redline, it remains Husband’s separate property and Wife gets only a reimbursement claim. The potential loss to Wife is large and speculative — e.g., a $612,000 mortgage paydown from inheritance could shift roughly $300,000 in value.</w:t>
      </w:r>
      <w:r>
        <w:t xml:space="preserve"> </w:t>
      </w:r>
      <w:r>
        <w:rPr>
          <w:b/>
          <w:bCs/>
        </w:rPr>
        <w:t xml:space="preserve">Restore the original transmutation provision, or at minimum preserve the rebuttable presumption of transmutation for joint-benefit use.</w:t>
      </w:r>
    </w:p>
    <w:p>
      <w:pPr>
        <w:pStyle w:val="BodyText"/>
      </w:pPr>
      <w:r>
        <w:rPr>
          <w:b/>
          <w:bCs/>
        </w:rPr>
        <w:t xml:space="preserve">A.7 — Commingling Rule Softened (TC-18; MC-03).</w:t>
      </w:r>
      <w:r>
        <w:t xml:space="preserve"> </w:t>
      </w:r>
      <w:r>
        <w:t xml:space="preserve">The Original Draft (Section 4.3(a)) stated that commingled separate property</w:t>
      </w:r>
      <w:r>
        <w:t xml:space="preserve"> </w:t>
      </w:r>
      <w:r>
        <w:t xml:space="preserve">“</w:t>
      </w:r>
      <w:r>
        <w:t xml:space="preserve">shall be treated as Marital Property to the extent of such commingling.</w:t>
      </w:r>
      <w:r>
        <w:t xml:space="preserve">”</w:t>
      </w:r>
      <w:r>
        <w:t xml:space="preserve"> </w:t>
      </w:r>
      <w:r>
        <w:t xml:space="preserve">The Redline (Section 4.3(b)) softens this to commingling</w:t>
      </w:r>
      <w:r>
        <w:t xml:space="preserve"> </w:t>
      </w:r>
      <w:r>
        <w:t xml:space="preserve">“</w:t>
      </w:r>
      <w:r>
        <w:t xml:space="preserve">may, depending on the circumstances, result in the reclassification … provided that tracing … remains possible.</w:t>
      </w:r>
      <w:r>
        <w:t xml:space="preserve">”</w:t>
      </w:r>
      <w:r>
        <w:t xml:space="preserve"> </w:t>
      </w:r>
      <w:r>
        <w:t xml:space="preserve">The comment (MC-03) says this</w:t>
      </w:r>
      <w:r>
        <w:t xml:space="preserve"> </w:t>
      </w:r>
      <w:r>
        <w:t xml:space="preserve">“</w:t>
      </w:r>
      <w:r>
        <w:t xml:space="preserve">align[s] with Illinois tracing principles under 750 ILCS 5/503(c).</w:t>
      </w:r>
      <w:r>
        <w:t xml:space="preserve">”</w:t>
      </w:r>
      <w:r>
        <w:t xml:space="preserve"> </w:t>
      </w:r>
      <w:r>
        <w:t xml:space="preserve">The Original was already consistent with Illinois law; the change weakens the commingling rule from a mandatory to a discretionary standard.</w:t>
      </w:r>
      <w:r>
        <w:t xml:space="preserve"> </w:t>
      </w:r>
      <w:r>
        <w:rPr>
          <w:b/>
          <w:bCs/>
        </w:rPr>
        <w:t xml:space="preserve">Restore the original mandatory language.</w:t>
      </w:r>
    </w:p>
    <w:p>
      <w:pPr>
        <w:pStyle w:val="BodyText"/>
      </w:pPr>
      <w:r>
        <w:rPr>
          <w:b/>
          <w:bCs/>
        </w:rPr>
        <w:t xml:space="preserve">A.8 —</w:t>
      </w:r>
      <w:r>
        <w:rPr>
          <w:b/>
          <w:bCs/>
        </w:rPr>
        <w:t xml:space="preserve"> </w:t>
      </w:r>
      <w:r>
        <w:rPr>
          <w:b/>
          <w:bCs/>
        </w:rPr>
        <w:t xml:space="preserve">“</w:t>
      </w:r>
      <w:r>
        <w:rPr>
          <w:b/>
          <w:bCs/>
        </w:rPr>
        <w:t xml:space="preserve">Marital Property</w:t>
      </w:r>
      <w:r>
        <w:rPr>
          <w:b/>
          <w:bCs/>
        </w:rPr>
        <w:t xml:space="preserve">”</w:t>
      </w:r>
      <w:r>
        <w:rPr>
          <w:b/>
          <w:bCs/>
        </w:rPr>
        <w:t xml:space="preserve"> </w:t>
      </w:r>
      <w:r>
        <w:rPr>
          <w:b/>
          <w:bCs/>
        </w:rPr>
        <w:t xml:space="preserve">Definition Narrowed (TC-08).</w:t>
      </w:r>
      <w:r>
        <w:t xml:space="preserve"> </w:t>
      </w:r>
      <w:r>
        <w:t xml:space="preserve">The Original Draft defined Marital Property broadly to include all property acquired during the marriage,</w:t>
      </w:r>
      <w:r>
        <w:t xml:space="preserve"> </w:t>
      </w:r>
      <w:r>
        <w:t xml:space="preserve">“</w:t>
      </w:r>
      <w:r>
        <w:t xml:space="preserve">including … income, earnings, bonuses, equity compensation … appreciation on Separate Property attributable to marital efforts … property acquired with marital funds or marital efforts.</w:t>
      </w:r>
      <w:r>
        <w:t xml:space="preserve">”</w:t>
      </w:r>
      <w:r>
        <w:t xml:space="preserve"> </w:t>
      </w:r>
      <w:r>
        <w:t xml:space="preserve">The Redline narrows this to property acquired</w:t>
      </w:r>
      <w:r>
        <w:t xml:space="preserve"> </w:t>
      </w:r>
      <w:r>
        <w:t xml:space="preserve">“</w:t>
      </w:r>
      <w:r>
        <w:t xml:space="preserve">from</w:t>
      </w:r>
      <w:r>
        <w:t xml:space="preserve"> </w:t>
      </w:r>
      <w:r>
        <w:rPr>
          <w:b/>
          <w:bCs/>
        </w:rPr>
        <w:t xml:space="preserve">Earned Income</w:t>
      </w:r>
      <w:r>
        <w:t xml:space="preserve"> </w:t>
      </w:r>
      <w:r>
        <w:t xml:space="preserve">or joint efforts.</w:t>
      </w:r>
      <w:r>
        <w:t xml:space="preserve">”</w:t>
      </w:r>
      <w:r>
        <w:t xml:space="preserve"> </w:t>
      </w:r>
      <w:r>
        <w:t xml:space="preserve">Because</w:t>
      </w:r>
      <w:r>
        <w:t xml:space="preserve"> </w:t>
      </w:r>
      <w:r>
        <w:t xml:space="preserve">“</w:t>
      </w:r>
      <w:r>
        <w:t xml:space="preserve">Earned Income</w:t>
      </w:r>
      <w:r>
        <w:t xml:space="preserve">”</w:t>
      </w:r>
      <w:r>
        <w:t xml:space="preserve"> </w:t>
      </w:r>
      <w:r>
        <w:t xml:space="preserve">is separately defined to exclude bonuses, equity, RSUs, and investment income (see A.9), this narrowing creates ambiguity about whether property acquired with bonus income, investment income, or LLC distributions is marital. That ambiguity can be exploited to shrink the marital estate and generates litigation risk. The Redline’s enumerated list of marital assets (Section 5.1) also drops the Original’s general catch-alls for (i) all income from any source, (ii) appreciation on separate property attributable to marital efforts, and (iii) property commingled or transmuted under Section 4.3 — each consistent with the narrowing in A.6–A.8.</w:t>
      </w:r>
      <w:r>
        <w:t xml:space="preserve"> </w:t>
      </w:r>
      <w:r>
        <w:rPr>
          <w:b/>
          <w:bCs/>
        </w:rPr>
        <w:t xml:space="preserve">Restore the broad Marital Property definition.</w:t>
      </w:r>
    </w:p>
    <w:p>
      <w:pPr>
        <w:pStyle w:val="BodyText"/>
      </w:pPr>
      <w:r>
        <w:rPr>
          <w:b/>
          <w:bCs/>
        </w:rPr>
        <w:t xml:space="preserve">A.9 — New</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Definition Excluding Variable Compensation (TC-10; MC-02).</w:t>
      </w:r>
      <w:r>
        <w:t xml:space="preserve"> </w:t>
      </w:r>
      <w:r>
        <w:t xml:space="preserve">The Redline adds a definition of</w:t>
      </w:r>
      <w:r>
        <w:t xml:space="preserve"> </w:t>
      </w:r>
      <w:r>
        <w:t xml:space="preserve">“</w:t>
      </w:r>
      <w:r>
        <w:t xml:space="preserve">Earned Income</w:t>
      </w:r>
      <w:r>
        <w:t xml:space="preserve">”</w:t>
      </w:r>
      <w:r>
        <w:t xml:space="preserve"> </w:t>
      </w:r>
      <w:r>
        <w:t xml:space="preserve">limited to</w:t>
      </w:r>
      <w:r>
        <w:t xml:space="preserve"> </w:t>
      </w:r>
      <w:r>
        <w:t xml:space="preserve">“</w:t>
      </w:r>
      <w:r>
        <w:t xml:space="preserve">base salary, regular wages, and standard employment compensation,</w:t>
      </w:r>
      <w:r>
        <w:t xml:space="preserve">”</w:t>
      </w:r>
      <w:r>
        <w:t xml:space="preserve"> </w:t>
      </w:r>
      <w:r>
        <w:t xml:space="preserve">expressly</w:t>
      </w:r>
      <w:r>
        <w:t xml:space="preserve"> </w:t>
      </w:r>
      <w:r>
        <w:rPr>
          <w:b/>
          <w:bCs/>
        </w:rPr>
        <w:t xml:space="preserve">excluding</w:t>
      </w:r>
      <w:r>
        <w:t xml:space="preserve"> </w:t>
      </w:r>
      <w:r>
        <w:t xml:space="preserve">“</w:t>
      </w:r>
      <w:r>
        <w:t xml:space="preserve">discretionary bonuses, commissions, equity compensation, performance incentives, restricted stock or restricted stock units, stock options, or other forms of variable or contingent compensation.</w:t>
      </w:r>
      <w:r>
        <w:t xml:space="preserve">”</w:t>
      </w:r>
      <w:r>
        <w:t xml:space="preserve"> </w:t>
      </w:r>
      <w:r>
        <w:t xml:space="preserve">The comment (MC-02) calls this</w:t>
      </w:r>
      <w:r>
        <w:t xml:space="preserve"> </w:t>
      </w:r>
      <w:r>
        <w:t xml:space="preserve">“</w:t>
      </w:r>
      <w:r>
        <w:t xml:space="preserve">standard usage</w:t>
      </w:r>
      <w:r>
        <w:t xml:space="preserve">”</w:t>
      </w:r>
      <w:r>
        <w:t xml:space="preserve"> </w:t>
      </w:r>
      <w:r>
        <w:t xml:space="preserve">added</w:t>
      </w:r>
      <w:r>
        <w:t xml:space="preserve"> </w:t>
      </w:r>
      <w:r>
        <w:t xml:space="preserve">“</w:t>
      </w:r>
      <w:r>
        <w:t xml:space="preserve">for clarity.</w:t>
      </w:r>
      <w:r>
        <w:t xml:space="preserve">”</w:t>
      </w:r>
      <w:r>
        <w:t xml:space="preserve"> </w:t>
      </w:r>
      <w:r>
        <w:t xml:space="preserve">It is not merely clarifying: it (i) narrows the marital-property base (per A.8), (ii) replaces the Original’s broad</w:t>
      </w:r>
      <w:r>
        <w:t xml:space="preserve"> </w:t>
      </w:r>
      <w:r>
        <w:t xml:space="preserve">“</w:t>
      </w:r>
      <w:r>
        <w:t xml:space="preserve">Gross Income</w:t>
      </w:r>
      <w:r>
        <w:t xml:space="preserve">”</w:t>
      </w:r>
      <w:r>
        <w:t xml:space="preserve"> </w:t>
      </w:r>
      <w:r>
        <w:t xml:space="preserve">definition (which the Original used for the maintenance calculation), and (iii) is used in the Redline’s maintenance formula (Section 10.4). Two consequences worth noting:</w:t>
      </w:r>
    </w:p>
    <w:p>
      <w:pPr>
        <w:pStyle w:val="Compact"/>
        <w:numPr>
          <w:ilvl w:val="0"/>
          <w:numId w:val="1004"/>
        </w:numPr>
      </w:pPr>
      <w:r>
        <w:rPr>
          <w:b/>
          <w:bCs/>
        </w:rPr>
        <w:t xml:space="preserve">Marital estate:</w:t>
      </w:r>
      <w:r>
        <w:t xml:space="preserve"> </w:t>
      </w:r>
      <w:r>
        <w:t xml:space="preserve">Excluding Husband’s ~$90,000/year bonus and investment income from</w:t>
      </w:r>
      <w:r>
        <w:t xml:space="preserve"> </w:t>
      </w:r>
      <w:r>
        <w:t xml:space="preserve">“</w:t>
      </w:r>
      <w:r>
        <w:t xml:space="preserve">Earned Income</w:t>
      </w:r>
      <w:r>
        <w:t xml:space="preserve">”</w:t>
      </w:r>
      <w:r>
        <w:t xml:space="preserve"> </w:t>
      </w:r>
      <w:r>
        <w:t xml:space="preserve">creates an argument that those amounts are not marital — contrary to Illinois law, which treats compensation earned during marriage as marital regardless of form. This hurts Wife.</w:t>
      </w:r>
    </w:p>
    <w:p>
      <w:pPr>
        <w:pStyle w:val="Compact"/>
        <w:numPr>
          <w:ilvl w:val="0"/>
          <w:numId w:val="1004"/>
        </w:numPr>
      </w:pPr>
      <w:r>
        <w:rPr>
          <w:b/>
          <w:bCs/>
        </w:rPr>
        <w:t xml:space="preserve">Maintenance calculation (unpredictable):</w:t>
      </w:r>
      <w:r>
        <w:t xml:space="preserve"> </w:t>
      </w:r>
      <w:r>
        <w:t xml:space="preserve">If the automatic waiver (B.2) were ever struck down, the maintenance formula under 750 ILCS 5/504(b-1) would apply. The Redline directs that formula to be run on</w:t>
      </w:r>
      <w:r>
        <w:t xml:space="preserve"> </w:t>
      </w:r>
      <w:r>
        <w:t xml:space="preserve">“</w:t>
      </w:r>
      <w:r>
        <w:t xml:space="preserve">Earned Income</w:t>
      </w:r>
      <w:r>
        <w:t xml:space="preserve">”</w:t>
      </w:r>
      <w:r>
        <w:t xml:space="preserve"> </w:t>
      </w:r>
      <w:r>
        <w:t xml:space="preserve">rather than</w:t>
      </w:r>
      <w:r>
        <w:t xml:space="preserve"> </w:t>
      </w:r>
      <w:r>
        <w:t xml:space="preserve">“</w:t>
      </w:r>
      <w:r>
        <w:t xml:space="preserve">Gross Income.</w:t>
      </w:r>
      <w:r>
        <w:t xml:space="preserve">”</w:t>
      </w:r>
      <w:r>
        <w:t xml:space="preserve"> </w:t>
      </w:r>
      <w:r>
        <w:t xml:space="preserve">Because</w:t>
      </w:r>
      <w:r>
        <w:t xml:space="preserve"> </w:t>
      </w:r>
      <w:r>
        <w:t xml:space="preserve">“</w:t>
      </w:r>
      <w:r>
        <w:t xml:space="preserve">Earned Income</w:t>
      </w:r>
      <w:r>
        <w:t xml:space="preserve">”</w:t>
      </w:r>
      <w:r>
        <w:t xml:space="preserve"> </w:t>
      </w:r>
      <w:r>
        <w:t xml:space="preserve">excludes</w:t>
      </w:r>
      <w:r>
        <w:t xml:space="preserve"> </w:t>
      </w:r>
      <w:r>
        <w:rPr>
          <w:b/>
          <w:bCs/>
        </w:rPr>
        <w:t xml:space="preserve">both</w:t>
      </w:r>
      <w:r>
        <w:t xml:space="preserve"> </w:t>
      </w:r>
      <w:r>
        <w:t xml:space="preserve">Husband’s ~$90,000 bonus</w:t>
      </w:r>
      <w:r>
        <w:t xml:space="preserve"> </w:t>
      </w:r>
      <w:r>
        <w:rPr>
          <w:b/>
          <w:bCs/>
        </w:rPr>
        <w:t xml:space="preserve">and</w:t>
      </w:r>
      <w:r>
        <w:t xml:space="preserve"> </w:t>
      </w:r>
      <w:r>
        <w:t xml:space="preserve">Wife’s ~$145,000 in Practice distributions (as well as investment income for both parties), the effect on any maintenance calculation is unpredictable and could produce counterintuitive results — for example, excluding Husband’s bonus lowers his counted income and enlarges the room under the statutory cap (tending to raise maintenance), while excluding Wife’s distributions lowers the payor’s counted income (tending to lower maintenance). Precise figures cannot be computed from the record because the statute operates on</w:t>
      </w:r>
      <w:r>
        <w:t xml:space="preserve"> </w:t>
      </w:r>
      <w:r>
        <w:rPr>
          <w:b/>
          <w:bCs/>
        </w:rPr>
        <w:t xml:space="preserve">net</w:t>
      </w:r>
      <w:r>
        <w:t xml:space="preserve"> </w:t>
      </w:r>
      <w:r>
        <w:t xml:space="preserve">income, which is not disclosed. This unpredictability is itself a reason to prefer the broad</w:t>
      </w:r>
      <w:r>
        <w:t xml:space="preserve"> </w:t>
      </w:r>
      <w:r>
        <w:t xml:space="preserve">“</w:t>
      </w:r>
      <w:r>
        <w:t xml:space="preserve">Gross Income</w:t>
      </w:r>
      <w:r>
        <w:t xml:space="preserve">”</w:t>
      </w:r>
      <w:r>
        <w:t xml:space="preserve"> </w:t>
      </w:r>
      <w:r>
        <w:t xml:space="preserve">definition.</w:t>
      </w:r>
      <w:r>
        <w:t xml:space="preserve"> </w:t>
      </w:r>
      <w:r>
        <w:rPr>
          <w:b/>
          <w:bCs/>
        </w:rPr>
        <w:t xml:space="preserve">Restore the broad</w:t>
      </w:r>
      <w:r>
        <w:rPr>
          <w:b/>
          <w:bCs/>
        </w:rPr>
        <w:t xml:space="preserve"> </w:t>
      </w:r>
      <w:r>
        <w:rPr>
          <w:b/>
          <w:bCs/>
        </w:rPr>
        <w:t xml:space="preserve">“</w:t>
      </w:r>
      <w:r>
        <w:rPr>
          <w:b/>
          <w:bCs/>
        </w:rPr>
        <w:t xml:space="preserve">Gross Income</w:t>
      </w:r>
      <w:r>
        <w:rPr>
          <w:b/>
          <w:bCs/>
        </w:rPr>
        <w:t xml:space="preserve">”</w:t>
      </w:r>
      <w:r>
        <w:rPr>
          <w:b/>
          <w:bCs/>
        </w:rPr>
        <w:t xml:space="preserve"> </w:t>
      </w:r>
      <w:r>
        <w:rPr>
          <w:b/>
          <w:bCs/>
        </w:rPr>
        <w:t xml:space="preserve">definition.</w:t>
      </w:r>
    </w:p>
    <w:p>
      <w:pPr>
        <w:pStyle w:val="FirstParagraph"/>
      </w:pPr>
      <w:r>
        <w:rPr>
          <w:b/>
          <w:bCs/>
        </w:rPr>
        <w:t xml:space="preserve">A.10 —</w:t>
      </w:r>
      <w:r>
        <w:rPr>
          <w:b/>
          <w:bCs/>
        </w:rPr>
        <w:t xml:space="preserve"> </w:t>
      </w:r>
      <w:r>
        <w:rPr>
          <w:b/>
          <w:bCs/>
        </w:rPr>
        <w:t xml:space="preserve">“</w:t>
      </w:r>
      <w:r>
        <w:rPr>
          <w:b/>
          <w:bCs/>
        </w:rPr>
        <w:t xml:space="preserve">Gross Income</w:t>
      </w:r>
      <w:r>
        <w:rPr>
          <w:b/>
          <w:bCs/>
        </w:rPr>
        <w:t xml:space="preserve">”</w:t>
      </w:r>
      <w:r>
        <w:rPr>
          <w:b/>
          <w:bCs/>
        </w:rPr>
        <w:t xml:space="preserve"> </w:t>
      </w:r>
      <w:r>
        <w:rPr>
          <w:b/>
          <w:bCs/>
        </w:rPr>
        <w:t xml:space="preserve">Definition Deleted (Original Section 2.1(d)).</w:t>
      </w:r>
      <w:r>
        <w:t xml:space="preserve"> </w:t>
      </w:r>
      <w:r>
        <w:t xml:space="preserve">The Original’s broad Gross Income definition (all income from any source) has been removed and functionally replaced by the narrow</w:t>
      </w:r>
      <w:r>
        <w:t xml:space="preserve"> </w:t>
      </w:r>
      <w:r>
        <w:t xml:space="preserve">“</w:t>
      </w:r>
      <w:r>
        <w:t xml:space="preserve">Earned Income</w:t>
      </w:r>
      <w:r>
        <w:t xml:space="preserve">”</w:t>
      </w:r>
      <w:r>
        <w:t xml:space="preserve"> </w:t>
      </w:r>
      <w:r>
        <w:t xml:space="preserve">definition. This affects both marital-property classification and the maintenance calculation.</w:t>
      </w:r>
      <w:r>
        <w:t xml:space="preserve"> </w:t>
      </w:r>
      <w:r>
        <w:rPr>
          <w:b/>
          <w:bCs/>
        </w:rPr>
        <w:t xml:space="preserve">Restore.</w:t>
      </w:r>
    </w:p>
    <w:p>
      <w:pPr>
        <w:pStyle w:val="BodyText"/>
      </w:pPr>
      <w:r>
        <w:rPr>
          <w:b/>
          <w:bCs/>
        </w:rPr>
        <w:t xml:space="preserve">A.11 — Attorney’s Fees: Mutual Waiver Replaces Prevailing-Party (TC-44; MC-11).</w:t>
      </w:r>
      <w:r>
        <w:t xml:space="preserve"> </w:t>
      </w:r>
      <w:r>
        <w:t xml:space="preserve">The Original Draft (Section 13.2) awarded reasonable attorney’s fees and costs to the prevailing party in any enforcement action. The Redline (Section 13.2) replaces this with a mutual waiver — each party bears its own fees</w:t>
      </w:r>
      <w:r>
        <w:t xml:space="preserve"> </w:t>
      </w:r>
      <w:r>
        <w:t xml:space="preserve">“</w:t>
      </w:r>
      <w:r>
        <w:t xml:space="preserve">regardless of outcome.</w:t>
      </w:r>
      <w:r>
        <w:t xml:space="preserve">”</w:t>
      </w:r>
      <w:r>
        <w:t xml:space="preserve"> </w:t>
      </w:r>
      <w:r>
        <w:t xml:space="preserve">The comment (MC-11) calls this</w:t>
      </w:r>
      <w:r>
        <w:t xml:space="preserve"> </w:t>
      </w:r>
      <w:r>
        <w:t xml:space="preserve">“</w:t>
      </w:r>
      <w:r>
        <w:t xml:space="preserve">balanced.</w:t>
      </w:r>
      <w:r>
        <w:t xml:space="preserve">”</w:t>
      </w:r>
      <w:r>
        <w:t xml:space="preserve"> </w:t>
      </w:r>
      <w:r>
        <w:t xml:space="preserve">It is not balanced for our client: removing fee-shifting eliminates the principal deterrent against breach or non-disclosure, and given Husband’s documented history of financial concealment (including the</w:t>
      </w:r>
      <w:r>
        <w:t xml:space="preserve"> </w:t>
      </w:r>
      <w:r>
        <w:t xml:space="preserve">“</w:t>
      </w:r>
      <w:r>
        <w:t xml:space="preserve">two prior occasions</w:t>
      </w:r>
      <w:r>
        <w:t xml:space="preserve">”</w:t>
      </w:r>
      <w:r>
        <w:t xml:space="preserve"> </w:t>
      </w:r>
      <w:r>
        <w:t xml:space="preserve">of undisclosed purchases/accounts recorded in the intake memo), Wife is the party more likely to need to enforce. The client specifically requested a prevailing-party provision (Objective 5(d)).</w:t>
      </w:r>
      <w:r>
        <w:t xml:space="preserve"> </w:t>
      </w:r>
      <w:r>
        <w:rPr>
          <w:b/>
          <w:bCs/>
        </w:rPr>
        <w:t xml:space="preserve">Restore the prevailing-party fee-shifting provision.</w:t>
      </w:r>
    </w:p>
    <w:p>
      <w:pPr>
        <w:pStyle w:val="BodyText"/>
      </w:pPr>
      <w:r>
        <w:rPr>
          <w:b/>
          <w:bCs/>
        </w:rPr>
        <w:t xml:space="preserve">A.12 — Venue Shifted to DuPage County (TC-47; MC-12).</w:t>
      </w:r>
      <w:r>
        <w:t xml:space="preserve"> </w:t>
      </w:r>
      <w:r>
        <w:t xml:space="preserve">The Original Draft (Section 15.2) designated the Circuit Court of Cook County. The Redline shifts venue to DuPage County, with the comment (MC-12) citing</w:t>
      </w:r>
      <w:r>
        <w:t xml:space="preserve"> </w:t>
      </w:r>
      <w:r>
        <w:t xml:space="preserve">“</w:t>
      </w:r>
      <w:r>
        <w:t xml:space="preserve">scheduling efficiency</w:t>
      </w:r>
      <w:r>
        <w:t xml:space="preserve">”</w:t>
      </w:r>
      <w:r>
        <w:t xml:space="preserve"> </w:t>
      </w:r>
      <w:r>
        <w:t xml:space="preserve">and Husband’s Naperville office. The family resides in Winnetka (Cook County); the marital residence is in Cook County; Wife and her counsel are in Cook County; and a dissolution petition must be filed in the county where the plaintiff resides (750 ILCS 5/104), which is Cook County. A DuPage forum-selection for dissolution-related matters is therefore inconvenient for Wife and likely unenforceable as to the dissolution itself. The client specifically requested Cook County (Objective 5(e)).</w:t>
      </w:r>
      <w:r>
        <w:t xml:space="preserve"> </w:t>
      </w:r>
      <w:r>
        <w:rPr>
          <w:b/>
          <w:bCs/>
        </w:rPr>
        <w:t xml:space="preserve">Restore Cook County venue.</w:t>
      </w:r>
    </w:p>
    <w:p>
      <w:pPr>
        <w:pStyle w:val="BodyText"/>
      </w:pPr>
      <w:r>
        <w:rPr>
          <w:b/>
          <w:bCs/>
        </w:rPr>
        <w:t xml:space="preserve">A.13 — Sunset Reduced from 15 Years to 7 Years (Section 15.5).</w:t>
      </w:r>
      <w:r>
        <w:t xml:space="preserve"> </w:t>
      </w:r>
      <w:r>
        <w:t xml:space="preserve">The Original Draft terminated the agreement on June 14, 2040 (15 years), renewable for five-year periods. The Redline terminates on the 7th anniversary of the Effective Date (approximately June 2032). The client wanted the agreement to remain in effect</w:t>
      </w:r>
      <w:r>
        <w:t xml:space="preserve"> </w:t>
      </w:r>
      <w:r>
        <w:t xml:space="preserve">“</w:t>
      </w:r>
      <w:r>
        <w:t xml:space="preserve">at least until Julian turns 18 (approximately 2034) and preferably longer,</w:t>
      </w:r>
      <w:r>
        <w:t xml:space="preserve">”</w:t>
      </w:r>
      <w:r>
        <w:t xml:space="preserve"> </w:t>
      </w:r>
      <w:r>
        <w:t xml:space="preserve">and suggested a 15-year term (Objective 3). Under either birth date in the record, Julian turns 18 in 2033 or 2034 —</w:t>
      </w:r>
      <w:r>
        <w:t xml:space="preserve"> </w:t>
      </w:r>
      <w:r>
        <w:rPr>
          <w:b/>
          <w:bCs/>
        </w:rPr>
        <w:t xml:space="preserve">after</w:t>
      </w:r>
      <w:r>
        <w:t xml:space="preserve"> </w:t>
      </w:r>
      <w:r>
        <w:t xml:space="preserve">the Redline’s 2032 sunset. The shorter term therefore expires before the youngest child reaches majority, contrary to the client’s objective, and causes all contractual protections (including the reimbursement right, if restored, and the separate-property classifications) to lapse sooner.</w:t>
      </w:r>
      <w:r>
        <w:t xml:space="preserve"> </w:t>
      </w:r>
      <w:r>
        <w:rPr>
          <w:b/>
          <w:bCs/>
        </w:rPr>
        <w:t xml:space="preserve">Restore the 15-year sunset (or, at minimum, a term that runs until both children reach majority).</w:t>
      </w:r>
    </w:p>
    <w:p>
      <w:pPr>
        <w:pStyle w:val="BodyText"/>
      </w:pPr>
      <w:r>
        <w:rPr>
          <w:b/>
          <w:bCs/>
        </w:rPr>
        <w:t xml:space="preserve">A.14 — Identified-Debt Indemnity Subject to $5,000 De Minimis Threshold (TC-40; MC-10).</w:t>
      </w:r>
      <w:r>
        <w:t xml:space="preserve"> </w:t>
      </w:r>
      <w:r>
        <w:t xml:space="preserve">The Original Draft (Section 11.1) made Husband’s indemnity for the $68,000 Identified Debt</w:t>
      </w:r>
      <w:r>
        <w:t xml:space="preserve"> </w:t>
      </w:r>
      <w:r>
        <w:rPr>
          <w:b/>
          <w:bCs/>
        </w:rPr>
        <w:t xml:space="preserve">unlimited</w:t>
      </w:r>
      <w:r>
        <w:t xml:space="preserve"> </w:t>
      </w:r>
      <w:r>
        <w:t xml:space="preserve">and without materiality threshold. The Redline (Section 11.2) limits the indemnity to claims that</w:t>
      </w:r>
      <w:r>
        <w:t xml:space="preserve"> </w:t>
      </w:r>
      <w:r>
        <w:t xml:space="preserve">“</w:t>
      </w:r>
      <w:r>
        <w:t xml:space="preserve">are material and exceed Five Thousand Dollars ($5,000) individually,</w:t>
      </w:r>
      <w:r>
        <w:t xml:space="preserve">”</w:t>
      </w:r>
      <w:r>
        <w:t xml:space="preserve"> </w:t>
      </w:r>
      <w:r>
        <w:t xml:space="preserve">and excludes claims</w:t>
      </w:r>
      <w:r>
        <w:t xml:space="preserve"> </w:t>
      </w:r>
      <w:r>
        <w:t xml:space="preserve">“</w:t>
      </w:r>
      <w:r>
        <w:t xml:space="preserve">less than Five Thousand Dollars ($5,000).</w:t>
      </w:r>
      <w:r>
        <w:t xml:space="preserve">”</w:t>
      </w:r>
      <w:r>
        <w:t xml:space="preserve"> </w:t>
      </w:r>
      <w:r>
        <w:t xml:space="preserve">The client expressly wanted the debt assigned to Husband</w:t>
      </w:r>
      <w:r>
        <w:t xml:space="preserve"> </w:t>
      </w:r>
      <w:r>
        <w:t xml:space="preserve">“</w:t>
      </w:r>
      <w:r>
        <w:t xml:space="preserve">with complete indemnification, with no loopholes or materiality thresholds</w:t>
      </w:r>
      <w:r>
        <w:t xml:space="preserve">”</w:t>
      </w:r>
      <w:r>
        <w:t xml:space="preserve"> </w:t>
      </w:r>
      <w:r>
        <w:t xml:space="preserve">(Objective 2(d)). The $5,000 threshold is precisely such a loophole. Combined with the Redline’s mischaracterization of the debt as spread across</w:t>
      </w:r>
      <w:r>
        <w:t xml:space="preserve"> </w:t>
      </w:r>
      <w:r>
        <w:t xml:space="preserve">“</w:t>
      </w:r>
      <w:r>
        <w:t xml:space="preserve">multiple revolving credit accounts … with various credit card issuers</w:t>
      </w:r>
      <w:r>
        <w:t xml:space="preserve">”</w:t>
      </w:r>
      <w:r>
        <w:t xml:space="preserve"> </w:t>
      </w:r>
      <w:r>
        <w:t xml:space="preserve">(see § IV, Item 12) — when the financial disclosure shows a</w:t>
      </w:r>
      <w:r>
        <w:t xml:space="preserve"> </w:t>
      </w:r>
      <w:r>
        <w:rPr>
          <w:b/>
          <w:bCs/>
        </w:rPr>
        <w:t xml:space="preserve">single</w:t>
      </w:r>
      <w:r>
        <w:t xml:space="preserve"> </w:t>
      </w:r>
      <w:r>
        <w:t xml:space="preserve">Hollcroft One Mastercard (**6673) carrying the full $68,000 — the threshold could be used to fragment and thereby gut the indemnity. The urgency is compounded by the terms of the debt itself: the financial disclosure (Husband sheet, Line H-10) records an APR of</w:t>
      </w:r>
      <w:r>
        <w:t xml:space="preserve"> </w:t>
      </w:r>
      <w:r>
        <w:rPr>
          <w:b/>
          <w:bCs/>
        </w:rPr>
        <w:t xml:space="preserve">22.99%</w:t>
      </w:r>
      <w:r>
        <w:t xml:space="preserve"> </w:t>
      </w:r>
      <w:r>
        <w:t xml:space="preserve">and a minimum monthly payment of approximately</w:t>
      </w:r>
      <w:r>
        <w:t xml:space="preserve"> </w:t>
      </w:r>
      <w:r>
        <w:rPr>
          <w:b/>
          <w:bCs/>
        </w:rPr>
        <w:t xml:space="preserve">$1,360</w:t>
      </w:r>
      <w:r>
        <w:t xml:space="preserve">, meaning the balance grows rapidly and the indemnity protection is time-sensitive.</w:t>
      </w:r>
      <w:r>
        <w:t xml:space="preserve"> </w:t>
      </w:r>
      <w:r>
        <w:rPr>
          <w:b/>
          <w:bCs/>
        </w:rPr>
        <w:t xml:space="preserve">Remove the de minimis threshold; correct the debt description to reflect the single account; restore unlimited indemnity.</w:t>
      </w:r>
    </w:p>
    <w:p>
      <w:pPr>
        <w:pStyle w:val="BodyText"/>
      </w:pPr>
      <w:r>
        <w:rPr>
          <w:b/>
          <w:bCs/>
        </w:rPr>
        <w:t xml:space="preserve">A.15 — Disclosure Representations Weakened (TC-06, TC-41, TC-15).</w:t>
      </w:r>
      <w:r>
        <w:t xml:space="preserve"> </w:t>
      </w:r>
      <w:r>
        <w:t xml:space="preserve">The Original Draft represented</w:t>
      </w:r>
      <w:r>
        <w:t xml:space="preserve"> </w:t>
      </w:r>
      <w:r>
        <w:t xml:space="preserve">“</w:t>
      </w:r>
      <w:r>
        <w:t xml:space="preserve">full, fair, and complete disclosure</w:t>
      </w:r>
      <w:r>
        <w:t xml:space="preserve">”</w:t>
      </w:r>
      <w:r>
        <w:t xml:space="preserve"> </w:t>
      </w:r>
      <w:r>
        <w:t xml:space="preserve">and that each party</w:t>
      </w:r>
      <w:r>
        <w:t xml:space="preserve"> </w:t>
      </w:r>
      <w:r>
        <w:t xml:space="preserve">“</w:t>
      </w:r>
      <w:r>
        <w:t xml:space="preserve">is satisfied with the sufficiency of the disclosures.</w:t>
      </w:r>
      <w:r>
        <w:t xml:space="preserve">”</w:t>
      </w:r>
      <w:r>
        <w:t xml:space="preserve"> </w:t>
      </w:r>
      <w:r>
        <w:t xml:space="preserve">The Redline softens these to</w:t>
      </w:r>
      <w:r>
        <w:t xml:space="preserve"> </w:t>
      </w:r>
      <w:r>
        <w:t xml:space="preserve">“</w:t>
      </w:r>
      <w:r>
        <w:t xml:space="preserve">substantially … full financial disclosure</w:t>
      </w:r>
      <w:r>
        <w:t xml:space="preserve">”</w:t>
      </w:r>
      <w:r>
        <w:t xml:space="preserve"> </w:t>
      </w:r>
      <w:r>
        <w:t xml:space="preserve">(TC-06),</w:t>
      </w:r>
      <w:r>
        <w:t xml:space="preserve"> </w:t>
      </w:r>
      <w:r>
        <w:t xml:space="preserve">“</w:t>
      </w:r>
      <w:r>
        <w:t xml:space="preserve">substantially complete</w:t>
      </w:r>
      <w:r>
        <w:t xml:space="preserve">”</w:t>
      </w:r>
      <w:r>
        <w:t xml:space="preserve"> </w:t>
      </w:r>
      <w:r>
        <w:t xml:space="preserve">(TC-41), and</w:t>
      </w:r>
      <w:r>
        <w:t xml:space="preserve"> </w:t>
      </w:r>
      <w:r>
        <w:t xml:space="preserve">“</w:t>
      </w:r>
      <w:r>
        <w:t xml:space="preserve">generally satisfied with such disclosure</w:t>
      </w:r>
      <w:r>
        <w:t xml:space="preserve">”</w:t>
      </w:r>
      <w:r>
        <w:t xml:space="preserve"> </w:t>
      </w:r>
      <w:r>
        <w:t xml:space="preserve">(TC-15). Each softening weakens the disclosure warranty and the knowing-consent foundation of the agreement.</w:t>
      </w:r>
      <w:r>
        <w:t xml:space="preserve"> </w:t>
      </w:r>
      <w:r>
        <w:rPr>
          <w:b/>
          <w:bCs/>
        </w:rPr>
        <w:t xml:space="preserve">Restore the</w:t>
      </w:r>
      <w:r>
        <w:rPr>
          <w:b/>
          <w:bCs/>
        </w:rPr>
        <w:t xml:space="preserve"> </w:t>
      </w:r>
      <w:r>
        <w:rPr>
          <w:b/>
          <w:bCs/>
        </w:rPr>
        <w:t xml:space="preserve">“</w:t>
      </w:r>
      <w:r>
        <w:rPr>
          <w:b/>
          <w:bCs/>
        </w:rPr>
        <w:t xml:space="preserve">full, fair, and complete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satisfied with the sufficiency</w:t>
      </w:r>
      <w:r>
        <w:rPr>
          <w:b/>
          <w:bCs/>
        </w:rPr>
        <w:t xml:space="preserve">”</w:t>
      </w:r>
      <w:r>
        <w:rPr>
          <w:b/>
          <w:bCs/>
        </w:rPr>
        <w:t xml:space="preserve"> </w:t>
      </w:r>
      <w:r>
        <w:rPr>
          <w:b/>
          <w:bCs/>
        </w:rPr>
        <w:t xml:space="preserve">language.</w:t>
      </w:r>
    </w:p>
    <w:p>
      <w:pPr>
        <w:pStyle w:val="BodyText"/>
      </w:pPr>
      <w:r>
        <w:rPr>
          <w:b/>
          <w:bCs/>
        </w:rPr>
        <w:t xml:space="preserve">A.16 — Marital-Residence Buyout Terms Tightened; New Purchase Right for Husband (TC-33, TC-34; no margin comment).</w:t>
      </w:r>
      <w:r>
        <w:t xml:space="preserve"> </w:t>
      </w:r>
      <w:r>
        <w:t xml:space="preserve">The Original Draft (Section 9.2) gave Wife a right of first refusal to purchase Husband’s equity at appraised fair market value, with (i) a</w:t>
      </w:r>
      <w:r>
        <w:t xml:space="preserve"> </w:t>
      </w:r>
      <w:r>
        <w:rPr>
          <w:b/>
          <w:bCs/>
        </w:rPr>
        <w:t xml:space="preserve">60-day</w:t>
      </w:r>
      <w:r>
        <w:t xml:space="preserve"> </w:t>
      </w:r>
      <w:r>
        <w:t xml:space="preserve">exercise window from entry of the dissolution judgment, (ii) a</w:t>
      </w:r>
      <w:r>
        <w:t xml:space="preserve"> </w:t>
      </w:r>
      <w:r>
        <w:rPr>
          <w:b/>
          <w:bCs/>
        </w:rPr>
        <w:t xml:space="preserve">24-month</w:t>
      </w:r>
      <w:r>
        <w:t xml:space="preserve"> </w:t>
      </w:r>
      <w:r>
        <w:t xml:space="preserve">payment period (by lump sum, refinancing, or structured installments at the AFR), and (iii) a</w:t>
      </w:r>
      <w:r>
        <w:t xml:space="preserve"> </w:t>
      </w:r>
      <w:r>
        <w:rPr>
          <w:b/>
          <w:bCs/>
        </w:rPr>
        <w:t xml:space="preserve">three-appraiser</w:t>
      </w:r>
      <w:r>
        <w:t xml:space="preserve"> </w:t>
      </w:r>
      <w:r>
        <w:t xml:space="preserve">binding process if the parties could not agree on an appraiser; if Wife did not exercise, the residence went to</w:t>
      </w:r>
      <w:r>
        <w:t xml:space="preserve"> </w:t>
      </w:r>
      <w:r>
        <w:rPr>
          <w:b/>
          <w:bCs/>
        </w:rPr>
        <w:t xml:space="preserve">sale</w:t>
      </w:r>
      <w:r>
        <w:t xml:space="preserve">. The Redline (Section 9.2) changes all of this: (i) Wife’s exercise window is shortened to</w:t>
      </w:r>
      <w:r>
        <w:t xml:space="preserve"> </w:t>
      </w:r>
      <w:r>
        <w:rPr>
          <w:b/>
          <w:bCs/>
        </w:rPr>
        <w:t xml:space="preserve">30 days</w:t>
      </w:r>
      <w:r>
        <w:t xml:space="preserve"> </w:t>
      </w:r>
      <w:r>
        <w:t xml:space="preserve">from receipt of a single joint-expense appraisal; (ii) the payment term is shortened to</w:t>
      </w:r>
      <w:r>
        <w:t xml:space="preserve"> </w:t>
      </w:r>
      <w:r>
        <w:rPr>
          <w:b/>
          <w:bCs/>
        </w:rPr>
        <w:t xml:space="preserve">18 months</w:t>
      </w:r>
      <w:r>
        <w:t xml:space="preserve"> </w:t>
      </w:r>
      <w:r>
        <w:t xml:space="preserve">from the date of Dissolution; (iii) the buyout is</w:t>
      </w:r>
      <w:r>
        <w:t xml:space="preserve"> </w:t>
      </w:r>
      <w:r>
        <w:rPr>
          <w:b/>
          <w:bCs/>
        </w:rPr>
        <w:t xml:space="preserve">secured by a lien</w:t>
      </w:r>
      <w:r>
        <w:t xml:space="preserve"> </w:t>
      </w:r>
      <w:r>
        <w:t xml:space="preserve">on the property with interest</w:t>
      </w:r>
      <w:r>
        <w:t xml:space="preserve"> </w:t>
      </w:r>
      <w:r>
        <w:rPr>
          <w:b/>
          <w:bCs/>
        </w:rPr>
        <w:t xml:space="preserve">compounded monthly</w:t>
      </w:r>
      <w:r>
        <w:t xml:space="preserve">; and — most importantly — (iv)</w:t>
      </w:r>
      <w:r>
        <w:t xml:space="preserve"> </w:t>
      </w:r>
      <w:r>
        <w:rPr>
          <w:b/>
          <w:bCs/>
        </w:rPr>
        <w:t xml:space="preserve">if Wife fails to exercise within 30 days, Husband receives</w:t>
      </w:r>
      <w:r>
        <w:rPr>
          <w:b/>
          <w:bCs/>
        </w:rPr>
        <w:t xml:space="preserve"> </w:t>
      </w:r>
      <w:r>
        <w:rPr>
          <w:b/>
          <w:bCs/>
        </w:rPr>
        <w:t xml:space="preserve">“</w:t>
      </w:r>
      <w:r>
        <w:rPr>
          <w:b/>
          <w:bCs/>
        </w:rPr>
        <w:t xml:space="preserve">the same right of purchase on the same terms.</w:t>
      </w:r>
      <w:r>
        <w:rPr>
          <w:b/>
          <w:bCs/>
        </w:rPr>
        <w:t xml:space="preserve">”</w:t>
      </w:r>
      <w:r>
        <w:t xml:space="preserve"> </w:t>
      </w:r>
      <w:r>
        <w:t xml:space="preserve">The Original gave Husband no purchase right; the Redline creates one. This directly threatens the client’s Objective 3: she wants</w:t>
      </w:r>
      <w:r>
        <w:t xml:space="preserve"> </w:t>
      </w:r>
      <w:r>
        <w:t xml:space="preserve">“</w:t>
      </w:r>
      <w:r>
        <w:t xml:space="preserve">a first right to purchase the marital home in the event of dissolution so that Elena and Julian can remain in their school district and neighborhood.</w:t>
      </w:r>
      <w:r>
        <w:t xml:space="preserve">”</w:t>
      </w:r>
      <w:r>
        <w:t xml:space="preserve"> </w:t>
      </w:r>
      <w:r>
        <w:t xml:space="preserve">If Wife cannot act within the shorter 30-day window or cannot finance the buyout within 18 months, Husband could purchase the residence and displace the children. The lien security and monthly compounding are reasonable protections for the buyout recipient, but the shorter windows and Husband’s new purchase right are adverse to Wife.</w:t>
      </w:r>
      <w:r>
        <w:t xml:space="preserve"> </w:t>
      </w:r>
      <w:r>
        <w:rPr>
          <w:b/>
          <w:bCs/>
        </w:rPr>
        <w:t xml:space="preserve">Restore the 60-day exercise window, the 24-month payment term, and the three-appraiser process; remove Husband’s purchase right (or, if a fallback purchase right is retained, condition it on Wife’s written declination and preserve the children’s-stability priority).</w:t>
      </w:r>
      <w:r>
        <w:t xml:space="preserve"> </w:t>
      </w:r>
      <w:r>
        <w:t xml:space="preserve">This is a Tier 1 item because it implicates a core client objective.</w:t>
      </w:r>
    </w:p>
    <w:p>
      <w:pPr>
        <w:pStyle w:val="BodyText"/>
      </w:pPr>
      <w:r>
        <w:rPr>
          <w:b/>
          <w:bCs/>
        </w:rPr>
        <w:t xml:space="preserve">A.17 — $10,000 Individual-Debt Consent Requirement Dropped (TC-39; no margin comment).</w:t>
      </w:r>
      <w:r>
        <w:t xml:space="preserve"> </w:t>
      </w:r>
      <w:r>
        <w:t xml:space="preserve">The Original Draft (Section 11.2) provided that</w:t>
      </w:r>
      <w:r>
        <w:t xml:space="preserve"> </w:t>
      </w:r>
      <w:r>
        <w:t xml:space="preserve">“</w:t>
      </w:r>
      <w:r>
        <w:t xml:space="preserve">Neither Party shall incur individual debt exceeding Ten Thousand Dollars ($10,000) without the prior written consent of the other Party,</w:t>
      </w:r>
      <w:r>
        <w:t xml:space="preserve">”</w:t>
      </w:r>
      <w:r>
        <w:t xml:space="preserve"> </w:t>
      </w:r>
      <w:r>
        <w:t xml:space="preserve">and that debt incurred in violation</w:t>
      </w:r>
      <w:r>
        <w:t xml:space="preserve"> </w:t>
      </w:r>
      <w:r>
        <w:t xml:space="preserve">“</w:t>
      </w:r>
      <w:r>
        <w:t xml:space="preserve">shall be the sole responsibility of the incurring Party.</w:t>
      </w:r>
      <w:r>
        <w:t xml:space="preserve">”</w:t>
      </w:r>
      <w:r>
        <w:t xml:space="preserve"> </w:t>
      </w:r>
      <w:r>
        <w:t xml:space="preserve">The Redline (Section 11.1) replaces this with a general principle that each party is</w:t>
      </w:r>
      <w:r>
        <w:t xml:space="preserve"> </w:t>
      </w:r>
      <w:r>
        <w:t xml:space="preserve">“</w:t>
      </w:r>
      <w:r>
        <w:t xml:space="preserve">solely responsible for all debts … incurred solely in such Party’s individual name,</w:t>
      </w:r>
      <w:r>
        <w:t xml:space="preserve">”</w:t>
      </w:r>
      <w:r>
        <w:t xml:space="preserve"> </w:t>
      </w:r>
      <w:r>
        <w:rPr>
          <w:b/>
          <w:bCs/>
        </w:rPr>
        <w:t xml:space="preserve">dropping both the $10,000 consent threshold and the violation-equals-sole-responsibility consequence.</w:t>
      </w:r>
      <w:r>
        <w:t xml:space="preserve"> </w:t>
      </w:r>
      <w:r>
        <w:t xml:space="preserve">Given Husband’s documented pattern of incurring undisclosed debt (the $68,000 Identified Debt, plus the</w:t>
      </w:r>
      <w:r>
        <w:t xml:space="preserve"> </w:t>
      </w:r>
      <w:r>
        <w:t xml:space="preserve">“</w:t>
      </w:r>
      <w:r>
        <w:t xml:space="preserve">two prior occasions</w:t>
      </w:r>
      <w:r>
        <w:t xml:space="preserve">”</w:t>
      </w:r>
      <w:r>
        <w:t xml:space="preserve"> </w:t>
      </w:r>
      <w:r>
        <w:t xml:space="preserve">of undisclosed purchases/accounts), the consent requirement was a meaningful preventive mechanism. Its removal eliminates a guardrail the client’s circumstances specifically justify.</w:t>
      </w:r>
      <w:r>
        <w:t xml:space="preserve"> </w:t>
      </w:r>
      <w:r>
        <w:rPr>
          <w:b/>
          <w:bCs/>
        </w:rPr>
        <w:t xml:space="preserve">Restore the $10,000 consent requirement and the violation-equals-sole-responsibility consequence.</w:t>
      </w:r>
    </w:p>
    <w:p>
      <w:pPr>
        <w:pStyle w:val="BodyText"/>
      </w:pPr>
      <w:r>
        <w:rPr>
          <w:b/>
          <w:bCs/>
        </w:rPr>
        <w:t xml:space="preserve">A.18 — Marital-Property Division Shifted from Mandatory Equal to</w:t>
      </w:r>
      <w:r>
        <w:rPr>
          <w:b/>
          <w:bCs/>
        </w:rPr>
        <w:t xml:space="preserve"> </w:t>
      </w:r>
      <w:r>
        <w:rPr>
          <w:b/>
          <w:bCs/>
        </w:rPr>
        <w:t xml:space="preserve">“</w:t>
      </w:r>
      <w:r>
        <w:rPr>
          <w:b/>
          <w:bCs/>
        </w:rPr>
        <w:t xml:space="preserve">Equitable with Presumption</w:t>
      </w:r>
      <w:r>
        <w:rPr>
          <w:b/>
          <w:bCs/>
        </w:rPr>
        <w:t xml:space="preserve">”</w:t>
      </w:r>
      <w:r>
        <w:rPr>
          <w:b/>
          <w:bCs/>
        </w:rPr>
        <w:t xml:space="preserve"> </w:t>
      </w:r>
      <w:r>
        <w:rPr>
          <w:b/>
          <w:bCs/>
        </w:rPr>
        <w:t xml:space="preserve">(TC-24; no margin comment).</w:t>
      </w:r>
      <w:r>
        <w:t xml:space="preserve"> </w:t>
      </w:r>
      <w:r>
        <w:t xml:space="preserve">The Original Draft (Section 5.1) provided that, absent contrary agreement or court order, Marital Property</w:t>
      </w:r>
      <w:r>
        <w:t xml:space="preserve"> </w:t>
      </w:r>
      <w:r>
        <w:t xml:space="preserve">“</w:t>
      </w:r>
      <w:r>
        <w:t xml:space="preserve">shall be divided equally (50/50) between the Parties.</w:t>
      </w:r>
      <w:r>
        <w:t xml:space="preserve">”</w:t>
      </w:r>
      <w:r>
        <w:t xml:space="preserve"> </w:t>
      </w:r>
      <w:r>
        <w:t xml:space="preserve">The Redline (Section 5.2) changes this to: Marital Property</w:t>
      </w:r>
      <w:r>
        <w:t xml:space="preserve"> </w:t>
      </w:r>
      <w:r>
        <w:t xml:space="preserve">“</w:t>
      </w:r>
      <w:r>
        <w:t xml:space="preserve">shall be divided equitably between the Parties, with a</w:t>
      </w:r>
      <w:r>
        <w:t xml:space="preserve"> </w:t>
      </w:r>
      <w:r>
        <w:rPr>
          <w:b/>
          <w:bCs/>
        </w:rPr>
        <w:t xml:space="preserve">presumption</w:t>
      </w:r>
      <w:r>
        <w:t xml:space="preserve"> </w:t>
      </w:r>
      <w:r>
        <w:t xml:space="preserve">of equal division … unless the Parties agree otherwise in writing or a court of competent jurisdiction determines that an alternative allocation is appropriate under the factors set forth in Section 503.</w:t>
      </w:r>
      <w:r>
        <w:t xml:space="preserve">”</w:t>
      </w:r>
      <w:r>
        <w:t xml:space="preserve"> </w:t>
      </w:r>
      <w:r>
        <w:t xml:space="preserve">This softens the contractual 50/50 lock into a rebuttable presumption with express invitation to a court to deviate under the 503 factors. The change tracks the Illinois statute (750 ILCS 5/503(j), which presumes equal division unless inequitable) and is therefore arguably more enforceable, but it gives a court more room to depart from 50/50 — which, given Wife’s larger separate-property pool and higher income, could cut either way.</w:t>
      </w:r>
      <w:r>
        <w:t xml:space="preserve"> </w:t>
      </w:r>
      <w:r>
        <w:rPr>
          <w:b/>
          <w:bCs/>
        </w:rPr>
        <w:t xml:space="preserve">Retain the express 50/50 presumption but consider tracking the statutory</w:t>
      </w:r>
      <w:r>
        <w:rPr>
          <w:b/>
          <w:bCs/>
        </w:rPr>
        <w:t xml:space="preserve"> </w:t>
      </w:r>
      <w:r>
        <w:rPr>
          <w:b/>
          <w:bCs/>
        </w:rPr>
        <w:t xml:space="preserve">“</w:t>
      </w:r>
      <w:r>
        <w:rPr>
          <w:b/>
          <w:bCs/>
        </w:rPr>
        <w:t xml:space="preserve">unless inequitable</w:t>
      </w:r>
      <w:r>
        <w:rPr>
          <w:b/>
          <w:bCs/>
        </w:rPr>
        <w:t xml:space="preserve">”</w:t>
      </w:r>
      <w:r>
        <w:rPr>
          <w:b/>
          <w:bCs/>
        </w:rPr>
        <w:t xml:space="preserve"> </w:t>
      </w:r>
      <w:r>
        <w:rPr>
          <w:b/>
          <w:bCs/>
        </w:rPr>
        <w:t xml:space="preserve">language for enforceability; do not adopt open-ended court-discretion language that invites deviation.</w:t>
      </w:r>
      <w:r>
        <w:t xml:space="preserve"> </w:t>
      </w:r>
      <w:r>
        <w:t xml:space="preserve">This is a Tier 2 item.</w:t>
      </w:r>
    </w:p>
    <w:bookmarkEnd w:id="26"/>
    <w:bookmarkStart w:id="27" w:name="X329a460ecea25c26cbc5a958a64cc83c676e1aa"/>
    <w:p>
      <w:pPr>
        <w:pStyle w:val="Heading3"/>
      </w:pPr>
      <w:r>
        <w:t xml:space="preserve">B. Changes Favorable to Wife — Accept and Lock In (with caveats)</w:t>
      </w:r>
    </w:p>
    <w:p>
      <w:pPr>
        <w:pStyle w:val="FirstParagraph"/>
      </w:pPr>
      <w:r>
        <w:rPr>
          <w:b/>
          <w:bCs/>
        </w:rPr>
        <w:t xml:space="preserve">B.1 — Maintenance Duration Cap Reduced from 5 to 3 Years (TC-36; MC-08).</w:t>
      </w:r>
      <w:r>
        <w:t xml:space="preserve"> </w:t>
      </w:r>
      <w:r>
        <w:t xml:space="preserve">Wife is the higher-earning spouse ($487,000 W-2, or ~$632,000 including Practice distributions) and is therefore the likely payor; Husband ($305,000) is the likely recipient. Reducing the cap from five to three years</w:t>
      </w:r>
      <w:r>
        <w:t xml:space="preserve"> </w:t>
      </w:r>
      <w:r>
        <w:rPr>
          <w:b/>
          <w:bCs/>
        </w:rPr>
        <w:t xml:space="preserve">reduces Wife’s maximum maintenance exposure</w:t>
      </w:r>
      <w:r>
        <w:t xml:space="preserve">. The comment (MC-08) says five years was</w:t>
      </w:r>
      <w:r>
        <w:t xml:space="preserve"> </w:t>
      </w:r>
      <w:r>
        <w:t xml:space="preserve">“</w:t>
      </w:r>
      <w:r>
        <w:t xml:space="preserve">excessive given both parties’ earning capacity.</w:t>
      </w:r>
      <w:r>
        <w:t xml:space="preserve">”</w:t>
      </w:r>
      <w:r>
        <w:t xml:space="preserve"> </w:t>
      </w:r>
      <w:r>
        <w:t xml:space="preserve">This change favors Wife.</w:t>
      </w:r>
      <w:r>
        <w:t xml:space="preserve"> </w:t>
      </w:r>
      <w:r>
        <w:rPr>
          <w:b/>
          <w:bCs/>
        </w:rPr>
        <w:t xml:space="preserve">Accept</w:t>
      </w:r>
      <w:r>
        <w:t xml:space="preserve">, subject to the enforceability note in § VIII and client confirmation (the client did not list maintenance as a priority, so confirm she is comfortable limiting Husband’s potential claim).</w:t>
      </w:r>
    </w:p>
    <w:p>
      <w:pPr>
        <w:pStyle w:val="BodyText"/>
      </w:pPr>
      <w:r>
        <w:rPr>
          <w:b/>
          <w:bCs/>
        </w:rPr>
        <w:t xml:space="preserve">B.2 — Automatic Maintenance Waiver at $200,000 Income (TC-37; MC-09).</w:t>
      </w:r>
      <w:r>
        <w:t xml:space="preserve"> </w:t>
      </w:r>
      <w:r>
        <w:t xml:space="preserve">The Redline adds that the right to maintenance is</w:t>
      </w:r>
      <w:r>
        <w:t xml:space="preserve"> </w:t>
      </w:r>
      <w:r>
        <w:t xml:space="preserve">“</w:t>
      </w:r>
      <w:r>
        <w:t xml:space="preserve">automatically and irrevocably waived</w:t>
      </w:r>
      <w:r>
        <w:t xml:space="preserve">”</w:t>
      </w:r>
      <w:r>
        <w:t xml:space="preserve"> </w:t>
      </w:r>
      <w:r>
        <w:t xml:space="preserve">if the otherwise-eligible spouse has gross annual income exceeding $200,000 at dissolution. Because Husband’s current total compensation is $305,000, this provision</w:t>
      </w:r>
      <w:r>
        <w:t xml:space="preserve"> </w:t>
      </w:r>
      <w:r>
        <w:rPr>
          <w:b/>
          <w:bCs/>
        </w:rPr>
        <w:t xml:space="preserve">effectively eliminates his maintenance claim</w:t>
      </w:r>
      <w:r>
        <w:t xml:space="preserve"> </w:t>
      </w:r>
      <w:r>
        <w:t xml:space="preserve">unless his income drops below $200,000. This is favorable to Wife. The comment (MC-09) says it</w:t>
      </w:r>
      <w:r>
        <w:t xml:space="preserve"> </w:t>
      </w:r>
      <w:r>
        <w:t xml:space="preserve">“</w:t>
      </w:r>
      <w:r>
        <w:t xml:space="preserve">benefits both parties equally</w:t>
      </w:r>
      <w:r>
        <w:t xml:space="preserve">”</w:t>
      </w:r>
      <w:r>
        <w:t xml:space="preserve"> </w:t>
      </w:r>
      <w:r>
        <w:t xml:space="preserve">— that is inaccurate; it benefits Wife (the payor) by eliminating Husband’s (the recipient’s) claim. On enforceability: 750 ILCS 5/502(f) permits parties to contract with respect to the</w:t>
      </w:r>
      <w:r>
        <w:t xml:space="preserve"> </w:t>
      </w:r>
      <w:r>
        <w:t xml:space="preserve">“</w:t>
      </w:r>
      <w:r>
        <w:t xml:space="preserve">modification or elimination of spousal maintenance,</w:t>
      </w:r>
      <w:r>
        <w:t xml:space="preserve">”</w:t>
      </w:r>
      <w:r>
        <w:t xml:space="preserve"> </w:t>
      </w:r>
      <w:r>
        <w:t xml:space="preserve">and a waiver by a spouse earning $305,000 who also holds a $3.8 million inheritance is unlikely to be deemed unconscionable. The principal risks are the</w:t>
      </w:r>
      <w:r>
        <w:t xml:space="preserve"> </w:t>
      </w:r>
      <w:r>
        <w:t xml:space="preserve">“</w:t>
      </w:r>
      <w:r>
        <w:t xml:space="preserve">automatic and irrevocable</w:t>
      </w:r>
      <w:r>
        <w:t xml:space="preserve">”</w:t>
      </w:r>
      <w:r>
        <w:t xml:space="preserve"> </w:t>
      </w:r>
      <w:r>
        <w:t xml:space="preserve">framing (no judicial discretion for changed circumstances) and the fixed $200,000 threshold (which, because it is not inflation-adjusted, will capture more incomes over time — an effect that favors Wife).</w:t>
      </w:r>
      <w:r>
        <w:t xml:space="preserve"> </w:t>
      </w:r>
      <w:r>
        <w:rPr>
          <w:b/>
          <w:bCs/>
        </w:rPr>
        <w:t xml:space="preserve">Accept</w:t>
      </w:r>
      <w:r>
        <w:t xml:space="preserve">, but consider (i) confirming the client is comfortable eliminating Husband’s maintenance entirely, (ii) preserving the cohabitation termination event (see D.3), and (iii) ensuring the income determination is tied to objective documentation (tax return / pay records, as the Redline provides).</w:t>
      </w:r>
    </w:p>
    <w:p>
      <w:pPr>
        <w:pStyle w:val="BodyText"/>
      </w:pPr>
      <w:r>
        <w:rPr>
          <w:b/>
          <w:bCs/>
        </w:rPr>
        <w:t xml:space="preserve">B.3 — Practice Interest Appreciation: Active/Passive Distinction (TC-25; MC-06).</w:t>
      </w:r>
      <w:r>
        <w:t xml:space="preserve"> </w:t>
      </w:r>
      <w:r>
        <w:t xml:space="preserve">The Original Draft classified</w:t>
      </w:r>
      <w:r>
        <w:t xml:space="preserve"> </w:t>
      </w:r>
      <w:r>
        <w:rPr>
          <w:b/>
          <w:bCs/>
        </w:rPr>
        <w:t xml:space="preserve">all</w:t>
      </w:r>
      <w:r>
        <w:t xml:space="preserve"> </w:t>
      </w:r>
      <w:r>
        <w:t xml:space="preserve">appreciation above the $1,650,000 baseline as marital (50/50). The Redline classifies as marital only appreciation</w:t>
      </w:r>
      <w:r>
        <w:t xml:space="preserve"> </w:t>
      </w:r>
      <w:r>
        <w:t xml:space="preserve">“</w:t>
      </w:r>
      <w:r>
        <w:t xml:space="preserve">directly attributable to the active personal efforts of Wife,</w:t>
      </w:r>
      <w:r>
        <w:t xml:space="preserve">”</w:t>
      </w:r>
      <w:r>
        <w:t xml:space="preserve"> </w:t>
      </w:r>
      <w:r>
        <w:t xml:space="preserve">with appreciation from market forces, reimbursement-rate changes, regulatory changes, and passive returns remaining Wife’s separate property. This</w:t>
      </w:r>
      <w:r>
        <w:t xml:space="preserve"> </w:t>
      </w:r>
      <w:r>
        <w:rPr>
          <w:b/>
          <w:bCs/>
        </w:rPr>
        <w:t xml:space="preserve">favors Wife</w:t>
      </w:r>
      <w:r>
        <w:t xml:space="preserve">: the Strand valuation report (Section 9) attributes approximately</w:t>
      </w:r>
      <w:r>
        <w:t xml:space="preserve"> </w:t>
      </w:r>
      <w:r>
        <w:rPr>
          <w:b/>
          <w:bCs/>
        </w:rPr>
        <w:t xml:space="preserve">60% of the Practice’s revenue growth to passive, market-driven factors</w:t>
      </w:r>
      <w:r>
        <w:t xml:space="preserve"> </w:t>
      </w:r>
      <w:r>
        <w:t xml:space="preserve">(insurance reimbursement increases ~35%; demographic expansion ~25%) and only ~40% to active factors. Under the Redline, roughly 60% of appreciation stays Wife’s separate property and Husband’s share of appreciation drops from 50% (Original) to roughly 20% (50% of the ~40% active component). The comment (MC-06) accurately notes this</w:t>
      </w:r>
      <w:r>
        <w:t xml:space="preserve"> </w:t>
      </w:r>
      <w:r>
        <w:t xml:space="preserve">“</w:t>
      </w:r>
      <w:r>
        <w:t xml:space="preserve">protects Wife’s separate property interest.</w:t>
      </w:r>
      <w:r>
        <w:t xml:space="preserve">”</w:t>
      </w:r>
      <w:r>
        <w:t xml:space="preserve"> </w:t>
      </w:r>
      <w:r>
        <w:rPr>
          <w:b/>
          <w:bCs/>
        </w:rPr>
        <w:t xml:space="preserve">Accept</w:t>
      </w:r>
      <w:r>
        <w:t xml:space="preserve">, with two caveats drawn from the Strand report itself: (i) the Strand report’s</w:t>
      </w:r>
      <w:r>
        <w:t xml:space="preserve"> </w:t>
      </w:r>
      <w:r>
        <w:t xml:space="preserve">“</w:t>
      </w:r>
      <w:r>
        <w:t xml:space="preserve">Important Caveat</w:t>
      </w:r>
      <w:r>
        <w:t xml:space="preserve">”</w:t>
      </w:r>
      <w:r>
        <w:t xml:space="preserve"> </w:t>
      </w:r>
      <w:r>
        <w:t xml:space="preserve">(Section 9) expressly states that its 60/40 analysis reflects</w:t>
      </w:r>
      <w:r>
        <w:t xml:space="preserve"> </w:t>
      </w:r>
      <w:r>
        <w:rPr>
          <w:b/>
          <w:bCs/>
        </w:rPr>
        <w:t xml:space="preserve">revenue growth</w:t>
      </w:r>
      <w:r>
        <w:t xml:space="preserve">, not total practice value, and that</w:t>
      </w:r>
      <w:r>
        <w:t xml:space="preserve"> </w:t>
      </w:r>
      <w:r>
        <w:t xml:space="preserve">“</w:t>
      </w:r>
      <w:r>
        <w:t xml:space="preserve">the attribution of total practice value … between active and passive components is a more complex undertaking</w:t>
      </w:r>
      <w:r>
        <w:t xml:space="preserve">”</w:t>
      </w:r>
      <w:r>
        <w:t xml:space="preserve"> </w:t>
      </w:r>
      <w:r>
        <w:t xml:space="preserve">that</w:t>
      </w:r>
      <w:r>
        <w:t xml:space="preserve"> </w:t>
      </w:r>
      <w:r>
        <w:t xml:space="preserve">“</w:t>
      </w:r>
      <w:r>
        <w:t xml:space="preserve">was beyond the scope of this engagement</w:t>
      </w:r>
      <w:r>
        <w:t xml:space="preserve">”</w:t>
      </w:r>
      <w:r>
        <w:t xml:space="preserve"> </w:t>
      </w:r>
      <w:r>
        <w:t xml:space="preserve">— so the active/passive allocation at dissolution will require a</w:t>
      </w:r>
      <w:r>
        <w:t xml:space="preserve"> </w:t>
      </w:r>
      <w:r>
        <w:rPr>
          <w:b/>
          <w:bCs/>
        </w:rPr>
        <w:t xml:space="preserve">more comprehensive forensic valuation</w:t>
      </w:r>
      <w:r>
        <w:t xml:space="preserve"> </w:t>
      </w:r>
      <w:r>
        <w:t xml:space="preserve">than the Strand summary report, adding cost and contention the client wanted to avoid (Objective 4); and (ii) we should preserve the Strand report as the baseline and require any updated valuation to use the same methodology, with costs shared equally.</w:t>
      </w:r>
    </w:p>
    <w:p>
      <w:pPr>
        <w:pStyle w:val="BodyText"/>
      </w:pPr>
      <w:r>
        <w:rPr>
          <w:b/>
          <w:bCs/>
        </w:rPr>
        <w:t xml:space="preserve">B.4 — Practice Interest Transfer Restriction Deleted (Original Section 6.3).</w:t>
      </w:r>
      <w:r>
        <w:t xml:space="preserve"> </w:t>
      </w:r>
      <w:r>
        <w:t xml:space="preserve">The Original required Wife to obtain Husband’s consent before transferring the Practice Interest if it would materially impair the marital estate. The Redline deletes this, giving Wife greater autonomy. The Heartbeat Pediatric Partners Operating Agreement already imposes transfer restrictions (two-thirds member consent, right of first refusal, mandatory buy-sell, and a two-year non-compete — per the Strand report, Section 3), so the contractual restriction was largely redundant.</w:t>
      </w:r>
      <w:r>
        <w:t xml:space="preserve"> </w:t>
      </w:r>
      <w:r>
        <w:rPr>
          <w:b/>
          <w:bCs/>
        </w:rPr>
        <w:t xml:space="preserve">Accept the deletion.</w:t>
      </w:r>
    </w:p>
    <w:p>
      <w:pPr>
        <w:pStyle w:val="BodyText"/>
      </w:pPr>
      <w:r>
        <w:rPr>
          <w:b/>
          <w:bCs/>
        </w:rPr>
        <w:t xml:space="preserve">B.5 — 24-Month Identified-Debt Satisfaction Deadline and Quarterly Reporting (Section 11.2).</w:t>
      </w:r>
      <w:r>
        <w:t xml:space="preserve"> </w:t>
      </w:r>
      <w:r>
        <w:t xml:space="preserve">The Redline adds a concrete 24-month deadline for Husband to satisfy the Identified Debt, with quarterly written statements to Wife. The Original said only</w:t>
      </w:r>
      <w:r>
        <w:t xml:space="preserve"> </w:t>
      </w:r>
      <w:r>
        <w:t xml:space="preserve">“</w:t>
      </w:r>
      <w:r>
        <w:t xml:space="preserve">best efforts … as expeditiously as practicable.</w:t>
      </w:r>
      <w:r>
        <w:t xml:space="preserve">”</w:t>
      </w:r>
      <w:r>
        <w:t xml:space="preserve"> </w:t>
      </w:r>
      <w:r>
        <w:t xml:space="preserve">The firm deadline and reporting are useful accountability mechanisms, and they are especially important given the debt’s 22.99% APR and ~$1,360 minimum payment (financial disclosure, Husband sheet, Line H-10), under which the balance grows rapidly.</w:t>
      </w:r>
      <w:r>
        <w:t xml:space="preserve"> </w:t>
      </w:r>
      <w:r>
        <w:rPr>
          <w:b/>
          <w:bCs/>
        </w:rPr>
        <w:t xml:space="preserve">Accept</w:t>
      </w:r>
      <w:r>
        <w:t xml:space="preserve">, in combination with removing the de minimis threshold (A.14).</w:t>
      </w:r>
    </w:p>
    <w:p>
      <w:pPr>
        <w:pStyle w:val="BodyText"/>
      </w:pPr>
      <w:r>
        <w:rPr>
          <w:b/>
          <w:bCs/>
        </w:rPr>
        <w:t xml:space="preserve">B.6 — Separate Property Appreciation Protected (TC-09(v)).</w:t>
      </w:r>
      <w:r>
        <w:t xml:space="preserve"> </w:t>
      </w:r>
      <w:r>
        <w:t xml:space="preserve">The Redline’s Separate Property definition adds</w:t>
      </w:r>
      <w:r>
        <w:t xml:space="preserve"> </w:t>
      </w:r>
      <w:r>
        <w:t xml:space="preserve">“</w:t>
      </w:r>
      <w:r>
        <w:t xml:space="preserve">any increase in the value of Separate Property that remains classified as Separate Property.</w:t>
      </w:r>
      <w:r>
        <w:t xml:space="preserve">”</w:t>
      </w:r>
      <w:r>
        <w:t xml:space="preserve"> </w:t>
      </w:r>
      <w:r>
        <w:t xml:space="preserve">This reinforces the protection of passive appreciation and is consistent with B.3.</w:t>
      </w:r>
      <w:r>
        <w:t xml:space="preserve"> </w:t>
      </w:r>
      <w:r>
        <w:rPr>
          <w:b/>
          <w:bCs/>
        </w:rPr>
        <w:t xml:space="preserve">Accept.</w:t>
      </w:r>
    </w:p>
    <w:p>
      <w:pPr>
        <w:pStyle w:val="BodyText"/>
      </w:pPr>
      <w:r>
        <w:rPr>
          <w:b/>
          <w:bCs/>
        </w:rPr>
        <w:t xml:space="preserve">B.7 — RSU Tax Allocation More Favorable to Wife (TC-28; no margin comment).</w:t>
      </w:r>
      <w:r>
        <w:t xml:space="preserve"> </w:t>
      </w:r>
      <w:r>
        <w:t xml:space="preserve">The Original Draft (Section 7.3) allocated RSU tax liabilities pro rata, made Husband responsible for withholding, and required</w:t>
      </w:r>
      <w:r>
        <w:t xml:space="preserve"> </w:t>
      </w:r>
      <w:r>
        <w:rPr>
          <w:b/>
          <w:bCs/>
        </w:rPr>
        <w:t xml:space="preserve">Wife to reimburse Husband for her pro rata share of taxes within 30 days</w:t>
      </w:r>
      <w:r>
        <w:t xml:space="preserve"> </w:t>
      </w:r>
      <w:r>
        <w:t xml:space="preserve">of each vesting date. The Redline (Section 7.2) provides that</w:t>
      </w:r>
      <w:r>
        <w:t xml:space="preserve"> </w:t>
      </w:r>
      <w:r>
        <w:t xml:space="preserve">“</w:t>
      </w:r>
      <w:r>
        <w:t xml:space="preserve">each Party shall bear the tax consequences attributable to their respective share,</w:t>
      </w:r>
      <w:r>
        <w:t xml:space="preserve">”</w:t>
      </w:r>
      <w:r>
        <w:t xml:space="preserve"> </w:t>
      </w:r>
      <w:r>
        <w:t xml:space="preserve">with</w:t>
      </w:r>
      <w:r>
        <w:t xml:space="preserve"> </w:t>
      </w:r>
      <w:r>
        <w:rPr>
          <w:b/>
          <w:bCs/>
        </w:rPr>
        <w:t xml:space="preserve">Wife’s share calculated on the net after-tax value</w:t>
      </w:r>
      <w:r>
        <w:t xml:space="preserve"> </w:t>
      </w:r>
      <w:r>
        <w:t xml:space="preserve">of each vesting tranche (unless the parties agree otherwise). This is more favorable to Wife: she receives a net-after-tax share and has no reimbursement obligation to front.</w:t>
      </w:r>
      <w:r>
        <w:t xml:space="preserve"> </w:t>
      </w:r>
      <w:r>
        <w:rPr>
          <w:b/>
          <w:bCs/>
        </w:rPr>
        <w:t xml:space="preserve">Accept</w:t>
      </w:r>
      <w:r>
        <w:t xml:space="preserve">, and confirm the net-after-tax calculation is documented by the tax documentation Husband must provide within 30 days of each vesting event (as the Redline requires).</w:t>
      </w:r>
    </w:p>
    <w:p>
      <w:pPr>
        <w:pStyle w:val="BodyText"/>
      </w:pPr>
      <w:r>
        <w:rPr>
          <w:b/>
          <w:bCs/>
        </w:rPr>
        <w:t xml:space="preserve">B.8 — Retirement Pre-Agreement Balances Protected; Pension Actuary Added (TC-29, TC-30; no margin comment).</w:t>
      </w:r>
      <w:r>
        <w:t xml:space="preserve"> </w:t>
      </w:r>
      <w:r>
        <w:t xml:space="preserve">Both drafts protect each party’s retirement-account balance as of the Effective Date from division: the Original (Section 8.2) treats these balances as</w:t>
      </w:r>
      <w:r>
        <w:t xml:space="preserve"> </w:t>
      </w:r>
      <w:r>
        <w:t xml:space="preserve">“</w:t>
      </w:r>
      <w:r>
        <w:t xml:space="preserve">their own property, not subject to division</w:t>
      </w:r>
      <w:r>
        <w:t xml:space="preserve">”</w:t>
      </w:r>
      <w:r>
        <w:t xml:space="preserve">; the Redline (Sections 8.1–8.2) classifies them as that party’s</w:t>
      </w:r>
      <w:r>
        <w:t xml:space="preserve"> </w:t>
      </w:r>
      <w:r>
        <w:t xml:space="preserve">“</w:t>
      </w:r>
      <w:r>
        <w:t xml:space="preserve">Separate Property.</w:t>
      </w:r>
      <w:r>
        <w:t xml:space="preserve">”</w:t>
      </w:r>
      <w:r>
        <w:t xml:space="preserve"> </w:t>
      </w:r>
      <w:r>
        <w:t xml:space="preserve">This is</w:t>
      </w:r>
      <w:r>
        <w:t xml:space="preserve"> </w:t>
      </w:r>
      <w:r>
        <w:rPr>
          <w:b/>
          <w:bCs/>
        </w:rPr>
        <w:t xml:space="preserve">favorable to Wife</w:t>
      </w:r>
      <w:r>
        <w:t xml:space="preserve">, because her pre-agreement balance ($2,340,000) substantially exceeds Husband’s ($1,180,000) — protecting both pre-agreement balances preserves a ~$1.16 million relative advantage for Wife. (We note that classifying the entire pre-agreement balance — which includes contributions made during the marriage that would otherwise be marital under default Illinois law — as separate property is a permissible departure by agreement under 750 ILCS 5/502, and both drafts adopt it.) The Redline also adds a useful term the Original lacked: the present value of Wife’s</w:t>
      </w:r>
      <w:r>
        <w:t xml:space="preserve"> </w:t>
      </w:r>
      <w:r>
        <w:rPr>
          <w:b/>
          <w:bCs/>
        </w:rPr>
        <w:t xml:space="preserve">defined-benefit pension</w:t>
      </w:r>
      <w:r>
        <w:t xml:space="preserve"> </w:t>
      </w:r>
      <w:r>
        <w:t xml:space="preserve">“</w:t>
      </w:r>
      <w:r>
        <w:t xml:space="preserve">shall be determined by an actuary mutually agreed upon by the Parties or, absent agreement, appointed by the court.</w:t>
      </w:r>
      <w:r>
        <w:t xml:space="preserve">”</w:t>
      </w:r>
      <w:r>
        <w:t xml:space="preserve"> </w:t>
      </w:r>
      <w:r>
        <w:t xml:space="preserve">This is a sensible addition because a defined-benefit plan requires actuarial present-value determination. Both drafts classify post-Effective-Date contributions and their appreciation as marital.</w:t>
      </w:r>
      <w:r>
        <w:t xml:space="preserve"> </w:t>
      </w:r>
      <w:r>
        <w:rPr>
          <w:b/>
          <w:bCs/>
        </w:rPr>
        <w:t xml:space="preserve">Accept the Redline’s treatment</w:t>
      </w:r>
      <w:r>
        <w:t xml:space="preserve">, and confirm the actuarial methodology for the pension.</w:t>
      </w:r>
    </w:p>
    <w:p>
      <w:pPr>
        <w:pStyle w:val="BodyText"/>
      </w:pPr>
      <w:r>
        <w:rPr>
          <w:b/>
          <w:bCs/>
        </w:rPr>
        <w:t xml:space="preserve">B.9 — 60-Day Review-Period Representation (Redline Section 3.1(b); no margin comment).</w:t>
      </w:r>
      <w:r>
        <w:t xml:space="preserve"> </w:t>
      </w:r>
      <w:r>
        <w:t xml:space="preserve">The Redline adds a representation that each party</w:t>
      </w:r>
      <w:r>
        <w:t xml:space="preserve"> </w:t>
      </w:r>
      <w:r>
        <w:t xml:space="preserve">“</w:t>
      </w:r>
      <w:r>
        <w:t xml:space="preserve">has had adequate time, not less than sixty (60) days, to review and consider the terms of this Agreement prior to execution.</w:t>
      </w:r>
      <w:r>
        <w:t xml:space="preserve">”</w:t>
      </w:r>
      <w:r>
        <w:t xml:space="preserve"> </w:t>
      </w:r>
      <w:r>
        <w:t xml:space="preserve">The Original contained no specified review period. This</w:t>
      </w:r>
      <w:r>
        <w:t xml:space="preserve"> </w:t>
      </w:r>
      <w:r>
        <w:rPr>
          <w:b/>
          <w:bCs/>
        </w:rPr>
        <w:t xml:space="preserve">favors enforceability</w:t>
      </w:r>
      <w:r>
        <w:t xml:space="preserve"> </w:t>
      </w:r>
      <w:r>
        <w:t xml:space="preserve">by bolstering the procedural-fairness showing (the client’s Objective 5(b) sought</w:t>
      </w:r>
      <w:r>
        <w:t xml:space="preserve"> </w:t>
      </w:r>
      <w:r>
        <w:t xml:space="preserve">“</w:t>
      </w:r>
      <w:r>
        <w:t xml:space="preserve">adequate time for review</w:t>
      </w:r>
      <w:r>
        <w:t xml:space="preserve">”</w:t>
      </w:r>
      <w:r>
        <w:t xml:space="preserve">).</w:t>
      </w:r>
      <w:r>
        <w:t xml:space="preserve"> </w:t>
      </w:r>
      <w:r>
        <w:rPr>
          <w:b/>
          <w:bCs/>
        </w:rPr>
        <w:t xml:space="preserve">Accept.</w:t>
      </w:r>
    </w:p>
    <w:bookmarkEnd w:id="27"/>
    <w:bookmarkStart w:id="28" w:name="c.-benign-or-standard-changes-accept"/>
    <w:p>
      <w:pPr>
        <w:pStyle w:val="Heading3"/>
      </w:pPr>
      <w:r>
        <w:t xml:space="preserve">C. Benign or Standard Changes — Accept</w:t>
      </w:r>
    </w:p>
    <w:p>
      <w:pPr>
        <w:pStyle w:val="FirstParagraph"/>
      </w:pPr>
      <w:r>
        <w:rPr>
          <w:b/>
          <w:bCs/>
        </w:rPr>
        <w:t xml:space="preserve">C.1 — Severability Clause (Section 15.3).</w:t>
      </w:r>
      <w:r>
        <w:t xml:space="preserve"> </w:t>
      </w:r>
      <w:r>
        <w:t xml:space="preserve">New, market-standard. Accept.</w:t>
      </w:r>
    </w:p>
    <w:p>
      <w:pPr>
        <w:pStyle w:val="BodyText"/>
      </w:pPr>
      <w:r>
        <w:rPr>
          <w:b/>
          <w:bCs/>
        </w:rPr>
        <w:t xml:space="preserve">C.2 — Notarization Block and Witness Signature Lines.</w:t>
      </w:r>
      <w:r>
        <w:t xml:space="preserve"> </w:t>
      </w:r>
      <w:r>
        <w:t xml:space="preserve">Best practice; the email correctly notes this under 750 ILCS 5/502. Accept.</w:t>
      </w:r>
    </w:p>
    <w:p>
      <w:pPr>
        <w:pStyle w:val="BodyText"/>
      </w:pPr>
      <w:r>
        <w:rPr>
          <w:b/>
          <w:bCs/>
        </w:rPr>
        <w:t xml:space="preserve">C.3 — Spelling Correction</w:t>
      </w:r>
      <w:r>
        <w:rPr>
          <w:b/>
          <w:bCs/>
        </w:rPr>
        <w:t xml:space="preserve"> </w:t>
      </w:r>
      <w:r>
        <w:rPr>
          <w:b/>
          <w:bCs/>
        </w:rPr>
        <w:t xml:space="preserve">“</w:t>
      </w:r>
      <w:r>
        <w:rPr>
          <w:b/>
          <w:bCs/>
        </w:rPr>
        <w:t xml:space="preserve">Constane</w:t>
      </w:r>
      <w:r>
        <w:rPr>
          <w:b/>
          <w:bCs/>
        </w:rPr>
        <w:t xml:space="preserve">”</w:t>
      </w:r>
      <w:r>
        <w:rPr>
          <w:b/>
          <w:bCs/>
        </w:rPr>
        <w:t xml:space="preserve"> </w:t>
      </w:r>
      <w:r>
        <w:rPr>
          <w:b/>
          <w:bCs/>
        </w:rPr>
        <w:t xml:space="preserve">→</w:t>
      </w:r>
      <w:r>
        <w:rPr>
          <w:b/>
          <w:bCs/>
        </w:rPr>
        <w:t xml:space="preserve"> </w:t>
      </w:r>
      <w:r>
        <w:rPr>
          <w:b/>
          <w:bCs/>
        </w:rPr>
        <w:t xml:space="preserve">“</w:t>
      </w:r>
      <w:r>
        <w:rPr>
          <w:b/>
          <w:bCs/>
        </w:rPr>
        <w:t xml:space="preserve">Constance</w:t>
      </w:r>
      <w:r>
        <w:rPr>
          <w:b/>
          <w:bCs/>
        </w:rPr>
        <w:t xml:space="preserve">”</w:t>
      </w:r>
      <w:r>
        <w:rPr>
          <w:b/>
          <w:bCs/>
        </w:rPr>
        <w:t xml:space="preserve"> </w:t>
      </w:r>
      <w:r>
        <w:rPr>
          <w:b/>
          <w:bCs/>
        </w:rPr>
        <w:t xml:space="preserve">(TC-02).</w:t>
      </w:r>
      <w:r>
        <w:t xml:space="preserve"> </w:t>
      </w:r>
      <w:r>
        <w:t xml:space="preserve">Accept (subject to verifying the date of death separately — § IV, Item 2).</w:t>
      </w:r>
    </w:p>
    <w:p>
      <w:pPr>
        <w:pStyle w:val="BodyText"/>
      </w:pPr>
      <w:r>
        <w:rPr>
          <w:b/>
          <w:bCs/>
        </w:rPr>
        <w:t xml:space="preserve">C.4 — Marriage-Commitment Recital Language (TC-04; MC-01).</w:t>
      </w:r>
      <w:r>
        <w:t xml:space="preserve"> </w:t>
      </w:r>
      <w:r>
        <w:t xml:space="preserve">Benign, non-operative. Accept.</w:t>
      </w:r>
    </w:p>
    <w:p>
      <w:pPr>
        <w:pStyle w:val="BodyText"/>
      </w:pPr>
      <w:r>
        <w:rPr>
          <w:b/>
          <w:bCs/>
        </w:rPr>
        <w:t xml:space="preserve">C.5 — Draft Markings and Effective-Date Formalities (TC-01, TC-12).</w:t>
      </w:r>
      <w:r>
        <w:t xml:space="preserve"> </w:t>
      </w:r>
      <w:r>
        <w:t xml:space="preserve">“</w:t>
      </w:r>
      <w:r>
        <w:t xml:space="preserve">REVISED DRAFT</w:t>
      </w:r>
      <w:r>
        <w:t xml:space="preserve">”</w:t>
      </w:r>
      <w:r>
        <w:t xml:space="preserve"> </w:t>
      </w:r>
      <w:r>
        <w:t xml:space="preserve">/</w:t>
      </w:r>
      <w:r>
        <w:t xml:space="preserve"> </w:t>
      </w:r>
      <w:r>
        <w:t xml:space="preserve">“</w:t>
      </w:r>
      <w:r>
        <w:t xml:space="preserve">PRIVILEGED AND CONFIDENTIAL</w:t>
      </w:r>
      <w:r>
        <w:t xml:space="preserve">”</w:t>
      </w:r>
      <w:r>
        <w:t xml:space="preserve"> </w:t>
      </w:r>
      <w:r>
        <w:t xml:space="preserve">markings and the requirement that the Effective Date follow execution before witnesses/notary are acceptable and consistent with C.2.</w:t>
      </w:r>
    </w:p>
    <w:p>
      <w:pPr>
        <w:pStyle w:val="BodyText"/>
      </w:pPr>
      <w:r>
        <w:rPr>
          <w:b/>
          <w:bCs/>
        </w:rPr>
        <w:t xml:space="preserve">C.6 — New</w:t>
      </w:r>
      <w:r>
        <w:rPr>
          <w:b/>
          <w:bCs/>
        </w:rPr>
        <w:t xml:space="preserve"> </w:t>
      </w:r>
      <w:r>
        <w:rPr>
          <w:b/>
          <w:bCs/>
        </w:rPr>
        <w:t xml:space="preserve">“</w:t>
      </w:r>
      <w:r>
        <w:rPr>
          <w:b/>
          <w:bCs/>
        </w:rPr>
        <w:t xml:space="preserve">Net Worth,</w:t>
      </w:r>
      <w:r>
        <w:rPr>
          <w:b/>
          <w:bCs/>
        </w:rPr>
        <w:t xml:space="preserve">”</w:t>
      </w:r>
      <w:r>
        <w:rPr>
          <w:b/>
          <w:bCs/>
        </w:rPr>
        <w:t xml:space="preserve"> </w:t>
      </w:r>
      <w:r>
        <w:rPr>
          <w:b/>
          <w:bCs/>
        </w:rPr>
        <w:t xml:space="preserve">“</w:t>
      </w:r>
      <w:r>
        <w:rPr>
          <w:b/>
          <w:bCs/>
        </w:rPr>
        <w:t xml:space="preserve">Children,</w:t>
      </w:r>
      <w:r>
        <w:rPr>
          <w:b/>
          <w:bCs/>
        </w:rPr>
        <w:t xml:space="preserve">”</w:t>
      </w:r>
      <w:r>
        <w:rPr>
          <w:b/>
          <w:bCs/>
        </w:rPr>
        <w:t xml:space="preserve"> </w:t>
      </w:r>
      <w:r>
        <w:rPr>
          <w:b/>
          <w:bCs/>
        </w:rPr>
        <w:t xml:space="preserve">“</w:t>
      </w:r>
      <w:r>
        <w:rPr>
          <w:b/>
          <w:bCs/>
        </w:rPr>
        <w:t xml:space="preserve">Identified Debt,</w:t>
      </w:r>
      <w:r>
        <w:rPr>
          <w:b/>
          <w:bCs/>
        </w:rPr>
        <w:t xml:space="preserve">”</w:t>
      </w:r>
      <w:r>
        <w:rPr>
          <w:b/>
          <w:bCs/>
        </w:rPr>
        <w:t xml:space="preserve"> </w:t>
      </w:r>
      <w:r>
        <w:rPr>
          <w:b/>
          <w:bCs/>
        </w:rPr>
        <w:t xml:space="preserve">“</w:t>
      </w:r>
      <w:r>
        <w:rPr>
          <w:b/>
          <w:bCs/>
        </w:rPr>
        <w:t xml:space="preserve">Schedules,</w:t>
      </w:r>
      <w:r>
        <w:rPr>
          <w:b/>
          <w:bCs/>
        </w:rPr>
        <w:t xml:space="preserve">”</w:t>
      </w:r>
      <w:r>
        <w:rPr>
          <w:b/>
          <w:bCs/>
        </w:rPr>
        <w:t xml:space="preserve"> </w:t>
      </w:r>
      <w:r>
        <w:rPr>
          <w:b/>
          <w:bCs/>
        </w:rPr>
        <w:t xml:space="preserve">“</w:t>
      </w:r>
      <w:r>
        <w:rPr>
          <w:b/>
          <w:bCs/>
        </w:rPr>
        <w:t xml:space="preserve">Party/Parties</w:t>
      </w:r>
      <w:r>
        <w:rPr>
          <w:b/>
          <w:bCs/>
        </w:rPr>
        <w:t xml:space="preserve">”</w:t>
      </w:r>
      <w:r>
        <w:rPr>
          <w:b/>
          <w:bCs/>
        </w:rPr>
        <w:t xml:space="preserve"> </w:t>
      </w:r>
      <w:r>
        <w:rPr>
          <w:b/>
          <w:bCs/>
        </w:rPr>
        <w:t xml:space="preserve">Defined Terms (TC-13, TC-14, etc.).</w:t>
      </w:r>
      <w:r>
        <w:t xml:space="preserve"> </w:t>
      </w:r>
      <w:r>
        <w:t xml:space="preserve">Organizational; accept, subject to verifying the children’s birth dates (§ IV, Item 1). (Note: the</w:t>
      </w:r>
      <w:r>
        <w:t xml:space="preserve"> </w:t>
      </w:r>
      <w:r>
        <w:t xml:space="preserve">“</w:t>
      </w:r>
      <w:r>
        <w:t xml:space="preserve">Net Worth</w:t>
      </w:r>
      <w:r>
        <w:t xml:space="preserve">”</w:t>
      </w:r>
      <w:r>
        <w:t xml:space="preserve"> </w:t>
      </w:r>
      <w:r>
        <w:t xml:space="preserve">defined term does not appear to be used elsewhere in the Redline — a harmless surplus.)</w:t>
      </w:r>
    </w:p>
    <w:p>
      <w:pPr>
        <w:pStyle w:val="BodyText"/>
      </w:pPr>
      <w:r>
        <w:rPr>
          <w:b/>
          <w:bCs/>
        </w:rPr>
        <w:t xml:space="preserve">C.7 — Reworded</w:t>
      </w:r>
      <w:r>
        <w:rPr>
          <w:b/>
          <w:bCs/>
        </w:rPr>
        <w:t xml:space="preserve"> </w:t>
      </w:r>
      <w:r>
        <w:rPr>
          <w:b/>
          <w:bCs/>
        </w:rPr>
        <w:t xml:space="preserve">“</w:t>
      </w:r>
      <w:r>
        <w:rPr>
          <w:b/>
          <w:bCs/>
        </w:rPr>
        <w:t xml:space="preserve">Agreement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Dissolution</w:t>
      </w:r>
      <w:r>
        <w:rPr>
          <w:b/>
          <w:bCs/>
        </w:rPr>
        <w:t xml:space="preserve">”</w:t>
      </w:r>
      <w:r>
        <w:rPr>
          <w:b/>
          <w:bCs/>
        </w:rPr>
        <w:t xml:space="preserve"> </w:t>
      </w:r>
      <w:r>
        <w:rPr>
          <w:b/>
          <w:bCs/>
        </w:rPr>
        <w:t xml:space="preserve">Definitions (TC-07, TC-11).</w:t>
      </w:r>
      <w:r>
        <w:t xml:space="preserve"> </w:t>
      </w:r>
      <w:r>
        <w:t xml:space="preserve">Substantively similar to the Original. Accept.</w:t>
      </w:r>
    </w:p>
    <w:p>
      <w:pPr>
        <w:pStyle w:val="BodyText"/>
      </w:pPr>
      <w:r>
        <w:rPr>
          <w:b/>
          <w:bCs/>
        </w:rPr>
        <w:t xml:space="preserve">C.8 — Overall Reorganization into Roman-Numbered Articles.</w:t>
      </w:r>
      <w:r>
        <w:t xml:space="preserve"> </w:t>
      </w:r>
      <w:r>
        <w:t xml:space="preserve">Acceptable in principle, provided no favorable provisions are dropped (several were — see § VI.D).</w:t>
      </w:r>
    </w:p>
    <w:p>
      <w:pPr>
        <w:pStyle w:val="BodyText"/>
      </w:pPr>
      <w:r>
        <w:rPr>
          <w:b/>
          <w:bCs/>
        </w:rPr>
        <w:t xml:space="preserve">C.9 — Governing-Law Savings Clause (Redline Section 15.1).</w:t>
      </w:r>
      <w:r>
        <w:t xml:space="preserve"> </w:t>
      </w:r>
      <w:r>
        <w:t xml:space="preserve">The Redline adds:</w:t>
      </w:r>
      <w:r>
        <w:t xml:space="preserve"> </w:t>
      </w:r>
      <w:r>
        <w:t xml:space="preserve">“</w:t>
      </w:r>
      <w:r>
        <w:t xml:space="preserve">In the event of any conflict between the provisions of this Agreement and the mandatory provisions of applicable Illinois law, the mandatory provisions of applicable Illinois law shall control.</w:t>
      </w:r>
      <w:r>
        <w:t xml:space="preserve">”</w:t>
      </w:r>
      <w:r>
        <w:t xml:space="preserve"> </w:t>
      </w:r>
      <w:r>
        <w:t xml:space="preserve">This is a reasonable, enforceability-supporting savings clause (deferring to non-waivable statutory protections). Accept.</w:t>
      </w:r>
    </w:p>
    <w:p>
      <w:pPr>
        <w:pStyle w:val="BodyText"/>
      </w:pPr>
      <w:r>
        <w:rPr>
          <w:b/>
          <w:bCs/>
        </w:rPr>
        <w:t xml:space="preserve">C.10 — Children’s-Rights Recital Reworded (TC-03).</w:t>
      </w:r>
      <w:r>
        <w:t xml:space="preserve"> </w:t>
      </w:r>
      <w:r>
        <w:t xml:space="preserve">The Redline (Section 1.2) rewords the Original’s children’s-rights provision (Recital C / Section 1.4) to state the agreement</w:t>
      </w:r>
      <w:r>
        <w:t xml:space="preserve"> </w:t>
      </w:r>
      <w:r>
        <w:t xml:space="preserve">“</w:t>
      </w:r>
      <w:r>
        <w:t xml:space="preserve">is not intended to address and does not address, issues of child custody, child support, or parenting time … giving paramount consideration to the best interests of the Children.</w:t>
      </w:r>
      <w:r>
        <w:t xml:space="preserve">”</w:t>
      </w:r>
      <w:r>
        <w:t xml:space="preserve"> </w:t>
      </w:r>
      <w:r>
        <w:t xml:space="preserve">Substantively similar (children’s matters remain subject to Illinois court jurisdiction). The Redline drops</w:t>
      </w:r>
      <w:r>
        <w:t xml:space="preserve"> </w:t>
      </w:r>
      <w:r>
        <w:t xml:space="preserve">“</w:t>
      </w:r>
      <w:r>
        <w:t xml:space="preserve">visitation</w:t>
      </w:r>
      <w:r>
        <w:t xml:space="preserve">”</w:t>
      </w:r>
      <w:r>
        <w:t xml:space="preserve"> </w:t>
      </w:r>
      <w:r>
        <w:t xml:space="preserve">and</w:t>
      </w:r>
      <w:r>
        <w:t xml:space="preserve"> </w:t>
      </w:r>
      <w:r>
        <w:t xml:space="preserve">“</w:t>
      </w:r>
      <w:r>
        <w:t xml:space="preserve">decision-making responsibility</w:t>
      </w:r>
      <w:r>
        <w:t xml:space="preserve">”</w:t>
      </w:r>
      <w:r>
        <w:t xml:space="preserve"> </w:t>
      </w:r>
      <w:r>
        <w:t xml:space="preserve">from the enumerated list but adds the best-interests emphasis. Benign. Accept.</w:t>
      </w:r>
    </w:p>
    <w:p>
      <w:pPr>
        <w:pStyle w:val="BodyText"/>
      </w:pPr>
      <w:r>
        <w:rPr>
          <w:b/>
          <w:bCs/>
        </w:rPr>
        <w:t xml:space="preserve">C.11 — Tenancy by the Entirety Stated (TC-32).</w:t>
      </w:r>
      <w:r>
        <w:t xml:space="preserve"> </w:t>
      </w:r>
      <w:r>
        <w:t xml:space="preserve">The Redline (Section 9.1) adds that</w:t>
      </w:r>
      <w:r>
        <w:t xml:space="preserve"> </w:t>
      </w:r>
      <w:r>
        <w:t xml:space="preserve">“</w:t>
      </w:r>
      <w:r>
        <w:t xml:space="preserve">Title to the Marital Residence is held jointly by the Parties as tenants by the entirety,</w:t>
      </w:r>
      <w:r>
        <w:t xml:space="preserve">”</w:t>
      </w:r>
      <w:r>
        <w:t xml:space="preserve"> </w:t>
      </w:r>
      <w:r>
        <w:t xml:space="preserve">which is corroborated by the financial disclosure (Joint sheet, Line J-1). A correct, useful factual statement. Accept.</w:t>
      </w:r>
    </w:p>
    <w:p>
      <w:pPr>
        <w:pStyle w:val="BodyText"/>
      </w:pPr>
      <w:r>
        <w:rPr>
          <w:b/>
          <w:bCs/>
        </w:rPr>
        <w:t xml:space="preserve">C.12 — QDRO Cost-Sharing (TC-31).</w:t>
      </w:r>
      <w:r>
        <w:t xml:space="preserve"> </w:t>
      </w:r>
      <w:r>
        <w:t xml:space="preserve">The Redline (Section 8.3) adds that each party bears one-half of the costs of preparing and filing QDROs. Reasonable. Accept.</w:t>
      </w:r>
    </w:p>
    <w:p>
      <w:pPr>
        <w:pStyle w:val="BodyText"/>
      </w:pPr>
      <w:r>
        <w:rPr>
          <w:b/>
          <w:bCs/>
        </w:rPr>
        <w:t xml:space="preserve">C.13 — Maintenance</w:t>
      </w:r>
      <w:r>
        <w:rPr>
          <w:b/>
          <w:bCs/>
        </w:rPr>
        <w:t xml:space="preserve"> </w:t>
      </w:r>
      <w:r>
        <w:rPr>
          <w:b/>
          <w:bCs/>
        </w:rPr>
        <w:t xml:space="preserve">“</w:t>
      </w:r>
      <w:r>
        <w:rPr>
          <w:b/>
          <w:bCs/>
        </w:rPr>
        <w:t xml:space="preserve">Supplement, Not Supplant</w:t>
      </w:r>
      <w:r>
        <w:rPr>
          <w:b/>
          <w:bCs/>
        </w:rPr>
        <w:t xml:space="preserve">”</w:t>
      </w:r>
      <w:r>
        <w:rPr>
          <w:b/>
          <w:bCs/>
        </w:rPr>
        <w:t xml:space="preserve"> </w:t>
      </w:r>
      <w:r>
        <w:rPr>
          <w:b/>
          <w:bCs/>
        </w:rPr>
        <w:t xml:space="preserve">Framing (TC-35).</w:t>
      </w:r>
      <w:r>
        <w:t xml:space="preserve"> </w:t>
      </w:r>
      <w:r>
        <w:t xml:space="preserve">The Redline (Section 10.1) reframes the maintenance article as supplementing rather than supplanting the statutory framework,</w:t>
      </w:r>
      <w:r>
        <w:t xml:space="preserve"> </w:t>
      </w:r>
      <w:r>
        <w:t xml:space="preserve">“</w:t>
      </w:r>
      <w:r>
        <w:t xml:space="preserve">except to the extent that specific provisions hereof expressly modify or limit statutory entitlements,</w:t>
      </w:r>
      <w:r>
        <w:t xml:space="preserve">”</w:t>
      </w:r>
      <w:r>
        <w:t xml:space="preserve"> </w:t>
      </w:r>
      <w:r>
        <w:t xml:space="preserve">and changes</w:t>
      </w:r>
      <w:r>
        <w:t xml:space="preserve"> </w:t>
      </w:r>
      <w:r>
        <w:t xml:space="preserve">“</w:t>
      </w:r>
      <w:r>
        <w:t xml:space="preserve">shall have the right to seek</w:t>
      </w:r>
      <w:r>
        <w:t xml:space="preserve">”</w:t>
      </w:r>
      <w:r>
        <w:t xml:space="preserve"> </w:t>
      </w:r>
      <w:r>
        <w:t xml:space="preserve">to</w:t>
      </w:r>
      <w:r>
        <w:t xml:space="preserve"> </w:t>
      </w:r>
      <w:r>
        <w:t xml:space="preserve">“</w:t>
      </w:r>
      <w:r>
        <w:t xml:space="preserve">may seek.</w:t>
      </w:r>
      <w:r>
        <w:t xml:space="preserve">”</w:t>
      </w:r>
      <w:r>
        <w:t xml:space="preserve"> </w:t>
      </w:r>
      <w:r>
        <w:t xml:space="preserve">This preserves more of the statutory baseline while keeping the specific caps/waiver — reasonable and not adverse to Wife. Accept.</w:t>
      </w:r>
    </w:p>
    <w:p>
      <w:pPr>
        <w:pStyle w:val="BodyText"/>
      </w:pPr>
      <w:r>
        <w:rPr>
          <w:b/>
          <w:bCs/>
        </w:rPr>
        <w:t xml:space="preserve">C.14 — Enforcement Remedies Narrowed but Catch-All Retained (TC-43).</w:t>
      </w:r>
      <w:r>
        <w:t xml:space="preserve"> </w:t>
      </w:r>
      <w:r>
        <w:t xml:space="preserve">The Redline (Section 13.1) drops the Original’s express references to</w:t>
      </w:r>
      <w:r>
        <w:t xml:space="preserve"> </w:t>
      </w:r>
      <w:r>
        <w:t xml:space="preserve">“</w:t>
      </w:r>
      <w:r>
        <w:t xml:space="preserve">injunctive relief</w:t>
      </w:r>
      <w:r>
        <w:t xml:space="preserve">”</w:t>
      </w:r>
      <w:r>
        <w:t xml:space="preserve"> </w:t>
      </w:r>
      <w:r>
        <w:t xml:space="preserve">and</w:t>
      </w:r>
      <w:r>
        <w:t xml:space="preserve"> </w:t>
      </w:r>
      <w:r>
        <w:t xml:space="preserve">“</w:t>
      </w:r>
      <w:r>
        <w:t xml:space="preserve">compensatory damages</w:t>
      </w:r>
      <w:r>
        <w:t xml:space="preserve">”</w:t>
      </w:r>
      <w:r>
        <w:t xml:space="preserve"> </w:t>
      </w:r>
      <w:r>
        <w:t xml:space="preserve">but retains specific performance plus</w:t>
      </w:r>
      <w:r>
        <w:t xml:space="preserve"> </w:t>
      </w:r>
      <w:r>
        <w:t xml:space="preserve">“</w:t>
      </w:r>
      <w:r>
        <w:t xml:space="preserve">any other remedies available at law or in equity.</w:t>
      </w:r>
      <w:r>
        <w:t xml:space="preserve">”</w:t>
      </w:r>
      <w:r>
        <w:t xml:space="preserve"> </w:t>
      </w:r>
      <w:r>
        <w:t xml:space="preserve">The catch-all preserves the remedies. Minor. Accept (or restore the express list for clarity).</w:t>
      </w:r>
    </w:p>
    <w:p>
      <w:pPr>
        <w:pStyle w:val="BodyText"/>
      </w:pPr>
      <w:r>
        <w:rPr>
          <w:b/>
          <w:bCs/>
        </w:rPr>
        <w:t xml:space="preserve">C.15 — Separate Property</w:t>
      </w:r>
      <w:r>
        <w:rPr>
          <w:b/>
          <w:bCs/>
        </w:rPr>
        <w:t xml:space="preserve"> </w:t>
      </w:r>
      <w:r>
        <w:rPr>
          <w:b/>
          <w:bCs/>
        </w:rPr>
        <w:t xml:space="preserve">“</w:t>
      </w:r>
      <w:r>
        <w:rPr>
          <w:b/>
          <w:bCs/>
        </w:rPr>
        <w:t xml:space="preserve">Traceable To / Exchange For</w:t>
      </w:r>
      <w:r>
        <w:rPr>
          <w:b/>
          <w:bCs/>
        </w:rPr>
        <w:t xml:space="preserve">”</w:t>
      </w:r>
      <w:r>
        <w:rPr>
          <w:b/>
          <w:bCs/>
        </w:rPr>
        <w:t xml:space="preserve"> </w:t>
      </w:r>
      <w:r>
        <w:rPr>
          <w:b/>
          <w:bCs/>
        </w:rPr>
        <w:t xml:space="preserve">Expansion (TC-09(iii)).</w:t>
      </w:r>
      <w:r>
        <w:t xml:space="preserve"> </w:t>
      </w:r>
      <w:r>
        <w:t xml:space="preserve">The Redline’s Separate Property definition adds property</w:t>
      </w:r>
      <w:r>
        <w:t xml:space="preserve"> </w:t>
      </w:r>
      <w:r>
        <w:t xml:space="preserve">“</w:t>
      </w:r>
      <w:r>
        <w:t xml:space="preserve">acquired by a Party in exchange for or traceable to</w:t>
      </w:r>
      <w:r>
        <w:t xml:space="preserve">”</w:t>
      </w:r>
      <w:r>
        <w:t xml:space="preserve"> </w:t>
      </w:r>
      <w:r>
        <w:t xml:space="preserve">premarital or inherited property. This is a standard, favorable expansion that reinforces tracing protection for both parties. Accept.</w:t>
      </w:r>
    </w:p>
    <w:bookmarkEnd w:id="28"/>
    <w:bookmarkStart w:id="29" w:name="Xe741db922795407697840fef14c10648320722c"/>
    <w:p>
      <w:pPr>
        <w:pStyle w:val="Heading3"/>
      </w:pPr>
      <w:r>
        <w:t xml:space="preserve">D. Provisions Dropped in the Reorganization — Restore</w:t>
      </w:r>
    </w:p>
    <w:p>
      <w:pPr>
        <w:pStyle w:val="FirstParagraph"/>
      </w:pPr>
      <w:r>
        <w:rPr>
          <w:b/>
          <w:bCs/>
        </w:rPr>
        <w:t xml:space="preserve">D.1 —</w:t>
      </w:r>
      <w:r>
        <w:rPr>
          <w:b/>
          <w:bCs/>
        </w:rPr>
        <w:t xml:space="preserve"> </w:t>
      </w:r>
      <w:r>
        <w:rPr>
          <w:b/>
          <w:bCs/>
        </w:rPr>
        <w:t xml:space="preserve">“</w:t>
      </w:r>
      <w:r>
        <w:rPr>
          <w:b/>
          <w:bCs/>
        </w:rPr>
        <w:t xml:space="preserve">No Pending Proceedings</w:t>
      </w:r>
      <w:r>
        <w:rPr>
          <w:b/>
          <w:bCs/>
        </w:rPr>
        <w:t xml:space="preserve">”</w:t>
      </w:r>
      <w:r>
        <w:rPr>
          <w:b/>
          <w:bCs/>
        </w:rPr>
        <w:t xml:space="preserve"> </w:t>
      </w:r>
      <w:r>
        <w:rPr>
          <w:b/>
          <w:bCs/>
        </w:rPr>
        <w:t xml:space="preserve">Representation (Original Section 15.10).</w:t>
      </w:r>
      <w:r>
        <w:t xml:space="preserve"> </w:t>
      </w:r>
      <w:r>
        <w:t xml:space="preserve">The Original represented that no dissolution/separation/annulment action was pending. The Redline’s Article III omits this. This is a standard and important representation for postnuptial enforceability.</w:t>
      </w:r>
      <w:r>
        <w:t xml:space="preserve"> </w:t>
      </w:r>
      <w:r>
        <w:rPr>
          <w:b/>
          <w:bCs/>
        </w:rPr>
        <w:t xml:space="preserve">Restore.</w:t>
      </w:r>
    </w:p>
    <w:p>
      <w:pPr>
        <w:pStyle w:val="BodyText"/>
      </w:pPr>
      <w:r>
        <w:rPr>
          <w:b/>
          <w:bCs/>
        </w:rPr>
        <w:t xml:space="preserve">D.2 — Fiduciary-Duty Acknowledgment (Original Section 15.9).</w:t>
      </w:r>
      <w:r>
        <w:t xml:space="preserve"> </w:t>
      </w:r>
      <w:r>
        <w:t xml:space="preserve">The Original acknowledged</w:t>
      </w:r>
      <w:r>
        <w:t xml:space="preserve"> </w:t>
      </w:r>
      <w:r>
        <w:t xml:space="preserve">“</w:t>
      </w:r>
      <w:r>
        <w:t xml:space="preserve">the fiduciary relationship that exists between spouses under Illinois law</w:t>
      </w:r>
      <w:r>
        <w:t xml:space="preserve">”</w:t>
      </w:r>
      <w:r>
        <w:t xml:space="preserve"> </w:t>
      </w:r>
      <w:r>
        <w:t xml:space="preserve">and that the parties dealt with each other</w:t>
      </w:r>
      <w:r>
        <w:t xml:space="preserve"> </w:t>
      </w:r>
      <w:r>
        <w:t xml:space="preserve">“</w:t>
      </w:r>
      <w:r>
        <w:t xml:space="preserve">in the utmost good faith and candor.</w:t>
      </w:r>
      <w:r>
        <w:t xml:space="preserve">”</w:t>
      </w:r>
      <w:r>
        <w:t xml:space="preserve"> </w:t>
      </w:r>
      <w:r>
        <w:t xml:space="preserve">The Redline’s Article III covers voluntariness and fairness but omits the fiduciary-duty acknowledgment. Given Husband’s documented non-disclosure, this acknowledgment is valuable evidence of the standard of conduct expected.</w:t>
      </w:r>
      <w:r>
        <w:t xml:space="preserve"> </w:t>
      </w:r>
      <w:r>
        <w:rPr>
          <w:b/>
          <w:bCs/>
        </w:rPr>
        <w:t xml:space="preserve">Restore.</w:t>
      </w:r>
    </w:p>
    <w:p>
      <w:pPr>
        <w:pStyle w:val="BodyText"/>
      </w:pPr>
      <w:r>
        <w:rPr>
          <w:b/>
          <w:bCs/>
        </w:rPr>
        <w:t xml:space="preserve">D.3 — Maintenance Termination Events (Original Section 10.4).</w:t>
      </w:r>
      <w:r>
        <w:t xml:space="preserve"> </w:t>
      </w:r>
      <w:r>
        <w:t xml:space="preserve">The Original listed termination events: death of either party, remarriage of the recipient, cohabitation of the recipient on a</w:t>
      </w:r>
      <w:r>
        <w:t xml:space="preserve"> </w:t>
      </w:r>
      <w:r>
        <w:t xml:space="preserve">“</w:t>
      </w:r>
      <w:r>
        <w:t xml:space="preserve">resident, continuing, conjugal basis,</w:t>
      </w:r>
      <w:r>
        <w:t xml:space="preserve">”</w:t>
      </w:r>
      <w:r>
        <w:t xml:space="preserve"> </w:t>
      </w:r>
      <w:r>
        <w:t xml:space="preserve">and expiration of the cap. The Redline’s Article X omits these. While death and remarriage termination are largely statutory, the</w:t>
      </w:r>
      <w:r>
        <w:t xml:space="preserve"> </w:t>
      </w:r>
      <w:r>
        <w:rPr>
          <w:b/>
          <w:bCs/>
        </w:rPr>
        <w:t xml:space="preserve">cohabitation</w:t>
      </w:r>
      <w:r>
        <w:t xml:space="preserve"> </w:t>
      </w:r>
      <w:r>
        <w:t xml:space="preserve">termination is a valuable contractual protection for Wife as payor and should be restored alongside the favorable maintenance terms in B.1–B.2.</w:t>
      </w:r>
      <w:r>
        <w:t xml:space="preserve"> </w:t>
      </w:r>
      <w:r>
        <w:rPr>
          <w:b/>
          <w:bCs/>
        </w:rPr>
        <w:t xml:space="preserve">Restore the termination events, particularly cohabitation.</w:t>
      </w:r>
    </w:p>
    <w:p>
      <w:pPr>
        <w:pStyle w:val="BodyText"/>
      </w:pPr>
      <w:r>
        <w:rPr>
          <w:b/>
          <w:bCs/>
        </w:rPr>
        <w:t xml:space="preserve">D.4 — Ongoing Disclosure Duty and Future-Debt Disclosure Duty (Original Sections 3.4 and 11.3).</w:t>
      </w:r>
      <w:r>
        <w:t xml:space="preserve"> </w:t>
      </w:r>
      <w:r>
        <w:t xml:space="preserve">Addressed above (A.3, A.4).</w:t>
      </w:r>
      <w:r>
        <w:t xml:space="preserve"> </w:t>
      </w:r>
      <w:r>
        <w:rPr>
          <w:b/>
          <w:bCs/>
        </w:rPr>
        <w:t xml:space="preserve">Restore both.</w:t>
      </w:r>
    </w:p>
    <w:p>
      <w:pPr>
        <w:pStyle w:val="BodyText"/>
      </w:pPr>
      <w:r>
        <w:rPr>
          <w:b/>
          <w:bCs/>
        </w:rPr>
        <w:t xml:space="preserve">D.5 — Mortgage Obligations During Marriage / Consent to Encumbrance (Original Section 9.4).</w:t>
      </w:r>
      <w:r>
        <w:t xml:space="preserve"> </w:t>
      </w:r>
      <w:r>
        <w:t xml:space="preserve">The Original required shared mortgage/tax/insurance/maintenance costs during the marriage and prohibited either party from encumbering or refinancing the Marital Residence without the other’s written consent. The Redline addresses post-buyout responsibility but omits the during-marriage consent-to-encumbrance protection.</w:t>
      </w:r>
      <w:r>
        <w:t xml:space="preserve"> </w:t>
      </w:r>
      <w:r>
        <w:rPr>
          <w:b/>
          <w:bCs/>
        </w:rPr>
        <w:t xml:space="preserve">Restore.</w:t>
      </w:r>
    </w:p>
    <w:p>
      <w:pPr>
        <w:pStyle w:val="BodyText"/>
      </w:pPr>
      <w:r>
        <w:rPr>
          <w:b/>
          <w:bCs/>
        </w:rPr>
        <w:t xml:space="preserve">D.6 — General Valuation of Marital Property (Original Section 5.3).</w:t>
      </w:r>
      <w:r>
        <w:t xml:space="preserve"> </w:t>
      </w:r>
      <w:r>
        <w:t xml:space="preserve">The Original set a valuation date and permitted independent appraisers. The Redline handles valuation per-asset but lacks a general provision. Minor;</w:t>
      </w:r>
      <w:r>
        <w:t xml:space="preserve"> </w:t>
      </w:r>
      <w:r>
        <w:rPr>
          <w:b/>
          <w:bCs/>
        </w:rPr>
        <w:t xml:space="preserve">restore or confirm per-asset provisions are sufficient.</w:t>
      </w:r>
    </w:p>
    <w:p>
      <w:pPr>
        <w:pStyle w:val="BodyText"/>
      </w:pPr>
      <w:r>
        <w:rPr>
          <w:b/>
          <w:bCs/>
        </w:rPr>
        <w:t xml:space="preserve">D.7 — RSU Division Mechanisms (Original Section 7.2).</w:t>
      </w:r>
      <w:r>
        <w:t xml:space="preserve"> </w:t>
      </w:r>
      <w:r>
        <w:t xml:space="preserve">The Original specified multiple division mechanisms (direct transfer of shares, constructive trust, or cash equivalent at fair market value). The Redline’s coverture approach (see § VII) is less specific on mechanism.</w:t>
      </w:r>
      <w:r>
        <w:t xml:space="preserve"> </w:t>
      </w:r>
      <w:r>
        <w:rPr>
          <w:b/>
          <w:bCs/>
        </w:rPr>
        <w:t xml:space="preserve">Restore the menu of division mechanisms</w:t>
      </w:r>
      <w:r>
        <w:t xml:space="preserve"> </w:t>
      </w:r>
      <w:r>
        <w:t xml:space="preserve">for clarity.</w:t>
      </w:r>
    </w:p>
    <w:p>
      <w:pPr>
        <w:pStyle w:val="BodyText"/>
      </w:pPr>
      <w:r>
        <w:rPr>
          <w:b/>
          <w:bCs/>
        </w:rPr>
        <w:t xml:space="preserve">D.8 — Equal Right to Occupy the Marital Residence During Marriage (Original Section 9.4).</w:t>
      </w:r>
      <w:r>
        <w:t xml:space="preserve"> </w:t>
      </w:r>
      <w:r>
        <w:t xml:space="preserve">Minor; the Original stated each party had equal right to occupy and enjoy the residence during the marriage.</w:t>
      </w:r>
      <w:r>
        <w:t xml:space="preserve"> </w:t>
      </w:r>
      <w:r>
        <w:rPr>
          <w:b/>
          <w:bCs/>
        </w:rPr>
        <w:t xml:space="preserve">Restore for completeness.</w:t>
      </w:r>
    </w:p>
    <w:p>
      <w:pPr>
        <w:pStyle w:val="BodyText"/>
      </w:pPr>
      <w:r>
        <w:rPr>
          <w:b/>
          <w:bCs/>
        </w:rPr>
        <w:t xml:space="preserve">D.9 — Binding-Effect Clause (Original Section 1.3).</w:t>
      </w:r>
      <w:r>
        <w:t xml:space="preserve"> </w:t>
      </w:r>
      <w:r>
        <w:t xml:space="preserve">The Original stated the agreement is</w:t>
      </w:r>
      <w:r>
        <w:t xml:space="preserve"> </w:t>
      </w:r>
      <w:r>
        <w:t xml:space="preserve">“</w:t>
      </w:r>
      <w:r>
        <w:t xml:space="preserve">legally binding upon the Parties and their respective heirs, executors, administrators, personal representatives, successors, and assigns, in accordance with … 750 ILCS 5/502.</w:t>
      </w:r>
      <w:r>
        <w:t xml:space="preserve">”</w:t>
      </w:r>
      <w:r>
        <w:t xml:space="preserve"> </w:t>
      </w:r>
      <w:r>
        <w:t xml:space="preserve">The Redline contains no equivalent binding-effect clause. This is standard and should be restored so the agreement binds successors and is expressly tied to the governing statute.</w:t>
      </w:r>
      <w:r>
        <w:t xml:space="preserve"> </w:t>
      </w:r>
      <w:r>
        <w:rPr>
          <w:b/>
          <w:bCs/>
        </w:rPr>
        <w:t xml:space="preserve">Restore.</w:t>
      </w:r>
    </w:p>
    <w:p>
      <w:pPr>
        <w:pStyle w:val="BodyText"/>
      </w:pPr>
      <w:r>
        <w:rPr>
          <w:b/>
          <w:bCs/>
        </w:rPr>
        <w:t xml:space="preserve">D.10 — Counterparts / Electronic Signatures (Original Section 15.5).</w:t>
      </w:r>
      <w:r>
        <w:t xml:space="preserve"> </w:t>
      </w:r>
      <w:r>
        <w:t xml:space="preserve">The Original permitted execution in counterparts and deemed facsimile/electronic signatures original. The Redline’s execution block (Article XVI) omits a counterparts clause.</w:t>
      </w:r>
      <w:r>
        <w:t xml:space="preserve"> </w:t>
      </w:r>
      <w:r>
        <w:rPr>
          <w:b/>
          <w:bCs/>
        </w:rPr>
        <w:t xml:space="preserve">Restore</w:t>
      </w:r>
      <w:r>
        <w:t xml:space="preserve"> </w:t>
      </w:r>
      <w:r>
        <w:t xml:space="preserve">(particularly useful given the notarization/witness formalities).</w:t>
      </w:r>
    </w:p>
    <w:p>
      <w:pPr>
        <w:pStyle w:val="BodyText"/>
      </w:pPr>
      <w:r>
        <w:rPr>
          <w:b/>
          <w:bCs/>
        </w:rPr>
        <w:t xml:space="preserve">D.11 — Non-Waiver Clause (Original Section 15.6).</w:t>
      </w:r>
      <w:r>
        <w:t xml:space="preserve"> </w:t>
      </w:r>
      <w:r>
        <w:t xml:space="preserve">The Original provided that failure to enforce any provision is not a waiver, and that waiver of one breach is not a waiver of subsequent breaches. The Redline omits this standard protection.</w:t>
      </w:r>
      <w:r>
        <w:t xml:space="preserve"> </w:t>
      </w:r>
      <w:r>
        <w:rPr>
          <w:b/>
          <w:bCs/>
        </w:rPr>
        <w:t xml:space="preserve">Restore.</w:t>
      </w:r>
    </w:p>
    <w:p>
      <w:pPr>
        <w:pStyle w:val="BodyText"/>
      </w:pPr>
      <w:r>
        <w:rPr>
          <w:b/>
          <w:bCs/>
        </w:rPr>
        <w:t xml:space="preserve">D.12 — Headings Clause (Original Section 15.7).</w:t>
      </w:r>
      <w:r>
        <w:t xml:space="preserve"> </w:t>
      </w:r>
      <w:r>
        <w:t xml:space="preserve">The Original provided that article/section headings are for convenience of reference only. The Redline omits it. Minor but standard.</w:t>
      </w:r>
      <w:r>
        <w:t xml:space="preserve"> </w:t>
      </w:r>
      <w:r>
        <w:rPr>
          <w:b/>
          <w:bCs/>
        </w:rPr>
        <w:t xml:space="preserve">Restore.</w:t>
      </w:r>
    </w:p>
    <w:p>
      <w:pPr>
        <w:pStyle w:val="BodyText"/>
      </w:pPr>
      <w:r>
        <w:rPr>
          <w:b/>
          <w:bCs/>
        </w:rPr>
        <w:t xml:space="preserve">D.13 — Exhibits C and D (Marital-Residence Appraisal Summary and Business-Valuation Summary) Dropped.</w:t>
      </w:r>
      <w:r>
        <w:t xml:space="preserve"> </w:t>
      </w:r>
      <w:r>
        <w:t xml:space="preserve">The Original included Exhibit C (a summary of the Pendleton Appraisal Group report on the Marital Residence) and Exhibit D (a summary of the Strand Valuation Services report on the Practice Interest), in addition to the financial-disclosure exhibits. The Redline retains only Schedules A and B and drops the appraisal and valuation summary exhibits. While the underlying reports are referenced in the body of both drafts, the summary exhibits provided convenient baseline-value records (residence $1,875,000 / net equity $1,263,000; Practice Interest $1,650,000).</w:t>
      </w:r>
      <w:r>
        <w:t xml:space="preserve"> </w:t>
      </w:r>
      <w:r>
        <w:rPr>
          <w:b/>
          <w:bCs/>
        </w:rPr>
        <w:t xml:space="preserve">Restore the summary exhibits, or confirm the reports are incorporated by reference with their baseline values stated in the body.</w:t>
      </w:r>
    </w:p>
    <w:bookmarkEnd w:id="29"/>
    <w:bookmarkStart w:id="30" w:name="e.-assessment-of-the-margin-comments"/>
    <w:p>
      <w:pPr>
        <w:pStyle w:val="Heading3"/>
      </w:pPr>
      <w:r>
        <w:t xml:space="preserve">E. Assessment of the Margin Comments</w:t>
      </w:r>
    </w:p>
    <w:p>
      <w:pPr>
        <w:pStyle w:val="FirstParagraph"/>
      </w:pPr>
      <w:r>
        <w:t xml:space="preserve">Of the twelve margin comments (MC-01 through MC-12), several materially mischaracterize the effect of the associated edit:</w:t>
      </w:r>
    </w:p>
    <w:p>
      <w:pPr>
        <w:pStyle w:val="Compact"/>
        <w:numPr>
          <w:ilvl w:val="0"/>
          <w:numId w:val="1005"/>
        </w:numPr>
      </w:pPr>
      <w:r>
        <w:rPr>
          <w:b/>
          <w:bCs/>
        </w:rPr>
        <w:t xml:space="preserve">MC-05</w:t>
      </w:r>
      <w:r>
        <w:t xml:space="preserve"> </w:t>
      </w:r>
      <w:r>
        <w:t xml:space="preserve">(reimbursement deletion</w:t>
      </w:r>
      <w:r>
        <w:t xml:space="preserve"> </w:t>
      </w:r>
      <w:r>
        <w:t xml:space="preserve">“</w:t>
      </w:r>
      <w:r>
        <w:t xml:space="preserve">duplicative</w:t>
      </w:r>
      <w:r>
        <w:t xml:space="preserve">”</w:t>
      </w:r>
      <w:r>
        <w:t xml:space="preserve">) —</w:t>
      </w:r>
      <w:r>
        <w:t xml:space="preserve"> </w:t>
      </w:r>
      <w:r>
        <w:rPr>
          <w:b/>
          <w:bCs/>
        </w:rPr>
        <w:t xml:space="preserve">false</w:t>
      </w:r>
      <w:r>
        <w:t xml:space="preserve">; the reimbursement right was a first-priority claim, not duplicative of 50/50 division.</w:t>
      </w:r>
    </w:p>
    <w:p>
      <w:pPr>
        <w:pStyle w:val="Compact"/>
        <w:numPr>
          <w:ilvl w:val="0"/>
          <w:numId w:val="1005"/>
        </w:numPr>
      </w:pPr>
      <w:r>
        <w:rPr>
          <w:b/>
          <w:bCs/>
        </w:rPr>
        <w:t xml:space="preserve">MC-02</w:t>
      </w:r>
      <w:r>
        <w:t xml:space="preserve"> </w:t>
      </w:r>
      <w:r>
        <w:t xml:space="preserve">(Earned Income</w:t>
      </w:r>
      <w:r>
        <w:t xml:space="preserve"> </w:t>
      </w:r>
      <w:r>
        <w:t xml:space="preserve">“</w:t>
      </w:r>
      <w:r>
        <w:t xml:space="preserve">for clarity … standard usage</w:t>
      </w:r>
      <w:r>
        <w:t xml:space="preserve">”</w:t>
      </w:r>
      <w:r>
        <w:t xml:space="preserve">) —</w:t>
      </w:r>
      <w:r>
        <w:t xml:space="preserve"> </w:t>
      </w:r>
      <w:r>
        <w:rPr>
          <w:b/>
          <w:bCs/>
        </w:rPr>
        <w:t xml:space="preserve">misleading</w:t>
      </w:r>
      <w:r>
        <w:t xml:space="preserve">; the definition narrows the marital-property and maintenance bases.</w:t>
      </w:r>
    </w:p>
    <w:p>
      <w:pPr>
        <w:pStyle w:val="Compact"/>
        <w:numPr>
          <w:ilvl w:val="0"/>
          <w:numId w:val="1005"/>
        </w:numPr>
      </w:pPr>
      <w:r>
        <w:rPr>
          <w:b/>
          <w:bCs/>
        </w:rPr>
        <w:t xml:space="preserve">MC-04</w:t>
      </w:r>
      <w:r>
        <w:t xml:space="preserve"> </w:t>
      </w:r>
      <w:r>
        <w:t xml:space="preserve">(transmutation reversal</w:t>
      </w:r>
      <w:r>
        <w:t xml:space="preserve"> </w:t>
      </w:r>
      <w:r>
        <w:t xml:space="preserve">“</w:t>
      </w:r>
      <w:r>
        <w:t xml:space="preserve">protects both parties’ separate property</w:t>
      </w:r>
      <w:r>
        <w:t xml:space="preserve">”</w:t>
      </w:r>
      <w:r>
        <w:t xml:space="preserve">) —</w:t>
      </w:r>
      <w:r>
        <w:t xml:space="preserve"> </w:t>
      </w:r>
      <w:r>
        <w:rPr>
          <w:b/>
          <w:bCs/>
        </w:rPr>
        <w:t xml:space="preserve">misleading</w:t>
      </w:r>
      <w:r>
        <w:t xml:space="preserve">; it primarily protects Husband’s $3.8 million inheritance.</w:t>
      </w:r>
    </w:p>
    <w:p>
      <w:pPr>
        <w:pStyle w:val="Compact"/>
        <w:numPr>
          <w:ilvl w:val="0"/>
          <w:numId w:val="1005"/>
        </w:numPr>
      </w:pPr>
      <w:r>
        <w:rPr>
          <w:b/>
          <w:bCs/>
        </w:rPr>
        <w:t xml:space="preserve">MC-07</w:t>
      </w:r>
      <w:r>
        <w:t xml:space="preserve"> </w:t>
      </w:r>
      <w:r>
        <w:t xml:space="preserve">(coverture</w:t>
      </w:r>
      <w:r>
        <w:t xml:space="preserve"> </w:t>
      </w:r>
      <w:r>
        <w:t xml:space="preserve">“</w:t>
      </w:r>
      <w:r>
        <w:t xml:space="preserve">more equitable than a blanket 50/50 split</w:t>
      </w:r>
      <w:r>
        <w:t xml:space="preserve">”</w:t>
      </w:r>
      <w:r>
        <w:t xml:space="preserve">) —</w:t>
      </w:r>
      <w:r>
        <w:t xml:space="preserve"> </w:t>
      </w:r>
      <w:r>
        <w:rPr>
          <w:b/>
          <w:bCs/>
        </w:rPr>
        <w:t xml:space="preserve">misleading</w:t>
      </w:r>
      <w:r>
        <w:t xml:space="preserve">; it reduces Wife’s share relative to the Original (though the hire-date start chosen is, if anything, the less adverse coverture option — see § VII).</w:t>
      </w:r>
    </w:p>
    <w:p>
      <w:pPr>
        <w:pStyle w:val="Compact"/>
        <w:numPr>
          <w:ilvl w:val="0"/>
          <w:numId w:val="1005"/>
        </w:numPr>
      </w:pPr>
      <w:r>
        <w:rPr>
          <w:b/>
          <w:bCs/>
        </w:rPr>
        <w:t xml:space="preserve">MC-09</w:t>
      </w:r>
      <w:r>
        <w:t xml:space="preserve"> </w:t>
      </w:r>
      <w:r>
        <w:t xml:space="preserve">(waiver</w:t>
      </w:r>
      <w:r>
        <w:t xml:space="preserve"> </w:t>
      </w:r>
      <w:r>
        <w:t xml:space="preserve">“</w:t>
      </w:r>
      <w:r>
        <w:t xml:space="preserve">benefits both parties equally</w:t>
      </w:r>
      <w:r>
        <w:t xml:space="preserve">”</w:t>
      </w:r>
      <w:r>
        <w:t xml:space="preserve">) —</w:t>
      </w:r>
      <w:r>
        <w:t xml:space="preserve"> </w:t>
      </w:r>
      <w:r>
        <w:rPr>
          <w:b/>
          <w:bCs/>
        </w:rPr>
        <w:t xml:space="preserve">misleading</w:t>
      </w:r>
      <w:r>
        <w:t xml:space="preserve">; it eliminates Husband’s maintenance and benefits Wife.</w:t>
      </w:r>
    </w:p>
    <w:p>
      <w:pPr>
        <w:pStyle w:val="Compact"/>
        <w:numPr>
          <w:ilvl w:val="0"/>
          <w:numId w:val="1005"/>
        </w:numPr>
      </w:pPr>
      <w:r>
        <w:rPr>
          <w:b/>
          <w:bCs/>
        </w:rPr>
        <w:t xml:space="preserve">MC-10</w:t>
      </w:r>
      <w:r>
        <w:t xml:space="preserve"> </w:t>
      </w:r>
      <w:r>
        <w:t xml:space="preserve">(de minimis threshold</w:t>
      </w:r>
      <w:r>
        <w:t xml:space="preserve"> </w:t>
      </w:r>
      <w:r>
        <w:t xml:space="preserve">“</w:t>
      </w:r>
      <w:r>
        <w:t xml:space="preserve">standard commercial practice</w:t>
      </w:r>
      <w:r>
        <w:t xml:space="preserve">”</w:t>
      </w:r>
      <w:r>
        <w:t xml:space="preserve">) —</w:t>
      </w:r>
      <w:r>
        <w:t xml:space="preserve"> </w:t>
      </w:r>
      <w:r>
        <w:rPr>
          <w:b/>
          <w:bCs/>
        </w:rPr>
        <w:t xml:space="preserve">misleading</w:t>
      </w:r>
      <w:r>
        <w:t xml:space="preserve">; this is a family-debt indemnity, and the threshold is a loophole the client wanted to avoid.</w:t>
      </w:r>
    </w:p>
    <w:p>
      <w:pPr>
        <w:pStyle w:val="Compact"/>
        <w:numPr>
          <w:ilvl w:val="0"/>
          <w:numId w:val="1005"/>
        </w:numPr>
      </w:pPr>
      <w:r>
        <w:rPr>
          <w:b/>
          <w:bCs/>
        </w:rPr>
        <w:t xml:space="preserve">MC-11</w:t>
      </w:r>
      <w:r>
        <w:t xml:space="preserve"> </w:t>
      </w:r>
      <w:r>
        <w:t xml:space="preserve">(fee waiver</w:t>
      </w:r>
      <w:r>
        <w:t xml:space="preserve"> </w:t>
      </w:r>
      <w:r>
        <w:t xml:space="preserve">“</w:t>
      </w:r>
      <w:r>
        <w:t xml:space="preserve">balanced</w:t>
      </w:r>
      <w:r>
        <w:t xml:space="preserve">”</w:t>
      </w:r>
      <w:r>
        <w:t xml:space="preserve">) —</w:t>
      </w:r>
      <w:r>
        <w:t xml:space="preserve"> </w:t>
      </w:r>
      <w:r>
        <w:rPr>
          <w:b/>
          <w:bCs/>
        </w:rPr>
        <w:t xml:space="preserve">misleading</w:t>
      </w:r>
      <w:r>
        <w:t xml:space="preserve">; it removes the enforcement deterrent Wife most needs.</w:t>
      </w:r>
    </w:p>
    <w:p>
      <w:pPr>
        <w:pStyle w:val="Compact"/>
        <w:numPr>
          <w:ilvl w:val="0"/>
          <w:numId w:val="1005"/>
        </w:numPr>
      </w:pPr>
      <w:r>
        <w:rPr>
          <w:b/>
          <w:bCs/>
        </w:rPr>
        <w:t xml:space="preserve">MC-12</w:t>
      </w:r>
      <w:r>
        <w:t xml:space="preserve"> </w:t>
      </w:r>
      <w:r>
        <w:t xml:space="preserve">(DuPage venue</w:t>
      </w:r>
      <w:r>
        <w:t xml:space="preserve"> </w:t>
      </w:r>
      <w:r>
        <w:t xml:space="preserve">“</w:t>
      </w:r>
      <w:r>
        <w:t xml:space="preserve">scheduling efficiency</w:t>
      </w:r>
      <w:r>
        <w:t xml:space="preserve">”</w:t>
      </w:r>
      <w:r>
        <w:t xml:space="preserve">) —</w:t>
      </w:r>
      <w:r>
        <w:t xml:space="preserve"> </w:t>
      </w:r>
      <w:r>
        <w:rPr>
          <w:b/>
          <w:bCs/>
        </w:rPr>
        <w:t xml:space="preserve">misleading</w:t>
      </w:r>
      <w:r>
        <w:t xml:space="preserve">; the family resides in Cook County and dissolution venue lies there.</w:t>
      </w:r>
    </w:p>
    <w:p>
      <w:pPr>
        <w:pStyle w:val="Compact"/>
        <w:numPr>
          <w:ilvl w:val="0"/>
          <w:numId w:val="1005"/>
        </w:numPr>
      </w:pPr>
      <w:r>
        <w:rPr>
          <w:b/>
          <w:bCs/>
        </w:rPr>
        <w:t xml:space="preserve">MC-03</w:t>
      </w:r>
      <w:r>
        <w:t xml:space="preserve"> </w:t>
      </w:r>
      <w:r>
        <w:t xml:space="preserve">(commingling</w:t>
      </w:r>
      <w:r>
        <w:t xml:space="preserve"> </w:t>
      </w:r>
      <w:r>
        <w:t xml:space="preserve">“</w:t>
      </w:r>
      <w:r>
        <w:t xml:space="preserve">aligns with Illinois tracing principles</w:t>
      </w:r>
      <w:r>
        <w:t xml:space="preserve">”</w:t>
      </w:r>
      <w:r>
        <w:t xml:space="preserve">) —</w:t>
      </w:r>
      <w:r>
        <w:t xml:space="preserve"> </w:t>
      </w:r>
      <w:r>
        <w:rPr>
          <w:b/>
          <w:bCs/>
        </w:rPr>
        <w:t xml:space="preserve">partially accurate</w:t>
      </w:r>
      <w:r>
        <w:t xml:space="preserve"> </w:t>
      </w:r>
      <w:r>
        <w:t xml:space="preserve">but softens a mandatory rule to a discretionary one.</w:t>
      </w:r>
    </w:p>
    <w:p>
      <w:pPr>
        <w:pStyle w:val="Compact"/>
        <w:numPr>
          <w:ilvl w:val="0"/>
          <w:numId w:val="1005"/>
        </w:numPr>
      </w:pPr>
      <w:r>
        <w:rPr>
          <w:b/>
          <w:bCs/>
        </w:rPr>
        <w:t xml:space="preserve">MC-06</w:t>
      </w:r>
      <w:r>
        <w:t xml:space="preserve"> </w:t>
      </w:r>
      <w:r>
        <w:t xml:space="preserve">(active/passive</w:t>
      </w:r>
      <w:r>
        <w:t xml:space="preserve"> </w:t>
      </w:r>
      <w:r>
        <w:t xml:space="preserve">“</w:t>
      </w:r>
      <w:r>
        <w:t xml:space="preserve">protects Wife’s separate property</w:t>
      </w:r>
      <w:r>
        <w:t xml:space="preserve">”</w:t>
      </w:r>
      <w:r>
        <w:t xml:space="preserve">) —</w:t>
      </w:r>
      <w:r>
        <w:t xml:space="preserve"> </w:t>
      </w:r>
      <w:r>
        <w:rPr>
          <w:b/>
          <w:bCs/>
        </w:rPr>
        <w:t xml:space="preserve">accurate</w:t>
      </w:r>
      <w:r>
        <w:t xml:space="preserve">; this change favors Wife.</w:t>
      </w:r>
    </w:p>
    <w:p>
      <w:pPr>
        <w:pStyle w:val="Compact"/>
        <w:numPr>
          <w:ilvl w:val="0"/>
          <w:numId w:val="1005"/>
        </w:numPr>
      </w:pPr>
      <w:r>
        <w:rPr>
          <w:b/>
          <w:bCs/>
        </w:rPr>
        <w:t xml:space="preserve">MC-08</w:t>
      </w:r>
      <w:r>
        <w:t xml:space="preserve"> </w:t>
      </w:r>
      <w:r>
        <w:t xml:space="preserve">(3-year cap</w:t>
      </w:r>
      <w:r>
        <w:t xml:space="preserve"> </w:t>
      </w:r>
      <w:r>
        <w:t xml:space="preserve">“</w:t>
      </w:r>
      <w:r>
        <w:t xml:space="preserve">five years excessive</w:t>
      </w:r>
      <w:r>
        <w:t xml:space="preserve">”</w:t>
      </w:r>
      <w:r>
        <w:t xml:space="preserve">) — debatable; favors Wife.</w:t>
      </w:r>
    </w:p>
    <w:p>
      <w:pPr>
        <w:pStyle w:val="Compact"/>
        <w:numPr>
          <w:ilvl w:val="0"/>
          <w:numId w:val="1005"/>
        </w:numPr>
      </w:pPr>
      <w:r>
        <w:rPr>
          <w:b/>
          <w:bCs/>
        </w:rPr>
        <w:t xml:space="preserve">MC-01</w:t>
      </w:r>
      <w:r>
        <w:t xml:space="preserve"> </w:t>
      </w:r>
      <w:r>
        <w:t xml:space="preserve">(marriage-commitment language) — benign.</w:t>
      </w:r>
    </w:p>
    <w:p>
      <w:pPr>
        <w:pStyle w:val="FirstParagraph"/>
      </w:pPr>
      <w:r>
        <w:rPr>
          <w:b/>
          <w:bCs/>
        </w:rPr>
        <w:t xml:space="preserve">The pattern of commenting is itself telling.</w:t>
      </w:r>
      <w:r>
        <w:t xml:space="preserve"> </w:t>
      </w:r>
      <w:r>
        <w:t xml:space="preserve">The benign edits (severability, notarization, spelling, the marriage-commitment recital) are prominently commented, while the most consequential adverse edits carry</w:t>
      </w:r>
      <w:r>
        <w:t xml:space="preserve"> </w:t>
      </w:r>
      <w:r>
        <w:rPr>
          <w:b/>
          <w:bCs/>
        </w:rPr>
        <w:t xml:space="preserve">no comment at all</w:t>
      </w:r>
      <w:r>
        <w:t xml:space="preserve">: the unilateral modification mechanism (TC-46) and the voidability weakening (TC-42), and in addition the marital-residence buyout tightening and Husband’s new purchase right (TC-33, TC-34), the debt-principle rewrite that drops the $10,000 consent requirement (TC-39), the equitable-division shift (TC-24), and the RSU-tax and retirement provisions (TC-28, TC-29, TC-30). The favorable-to-Wife edits (maintenance cap/waiver, active/passive practice appreciation) are commented in ways that downplay their benefit to Wife. This commenting pattern — flagging the harmless, burying the harmful — is consistent with the client’s intake warning to watch for</w:t>
      </w:r>
      <w:r>
        <w:t xml:space="preserve"> </w:t>
      </w:r>
      <w:r>
        <w:t xml:space="preserve">“</w:t>
      </w:r>
      <w:r>
        <w:t xml:space="preserve">hidden or embedded terms.</w:t>
      </w:r>
      <w:r>
        <w:t xml:space="preserve">”</w:t>
      </w:r>
    </w:p>
    <w:bookmarkEnd w:id="30"/>
    <w:bookmarkEnd w:id="31"/>
    <w:bookmarkStart w:id="32" w:name="vii.-financial-impact-summary"/>
    <w:p>
      <w:pPr>
        <w:pStyle w:val="Heading2"/>
      </w:pPr>
      <w:r>
        <w:t xml:space="preserve">VII. Financial Impact Summary</w:t>
      </w:r>
    </w:p>
    <w:p>
      <w:pPr>
        <w:pStyle w:val="FirstParagraph"/>
      </w:pPr>
      <w:r>
        <w:t xml:space="preserve">The table below summarizes the estimated impact on Wife if the Redline were accepted as written.</w:t>
      </w:r>
      <w:r>
        <w:t xml:space="preserve"> </w:t>
      </w:r>
      <w:r>
        <w:t xml:space="preserve">“</w:t>
      </w:r>
      <w:r>
        <w:t xml:space="preserve">Certain</w:t>
      </w:r>
      <w:r>
        <w:t xml:space="preserve">”</w:t>
      </w:r>
      <w:r>
        <w:t xml:space="preserve"> </w:t>
      </w:r>
      <w:r>
        <w:t xml:space="preserve">effects apply regardless of whether a dissolution occurs;</w:t>
      </w:r>
      <w:r>
        <w:t xml:space="preserve"> </w:t>
      </w:r>
      <w:r>
        <w:t xml:space="preserve">“</w:t>
      </w:r>
      <w:r>
        <w:t xml:space="preserve">contingent</w:t>
      </w:r>
      <w:r>
        <w:t xml:space="preserve">”</w:t>
      </w:r>
      <w:r>
        <w:t xml:space="preserve"> </w:t>
      </w:r>
      <w:r>
        <w:t xml:space="preserve">effects apply only upon a dissolution.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Effect on Wife</w:t>
            </w:r>
          </w:p>
        </w:tc>
        <w:tc>
          <w:tcPr/>
          <w:p>
            <w:pPr>
              <w:pStyle w:val="Compact"/>
              <w:jc w:val="left"/>
            </w:pPr>
            <w:r>
              <w:t xml:space="preserve">Magnitude</w:t>
            </w:r>
          </w:p>
        </w:tc>
        <w:tc>
          <w:tcPr/>
          <w:p>
            <w:pPr>
              <w:pStyle w:val="Compact"/>
              <w:jc w:val="left"/>
            </w:pPr>
            <w:r>
              <w:t xml:space="preserve">Certainty</w:t>
            </w:r>
          </w:p>
        </w:tc>
      </w:tr>
      <w:tr>
        <w:tc>
          <w:tcPr/>
          <w:p>
            <w:pPr>
              <w:pStyle w:val="Compact"/>
              <w:jc w:val="left"/>
            </w:pPr>
            <w:r>
              <w:t xml:space="preserve">A.1 Reimbursement right deleted</w:t>
            </w:r>
          </w:p>
        </w:tc>
        <w:tc>
          <w:tcPr/>
          <w:p>
            <w:pPr>
              <w:pStyle w:val="Compact"/>
              <w:jc w:val="left"/>
            </w:pPr>
            <w:r>
              <w:rPr>
                <w:b/>
                <w:bCs/>
              </w:rPr>
              <w:t xml:space="preserve">Loss</w:t>
            </w:r>
          </w:p>
        </w:tc>
        <w:tc>
          <w:tcPr/>
          <w:p>
            <w:pPr>
              <w:pStyle w:val="Compact"/>
              <w:jc w:val="left"/>
            </w:pPr>
            <w:r>
              <w:t xml:space="preserve">~$600,000</w:t>
            </w:r>
          </w:p>
        </w:tc>
        <w:tc>
          <w:tcPr/>
          <w:p>
            <w:pPr>
              <w:pStyle w:val="Compact"/>
              <w:jc w:val="left"/>
            </w:pPr>
            <w:r>
              <w:t xml:space="preserve">Certain (applies at any division of the Joint Investment Account)</w:t>
            </w:r>
          </w:p>
        </w:tc>
      </w:tr>
      <w:tr>
        <w:tc>
          <w:tcPr/>
          <w:p>
            <w:pPr>
              <w:pStyle w:val="Compact"/>
              <w:jc w:val="left"/>
            </w:pPr>
            <w:r>
              <w:t xml:space="preserve">A.6 Transmutation reversed</w:t>
            </w:r>
          </w:p>
        </w:tc>
        <w:tc>
          <w:tcPr/>
          <w:p>
            <w:pPr>
              <w:pStyle w:val="Compact"/>
              <w:jc w:val="left"/>
            </w:pPr>
            <w:r>
              <w:rPr>
                <w:b/>
                <w:bCs/>
              </w:rPr>
              <w:t xml:space="preserve">Loss</w:t>
            </w:r>
          </w:p>
        </w:tc>
        <w:tc>
          <w:tcPr/>
          <w:p>
            <w:pPr>
              <w:pStyle w:val="Compact"/>
              <w:jc w:val="left"/>
            </w:pPr>
            <w:r>
              <w:t xml:space="preserve">Speculative; potentially $300,000+ (e.g., inheritance used to pay down the $612,000 mortgage)</w:t>
            </w:r>
          </w:p>
        </w:tc>
        <w:tc>
          <w:tcPr/>
          <w:p>
            <w:pPr>
              <w:pStyle w:val="Compact"/>
              <w:jc w:val="left"/>
            </w:pPr>
            <w:r>
              <w:t xml:space="preserve">Contingent on Husband’s deployment of inheritance</w:t>
            </w:r>
          </w:p>
        </w:tc>
      </w:tr>
      <w:tr>
        <w:tc>
          <w:tcPr/>
          <w:p>
            <w:pPr>
              <w:pStyle w:val="Compact"/>
              <w:jc w:val="left"/>
            </w:pPr>
            <w:r>
              <w:t xml:space="preserve">A.16 Marital-residence buyout tightened + Husband purchase right</w:t>
            </w:r>
          </w:p>
        </w:tc>
        <w:tc>
          <w:tcPr/>
          <w:p>
            <w:pPr>
              <w:pStyle w:val="Compact"/>
              <w:jc w:val="left"/>
            </w:pPr>
            <w:r>
              <w:rPr>
                <w:b/>
                <w:bCs/>
              </w:rPr>
              <w:t xml:space="preserve">Loss / risk</w:t>
            </w:r>
          </w:p>
        </w:tc>
        <w:tc>
          <w:tcPr/>
          <w:p>
            <w:pPr>
              <w:pStyle w:val="Compact"/>
              <w:jc w:val="left"/>
            </w:pPr>
            <w:r>
              <w:t xml:space="preserve">Could allow Husband to take the home; shorter 30-day/18-month windows impede Wife’s buyout (Husband’s equity ~$631,500)</w:t>
            </w:r>
          </w:p>
        </w:tc>
        <w:tc>
          <w:tcPr/>
          <w:p>
            <w:pPr>
              <w:pStyle w:val="Compact"/>
              <w:jc w:val="left"/>
            </w:pPr>
            <w:r>
              <w:t xml:space="preserve">Contingent on dissolution; threatens children’s-stability objective</w:t>
            </w:r>
          </w:p>
        </w:tc>
      </w:tr>
      <w:tr>
        <w:tc>
          <w:tcPr/>
          <w:p>
            <w:pPr>
              <w:pStyle w:val="Compact"/>
              <w:jc w:val="left"/>
            </w:pPr>
            <w:r>
              <w:t xml:space="preserve">A.8/A.9 Marital Property / Earned Income narrowed</w:t>
            </w:r>
          </w:p>
        </w:tc>
        <w:tc>
          <w:tcPr/>
          <w:p>
            <w:pPr>
              <w:pStyle w:val="Compact"/>
              <w:jc w:val="left"/>
            </w:pPr>
            <w:r>
              <w:rPr>
                <w:b/>
                <w:bCs/>
              </w:rPr>
              <w:t xml:space="preserve">Loss / risk</w:t>
            </w:r>
          </w:p>
        </w:tc>
        <w:tc>
          <w:tcPr/>
          <w:p>
            <w:pPr>
              <w:pStyle w:val="Compact"/>
              <w:jc w:val="left"/>
            </w:pPr>
            <w:r>
              <w:t xml:space="preserve">Ambiguous; could shrink marital estate by excluding bonuses, investment income, distributions</w:t>
            </w:r>
          </w:p>
        </w:tc>
        <w:tc>
          <w:tcPr/>
          <w:p>
            <w:pPr>
              <w:pStyle w:val="Compact"/>
              <w:jc w:val="left"/>
            </w:pPr>
            <w:r>
              <w:t xml:space="preserve">Certain ambiguity; contingent quantified loss</w:t>
            </w:r>
          </w:p>
        </w:tc>
      </w:tr>
      <w:tr>
        <w:tc>
          <w:tcPr/>
          <w:p>
            <w:pPr>
              <w:pStyle w:val="Compact"/>
              <w:jc w:val="left"/>
            </w:pPr>
            <w:r>
              <w:t xml:space="preserve">A.18 Division shifted to</w:t>
            </w:r>
            <w:r>
              <w:t xml:space="preserve"> </w:t>
            </w:r>
            <w:r>
              <w:t xml:space="preserve">“</w:t>
            </w:r>
            <w:r>
              <w:t xml:space="preserve">equitable with presumption</w:t>
            </w:r>
            <w:r>
              <w:t xml:space="preserve">”</w:t>
            </w:r>
          </w:p>
        </w:tc>
        <w:tc>
          <w:tcPr/>
          <w:p>
            <w:pPr>
              <w:pStyle w:val="Compact"/>
              <w:jc w:val="left"/>
            </w:pPr>
            <w:r>
              <w:rPr>
                <w:b/>
                <w:bCs/>
              </w:rPr>
              <w:t xml:space="preserve">Risk</w:t>
            </w:r>
          </w:p>
        </w:tc>
        <w:tc>
          <w:tcPr/>
          <w:p>
            <w:pPr>
              <w:pStyle w:val="Compact"/>
              <w:jc w:val="left"/>
            </w:pPr>
            <w:r>
              <w:t xml:space="preserve">Court discretion to deviate from 50/50; direction uncertain</w:t>
            </w:r>
          </w:p>
        </w:tc>
        <w:tc>
          <w:tcPr/>
          <w:p>
            <w:pPr>
              <w:pStyle w:val="Compact"/>
              <w:jc w:val="left"/>
            </w:pPr>
            <w:r>
              <w:t xml:space="preserve">Contingent on dissolution</w:t>
            </w:r>
          </w:p>
        </w:tc>
      </w:tr>
      <w:tr>
        <w:tc>
          <w:tcPr/>
          <w:p>
            <w:pPr>
              <w:pStyle w:val="Compact"/>
              <w:jc w:val="left"/>
            </w:pPr>
            <w:r>
              <w:t xml:space="preserve">A.2 Voidability weakened; A.3/A.4 disclosure duties deleted; A.17 $10K consent dropped</w:t>
            </w:r>
          </w:p>
        </w:tc>
        <w:tc>
          <w:tcPr/>
          <w:p>
            <w:pPr>
              <w:pStyle w:val="Compact"/>
              <w:jc w:val="left"/>
            </w:pPr>
            <w:r>
              <w:rPr>
                <w:b/>
                <w:bCs/>
              </w:rPr>
              <w:t xml:space="preserve">Risk</w:t>
            </w:r>
          </w:p>
        </w:tc>
        <w:tc>
          <w:tcPr/>
          <w:p>
            <w:pPr>
              <w:pStyle w:val="Compact"/>
              <w:jc w:val="left"/>
            </w:pPr>
            <w:r>
              <w:t xml:space="preserve">Potentially the entire balance of the agreement if Husband conceals assets; loss of preventive guardrails</w:t>
            </w:r>
          </w:p>
        </w:tc>
        <w:tc>
          <w:tcPr/>
          <w:p>
            <w:pPr>
              <w:pStyle w:val="Compact"/>
              <w:jc w:val="left"/>
            </w:pPr>
            <w:r>
              <w:t xml:space="preserve">Contingent</w:t>
            </w:r>
          </w:p>
        </w:tc>
      </w:tr>
      <w:tr>
        <w:tc>
          <w:tcPr/>
          <w:p>
            <w:pPr>
              <w:pStyle w:val="Compact"/>
              <w:jc w:val="left"/>
            </w:pPr>
            <w:r>
              <w:t xml:space="preserve">A.5 Unilateral modification</w:t>
            </w:r>
          </w:p>
        </w:tc>
        <w:tc>
          <w:tcPr/>
          <w:p>
            <w:pPr>
              <w:pStyle w:val="Compact"/>
              <w:jc w:val="left"/>
            </w:pPr>
            <w:r>
              <w:rPr>
                <w:b/>
                <w:bCs/>
              </w:rPr>
              <w:t xml:space="preserve">Risk</w:t>
            </w:r>
          </w:p>
        </w:tc>
        <w:tc>
          <w:tcPr/>
          <w:p>
            <w:pPr>
              <w:pStyle w:val="Compact"/>
              <w:jc w:val="left"/>
            </w:pPr>
            <w:r>
              <w:t xml:space="preserve">Could undermine any provision</w:t>
            </w:r>
          </w:p>
        </w:tc>
        <w:tc>
          <w:tcPr/>
          <w:p>
            <w:pPr>
              <w:pStyle w:val="Compact"/>
              <w:jc w:val="left"/>
            </w:pPr>
            <w:r>
              <w:t xml:space="preserve">Contingent</w:t>
            </w:r>
          </w:p>
        </w:tc>
      </w:tr>
      <w:tr>
        <w:tc>
          <w:tcPr/>
          <w:p>
            <w:pPr>
              <w:pStyle w:val="Compact"/>
              <w:jc w:val="left"/>
            </w:pPr>
            <w:r>
              <w:t xml:space="preserve">A.11 Fee waiver</w:t>
            </w:r>
          </w:p>
        </w:tc>
        <w:tc>
          <w:tcPr/>
          <w:p>
            <w:pPr>
              <w:pStyle w:val="Compact"/>
              <w:jc w:val="left"/>
            </w:pPr>
            <w:r>
              <w:rPr>
                <w:b/>
                <w:bCs/>
              </w:rPr>
              <w:t xml:space="preserve">Risk</w:t>
            </w:r>
          </w:p>
        </w:tc>
        <w:tc>
          <w:tcPr/>
          <w:p>
            <w:pPr>
              <w:pStyle w:val="Compact"/>
              <w:jc w:val="left"/>
            </w:pPr>
            <w:r>
              <w:t xml:space="preserve">Enforcement attorney’s fees</w:t>
            </w:r>
          </w:p>
        </w:tc>
        <w:tc>
          <w:tcPr/>
          <w:p>
            <w:pPr>
              <w:pStyle w:val="Compact"/>
              <w:jc w:val="left"/>
            </w:pPr>
            <w:r>
              <w:t xml:space="preserve">Contingent</w:t>
            </w:r>
          </w:p>
        </w:tc>
      </w:tr>
      <w:tr>
        <w:tc>
          <w:tcPr/>
          <w:p>
            <w:pPr>
              <w:pStyle w:val="Compact"/>
              <w:jc w:val="left"/>
            </w:pPr>
            <w:r>
              <w:t xml:space="preserve">A.14 De minimis debt threshold (+ fragmentation)</w:t>
            </w:r>
          </w:p>
        </w:tc>
        <w:tc>
          <w:tcPr/>
          <w:p>
            <w:pPr>
              <w:pStyle w:val="Compact"/>
              <w:jc w:val="left"/>
            </w:pPr>
            <w:r>
              <w:rPr>
                <w:b/>
                <w:bCs/>
              </w:rPr>
              <w:t xml:space="preserve">Risk</w:t>
            </w:r>
          </w:p>
        </w:tc>
        <w:tc>
          <w:tcPr/>
          <w:p>
            <w:pPr>
              <w:pStyle w:val="Compact"/>
              <w:jc w:val="left"/>
            </w:pPr>
            <w:r>
              <w:t xml:space="preserve">Up to $68,000 plus creditor exposure (debt at 22.99% APR)</w:t>
            </w:r>
          </w:p>
        </w:tc>
        <w:tc>
          <w:tcPr/>
          <w:p>
            <w:pPr>
              <w:pStyle w:val="Compact"/>
              <w:jc w:val="left"/>
            </w:pPr>
            <w:r>
              <w:t xml:space="preserve">Contingent</w:t>
            </w:r>
          </w:p>
        </w:tc>
      </w:tr>
      <w:tr>
        <w:tc>
          <w:tcPr/>
          <w:p>
            <w:pPr>
              <w:pStyle w:val="Compact"/>
              <w:jc w:val="left"/>
            </w:pPr>
            <w:r>
              <w:t xml:space="preserve">A.13 Sunset 15→7 years</w:t>
            </w:r>
          </w:p>
        </w:tc>
        <w:tc>
          <w:tcPr/>
          <w:p>
            <w:pPr>
              <w:pStyle w:val="Compact"/>
              <w:jc w:val="left"/>
            </w:pPr>
            <w:r>
              <w:rPr>
                <w:b/>
                <w:bCs/>
              </w:rPr>
              <w:t xml:space="preserve">Loss</w:t>
            </w:r>
          </w:p>
        </w:tc>
        <w:tc>
          <w:tcPr/>
          <w:p>
            <w:pPr>
              <w:pStyle w:val="Compact"/>
              <w:jc w:val="left"/>
            </w:pPr>
            <w:r>
              <w:t xml:space="preserve">Protections lapse ~2032, before youngest child’s majority</w:t>
            </w:r>
          </w:p>
        </w:tc>
        <w:tc>
          <w:tcPr/>
          <w:p>
            <w:pPr>
              <w:pStyle w:val="Compact"/>
              <w:jc w:val="left"/>
            </w:pPr>
            <w:r>
              <w:t xml:space="preserve">Certain timing effect</w:t>
            </w:r>
          </w:p>
        </w:tc>
      </w:tr>
      <w:tr>
        <w:tc>
          <w:tcPr/>
          <w:p>
            <w:pPr>
              <w:pStyle w:val="Compact"/>
              <w:jc w:val="left"/>
            </w:pPr>
            <w:r>
              <w:t xml:space="preserve">A.12 Venue (DuPage)</w:t>
            </w:r>
          </w:p>
        </w:tc>
        <w:tc>
          <w:tcPr/>
          <w:p>
            <w:pPr>
              <w:pStyle w:val="Compact"/>
              <w:jc w:val="left"/>
            </w:pPr>
            <w:r>
              <w:rPr>
                <w:b/>
                <w:bCs/>
              </w:rPr>
              <w:t xml:space="preserve">Cost/risk</w:t>
            </w:r>
          </w:p>
        </w:tc>
        <w:tc>
          <w:tcPr/>
          <w:p>
            <w:pPr>
              <w:pStyle w:val="Compact"/>
              <w:jc w:val="left"/>
            </w:pPr>
            <w:r>
              <w:t xml:space="preserve">Inconvenience; possible unenforceability as to dissolution</w:t>
            </w:r>
          </w:p>
        </w:tc>
        <w:tc>
          <w:tcPr/>
          <w:p>
            <w:pPr>
              <w:pStyle w:val="Compact"/>
              <w:jc w:val="left"/>
            </w:pPr>
            <w:r>
              <w:t xml:space="preserve">Certain inconvenience</w:t>
            </w:r>
          </w:p>
        </w:tc>
      </w:tr>
      <w:tr>
        <w:tc>
          <w:tcPr/>
          <w:p>
            <w:pPr>
              <w:pStyle w:val="Compact"/>
              <w:jc w:val="left"/>
            </w:pPr>
            <w:r>
              <w:t xml:space="preserve">RSU coverture (TC-27)</w:t>
            </w:r>
          </w:p>
        </w:tc>
        <w:tc>
          <w:tcPr/>
          <w:p>
            <w:pPr>
              <w:pStyle w:val="Compact"/>
              <w:jc w:val="left"/>
            </w:pPr>
            <w:r>
              <w:rPr>
                <w:b/>
                <w:bCs/>
              </w:rPr>
              <w:t xml:space="preserve">Loss</w:t>
            </w:r>
          </w:p>
        </w:tc>
        <w:tc>
          <w:tcPr/>
          <w:p>
            <w:pPr>
              <w:pStyle w:val="Compact"/>
              <w:jc w:val="left"/>
            </w:pPr>
            <w:r>
              <w:t xml:space="preserve">~$0 if dissolution after Jan 1, 2027; roughly $18,000–$28,000 if dissolution occurs before final vesting</w:t>
            </w:r>
          </w:p>
        </w:tc>
        <w:tc>
          <w:tcPr/>
          <w:p>
            <w:pPr>
              <w:pStyle w:val="Compact"/>
              <w:jc w:val="left"/>
            </w:pPr>
            <w:r>
              <w:t xml:space="preserve">Contingent on dissolution timing</w:t>
            </w:r>
          </w:p>
        </w:tc>
      </w:tr>
      <w:tr>
        <w:tc>
          <w:tcPr/>
          <w:p>
            <w:pPr>
              <w:pStyle w:val="Compact"/>
              <w:jc w:val="left"/>
            </w:pPr>
            <w:r>
              <w:t xml:space="preserve">B.1/B.2 Maintenance cap (3 yr) + $200K waiver</w:t>
            </w:r>
          </w:p>
        </w:tc>
        <w:tc>
          <w:tcPr/>
          <w:p>
            <w:pPr>
              <w:pStyle w:val="Compact"/>
              <w:jc w:val="left"/>
            </w:pPr>
            <w:r>
              <w:rPr>
                <w:b/>
                <w:bCs/>
              </w:rPr>
              <w:t xml:space="preserve">Gain</w:t>
            </w:r>
          </w:p>
        </w:tc>
        <w:tc>
          <w:tcPr/>
          <w:p>
            <w:pPr>
              <w:pStyle w:val="Compact"/>
              <w:jc w:val="left"/>
            </w:pPr>
            <w:r>
              <w:t xml:space="preserve">Eliminates/reduces Husband’s maintenance; the waiver effectively eliminates his claim at current income</w:t>
            </w:r>
          </w:p>
        </w:tc>
        <w:tc>
          <w:tcPr/>
          <w:p>
            <w:pPr>
              <w:pStyle w:val="Compact"/>
              <w:jc w:val="left"/>
            </w:pPr>
            <w:r>
              <w:t xml:space="preserve">Contingent on dissolution; enforceability risk</w:t>
            </w:r>
          </w:p>
        </w:tc>
      </w:tr>
      <w:tr>
        <w:tc>
          <w:tcPr/>
          <w:p>
            <w:pPr>
              <w:pStyle w:val="Compact"/>
              <w:jc w:val="left"/>
            </w:pPr>
            <w:r>
              <w:t xml:space="preserve">B.3 Active/passive practice appreciation</w:t>
            </w:r>
          </w:p>
        </w:tc>
        <w:tc>
          <w:tcPr/>
          <w:p>
            <w:pPr>
              <w:pStyle w:val="Compact"/>
              <w:jc w:val="left"/>
            </w:pPr>
            <w:r>
              <w:rPr>
                <w:b/>
                <w:bCs/>
              </w:rPr>
              <w:t xml:space="preserve">Gain</w:t>
            </w:r>
          </w:p>
        </w:tc>
        <w:tc>
          <w:tcPr/>
          <w:p>
            <w:pPr>
              <w:pStyle w:val="Compact"/>
              <w:jc w:val="left"/>
            </w:pPr>
            <w:r>
              <w:t xml:space="preserve">Wife retains ~80% of future appreciation vs. ~50% under the Original</w:t>
            </w:r>
          </w:p>
        </w:tc>
        <w:tc>
          <w:tcPr/>
          <w:p>
            <w:pPr>
              <w:pStyle w:val="Compact"/>
              <w:jc w:val="left"/>
            </w:pPr>
            <w:r>
              <w:t xml:space="preserve">Contingent on appreciation</w:t>
            </w:r>
          </w:p>
        </w:tc>
      </w:tr>
      <w:tr>
        <w:tc>
          <w:tcPr/>
          <w:p>
            <w:pPr>
              <w:pStyle w:val="Compact"/>
              <w:jc w:val="left"/>
            </w:pPr>
            <w:r>
              <w:t xml:space="preserve">B.7 RSU tax (net after-tax to Wife)</w:t>
            </w:r>
          </w:p>
        </w:tc>
        <w:tc>
          <w:tcPr/>
          <w:p>
            <w:pPr>
              <w:pStyle w:val="Compact"/>
              <w:jc w:val="left"/>
            </w:pPr>
            <w:r>
              <w:rPr>
                <w:b/>
                <w:bCs/>
              </w:rPr>
              <w:t xml:space="preserve">Gain</w:t>
            </w:r>
          </w:p>
        </w:tc>
        <w:tc>
          <w:tcPr/>
          <w:p>
            <w:pPr>
              <w:pStyle w:val="Compact"/>
              <w:jc w:val="left"/>
            </w:pPr>
            <w:r>
              <w:t xml:space="preserve">Wife avoids fronting tax reimbursement; modest administrative/cash-flow benefit</w:t>
            </w:r>
          </w:p>
        </w:tc>
        <w:tc>
          <w:tcPr/>
          <w:p>
            <w:pPr>
              <w:pStyle w:val="Compact"/>
              <w:jc w:val="left"/>
            </w:pPr>
            <w:r>
              <w:t xml:space="preserve">Contingent on vesting</w:t>
            </w:r>
          </w:p>
        </w:tc>
      </w:tr>
      <w:tr>
        <w:tc>
          <w:tcPr/>
          <w:p>
            <w:pPr>
              <w:pStyle w:val="Compact"/>
              <w:jc w:val="left"/>
            </w:pPr>
            <w:r>
              <w:t xml:space="preserve">B.8 Retirement pre-agreement balances protected</w:t>
            </w:r>
          </w:p>
        </w:tc>
        <w:tc>
          <w:tcPr/>
          <w:p>
            <w:pPr>
              <w:pStyle w:val="Compact"/>
              <w:jc w:val="left"/>
            </w:pPr>
            <w:r>
              <w:rPr>
                <w:b/>
                <w:bCs/>
              </w:rPr>
              <w:t xml:space="preserve">Gain</w:t>
            </w:r>
          </w:p>
        </w:tc>
        <w:tc>
          <w:tcPr/>
          <w:p>
            <w:pPr>
              <w:pStyle w:val="Compact"/>
              <w:jc w:val="left"/>
            </w:pPr>
            <w:r>
              <w:t xml:space="preserve">Preserves Wife’s ~$1.16M relative advantage ($2.34M vs. $1.18M); consistent with Original</w:t>
            </w:r>
          </w:p>
        </w:tc>
        <w:tc>
          <w:tcPr/>
          <w:p>
            <w:pPr>
              <w:pStyle w:val="Compact"/>
              <w:jc w:val="left"/>
            </w:pPr>
            <w:r>
              <w:t xml:space="preserve">Certain (same as Original)</w:t>
            </w:r>
          </w:p>
        </w:tc>
      </w:tr>
      <w:tr>
        <w:tc>
          <w:tcPr/>
          <w:p>
            <w:pPr>
              <w:pStyle w:val="Compact"/>
              <w:jc w:val="left"/>
            </w:pPr>
            <w:r>
              <w:t xml:space="preserve">B.9 60-day review period</w:t>
            </w:r>
          </w:p>
        </w:tc>
        <w:tc>
          <w:tcPr/>
          <w:p>
            <w:pPr>
              <w:pStyle w:val="Compact"/>
              <w:jc w:val="left"/>
            </w:pPr>
            <w:r>
              <w:rPr>
                <w:b/>
                <w:bCs/>
              </w:rPr>
              <w:t xml:space="preserve">Gain</w:t>
            </w:r>
          </w:p>
        </w:tc>
        <w:tc>
          <w:tcPr/>
          <w:p>
            <w:pPr>
              <w:pStyle w:val="Compact"/>
              <w:jc w:val="left"/>
            </w:pPr>
            <w:r>
              <w:t xml:space="preserve">Strengthens procedural-fairness/enforceability showing</w:t>
            </w:r>
          </w:p>
        </w:tc>
        <w:tc>
          <w:tcPr/>
          <w:p>
            <w:pPr>
              <w:pStyle w:val="Compact"/>
              <w:jc w:val="left"/>
            </w:pPr>
            <w:r>
              <w:t xml:space="preserve">Certain (supports enforceability)</w:t>
            </w:r>
          </w:p>
        </w:tc>
      </w:tr>
    </w:tbl>
    <w:p>
      <w:pPr>
        <w:pStyle w:val="BodyText"/>
      </w:pPr>
      <w:r>
        <w:rPr>
          <w:b/>
          <w:bCs/>
        </w:rPr>
        <w:t xml:space="preserve">Net assessment.</w:t>
      </w:r>
      <w:r>
        <w:t xml:space="preserve"> </w:t>
      </w:r>
      <w:r>
        <w:t xml:space="preserve">The Redline exchanges</w:t>
      </w:r>
      <w:r>
        <w:t xml:space="preserve"> </w:t>
      </w:r>
      <w:r>
        <w:rPr>
          <w:b/>
          <w:bCs/>
        </w:rPr>
        <w:t xml:space="preserve">certain, immediate, and large</w:t>
      </w:r>
      <w:r>
        <w:t xml:space="preserve"> </w:t>
      </w:r>
      <w:r>
        <w:t xml:space="preserve">transfers to Husband (at minimum the $600,000 reimbursement loss, plus the loss of the transmutation argument, the marital-residence risk, and the disclosure/consent guardrails) for</w:t>
      </w:r>
      <w:r>
        <w:t xml:space="preserve"> </w:t>
      </w:r>
      <w:r>
        <w:rPr>
          <w:b/>
          <w:bCs/>
        </w:rPr>
        <w:t xml:space="preserve">contingent, speculative</w:t>
      </w:r>
      <w:r>
        <w:t xml:space="preserve"> </w:t>
      </w:r>
      <w:r>
        <w:t xml:space="preserve">savings to Wife (maintenance, which matters only at a dissolution that may never occur, and practice appreciation, which depends on future growth). On any realistic valuation, the Redline as written is</w:t>
      </w:r>
      <w:r>
        <w:t xml:space="preserve"> </w:t>
      </w:r>
      <w:r>
        <w:rPr>
          <w:b/>
          <w:bCs/>
        </w:rPr>
        <w:t xml:space="preserve">net adverse to Wife by a substantial margin.</w:t>
      </w:r>
      <w:r>
        <w:t xml:space="preserve"> </w:t>
      </w:r>
      <w:r>
        <w:t xml:space="preserve">The favorable maintenance, practice-appreciation, RSU-tax, retirement, and review-period terms should be accepted and locked in, but they do not offset the adverse terms and must not be traded for them.</w:t>
      </w:r>
    </w:p>
    <w:p>
      <w:pPr>
        <w:pStyle w:val="BodyText"/>
      </w:pPr>
      <w:r>
        <w:rPr>
          <w:b/>
          <w:bCs/>
        </w:rPr>
        <w:t xml:space="preserve">Note on the RSU coverture (TC-27).</w:t>
      </w:r>
      <w:r>
        <w:t xml:space="preserve"> </w:t>
      </w:r>
      <w:r>
        <w:t xml:space="preserve">The Original treated all 12,000 RSUs as entirely marital and divided them 50/50 — the most favorable outcome for Wife and defensible because the RSUs were granted (January 1, 2024) and vest (through January 1, 2027) entirely during the marriage. The Redline applies a coverture fraction. We note that the Redline’s choice of</w:t>
      </w:r>
      <w:r>
        <w:t xml:space="preserve"> </w:t>
      </w:r>
      <w:r>
        <w:rPr>
          <w:b/>
          <w:bCs/>
        </w:rPr>
        <w:t xml:space="preserve">Husband’s date of hire (March 15, 2018)</w:t>
      </w:r>
      <w:r>
        <w:t xml:space="preserve"> </w:t>
      </w:r>
      <w:r>
        <w:t xml:space="preserve">as the start of the</w:t>
      </w:r>
      <w:r>
        <w:t xml:space="preserve"> </w:t>
      </w:r>
      <w:r>
        <w:t xml:space="preserve">“</w:t>
      </w:r>
      <w:r>
        <w:t xml:space="preserve">Relevant Service Period</w:t>
      </w:r>
      <w:r>
        <w:t xml:space="preserve">”</w:t>
      </w:r>
      <w:r>
        <w:t xml:space="preserve"> </w:t>
      </w:r>
      <w:r>
        <w:t xml:space="preserve">actually produces a</w:t>
      </w:r>
      <w:r>
        <w:t xml:space="preserve"> </w:t>
      </w:r>
      <w:r>
        <w:rPr>
          <w:b/>
          <w:bCs/>
        </w:rPr>
        <w:t xml:space="preserve">higher</w:t>
      </w:r>
      <w:r>
        <w:t xml:space="preserve"> </w:t>
      </w:r>
      <w:r>
        <w:t xml:space="preserve">coverture fraction (closer to 100%) than a grant-date start would, because the marriage predates the hire and therefore nearly all service-period months are marital. The reduction versus the Original is therefore modest and arises only for tranches unvested at dissolution; it is zero if dissolution occurs after January 1, 2027. The negotiable point is whether to retain the Original’s 50/50-of-all treatment (most favorable and defensible) or accept a coverture — and if the latter, the hire-date start is acceptable (it is the less adverse option). This is a Tier 2 issue, not a Tier 1 red flag.</w:t>
      </w:r>
    </w:p>
    <w:bookmarkEnd w:id="32"/>
    <w:bookmarkStart w:id="33" w:name="viii.-enforceability-considerations"/>
    <w:p>
      <w:pPr>
        <w:pStyle w:val="Heading2"/>
      </w:pPr>
      <w:r>
        <w:t xml:space="preserve">VIII. Enforceability Considerations</w:t>
      </w:r>
    </w:p>
    <w:p>
      <w:pPr>
        <w:pStyle w:val="FirstParagraph"/>
      </w:pPr>
      <w:r>
        <w:t xml:space="preserve">Postnuptial agreements are enforceable in Illinois under 750 ILCS 5/502 but receive</w:t>
      </w:r>
      <w:r>
        <w:t xml:space="preserve"> </w:t>
      </w:r>
      <w:r>
        <w:rPr>
          <w:b/>
          <w:bCs/>
        </w:rPr>
        <w:t xml:space="preserve">heightened scrutiny</w:t>
      </w:r>
      <w:r>
        <w:t xml:space="preserve"> </w:t>
      </w:r>
      <w:r>
        <w:t xml:space="preserve">because of the fiduciary relationship between spouses. A court will examine both procedural fairness (independent counsel, adequate time, voluntariness) and substantive fairness at execution, and may refuse enforcement if the agreement was not executed voluntarily or was unconscionable when executed (750 ILCS 5/502(h)). Several features of the Redline implicate these standards:</w:t>
      </w:r>
    </w:p>
    <w:p>
      <w:pPr>
        <w:numPr>
          <w:ilvl w:val="0"/>
          <w:numId w:val="1006"/>
        </w:numPr>
      </w:pPr>
      <w:r>
        <w:rPr>
          <w:b/>
          <w:bCs/>
        </w:rPr>
        <w:t xml:space="preserve">Maintenance waiver (B.2).</w:t>
      </w:r>
      <w:r>
        <w:t xml:space="preserve"> </w:t>
      </w:r>
      <w:r>
        <w:t xml:space="preserve">A maintenance waiver is statutorily permitted (750 ILCS 5/502(f)) and, given Husband’s $305,000 income and $3.8 million inheritance, is unlikely to be deemed unconscionable. The</w:t>
      </w:r>
      <w:r>
        <w:t xml:space="preserve"> </w:t>
      </w:r>
      <w:r>
        <w:t xml:space="preserve">“</w:t>
      </w:r>
      <w:r>
        <w:t xml:space="preserve">automatic and irrevocable</w:t>
      </w:r>
      <w:r>
        <w:t xml:space="preserve">”</w:t>
      </w:r>
      <w:r>
        <w:t xml:space="preserve"> </w:t>
      </w:r>
      <w:r>
        <w:t xml:space="preserve">framing and the fixed $200,000 threshold are the main vulnerabilities; structuring the waiver with clear income-documentation triggers (which the Redline does) and preserving procedural-fairness recitals strengthens enforceability.</w:t>
      </w:r>
    </w:p>
    <w:p>
      <w:pPr>
        <w:numPr>
          <w:ilvl w:val="0"/>
          <w:numId w:val="1006"/>
        </w:numPr>
      </w:pPr>
      <w:r>
        <w:rPr>
          <w:b/>
          <w:bCs/>
        </w:rPr>
        <w:t xml:space="preserve">Voidability weakening (A.2).</w:t>
      </w:r>
      <w:r>
        <w:t xml:space="preserve"> </w:t>
      </w:r>
      <w:r>
        <w:t xml:space="preserve">Paradoxically, weakening the voidability remedy can</w:t>
      </w:r>
      <w:r>
        <w:t xml:space="preserve"> </w:t>
      </w:r>
      <w:r>
        <w:rPr>
          <w:b/>
          <w:bCs/>
        </w:rPr>
        <w:t xml:space="preserve">undermine</w:t>
      </w:r>
      <w:r>
        <w:t xml:space="preserve"> </w:t>
      </w:r>
      <w:r>
        <w:t xml:space="preserve">overall enforceability: a court scrutinizing a postnuptial agreement following a documented history of non-disclosure may view a heightened, threshold-limited voidability standard as evidence that the agreement was designed to insulate concealment, which cuts against the</w:t>
      </w:r>
      <w:r>
        <w:t xml:space="preserve"> </w:t>
      </w:r>
      <w:r>
        <w:t xml:space="preserve">“</w:t>
      </w:r>
      <w:r>
        <w:t xml:space="preserve">utmost good faith</w:t>
      </w:r>
      <w:r>
        <w:t xml:space="preserve">”</w:t>
      </w:r>
      <w:r>
        <w:t xml:space="preserve"> </w:t>
      </w:r>
      <w:r>
        <w:t xml:space="preserve">the fiduciary relationship requires. Restoring the robust standard is both client-protective and enforceability-enhancing.</w:t>
      </w:r>
    </w:p>
    <w:p>
      <w:pPr>
        <w:numPr>
          <w:ilvl w:val="0"/>
          <w:numId w:val="1006"/>
        </w:numPr>
      </w:pPr>
      <w:r>
        <w:rPr>
          <w:b/>
          <w:bCs/>
        </w:rPr>
        <w:t xml:space="preserve">Unilateral modification (A.5).</w:t>
      </w:r>
      <w:r>
        <w:t xml:space="preserve"> </w:t>
      </w:r>
      <w:r>
        <w:t xml:space="preserve">A mechanism allowing one spouse to amend the agreement by the other’s inaction is vulnerable to challenge as inconsistent with the voluntary, mutual-consent basis on which postnuptial enforceability rests. Removing it protects enforceability.</w:t>
      </w:r>
    </w:p>
    <w:p>
      <w:pPr>
        <w:numPr>
          <w:ilvl w:val="0"/>
          <w:numId w:val="1006"/>
        </w:numPr>
      </w:pPr>
      <w:r>
        <w:rPr>
          <w:b/>
          <w:bCs/>
        </w:rPr>
        <w:t xml:space="preserve">Marital-residence buyout (A.16).</w:t>
      </w:r>
      <w:r>
        <w:t xml:space="preserve"> </w:t>
      </w:r>
      <w:r>
        <w:t xml:space="preserve">The shorter 30-day exercise window and 18-month payment term, combined with Husband’s new purchase right, could be argued to be procedurally unfair to Wife if she cannot realistically comply — particularly where the stated purpose (children’s stability) is frustrated. Restoring the Original’s longer windows and removing Husband’s purchase right protects both the client’s objective and enforceability.</w:t>
      </w:r>
    </w:p>
    <w:p>
      <w:pPr>
        <w:numPr>
          <w:ilvl w:val="0"/>
          <w:numId w:val="1006"/>
        </w:numPr>
      </w:pPr>
      <w:r>
        <w:rPr>
          <w:b/>
          <w:bCs/>
        </w:rPr>
        <w:t xml:space="preserve">Disclosure completeness (§ IV, Item 13).</w:t>
      </w:r>
      <w:r>
        <w:t xml:space="preserve"> </w:t>
      </w:r>
      <w:r>
        <w:t xml:space="preserve">Wife’s own disclosure must be complete and accurate (including the ~$145,000 in Practice distributions) to avoid providing Husband a later basis to challenge. Correcting Schedule A protects the agreement.</w:t>
      </w:r>
    </w:p>
    <w:p>
      <w:pPr>
        <w:numPr>
          <w:ilvl w:val="0"/>
          <w:numId w:val="1006"/>
        </w:numPr>
      </w:pPr>
      <w:r>
        <w:rPr>
          <w:b/>
          <w:bCs/>
        </w:rPr>
        <w:t xml:space="preserve">Factual accuracy of recitals/schedules (§ IV).</w:t>
      </w:r>
      <w:r>
        <w:t xml:space="preserve"> </w:t>
      </w:r>
      <w:r>
        <w:t xml:space="preserve">Inaccurate custodian names, account numbers, dates, and appraisers create misrepresentation exposure. All must be verified and corrected before execution.</w:t>
      </w:r>
    </w:p>
    <w:p>
      <w:pPr>
        <w:numPr>
          <w:ilvl w:val="0"/>
          <w:numId w:val="1006"/>
        </w:numPr>
      </w:pPr>
      <w:r>
        <w:rPr>
          <w:b/>
          <w:bCs/>
        </w:rPr>
        <w:t xml:space="preserve">Procedural-fairness record (B.9).</w:t>
      </w:r>
      <w:r>
        <w:t xml:space="preserve"> </w:t>
      </w:r>
      <w:r>
        <w:t xml:space="preserve">The Redline’s 60-day review-period representation, independent-counsel acknowledgments, and notarization/witness blocks (C.2) all strengthen the procedural-fairness showing. We should preserve these and ensure the actual timeline supports them (the negotiation began August 2024 and execution is targeted in Q1 2025, so the 60-day representation is supportable).</w:t>
      </w:r>
    </w:p>
    <w:bookmarkEnd w:id="33"/>
    <w:bookmarkStart w:id="41" w:name="ix.-negotiation-strategy"/>
    <w:p>
      <w:pPr>
        <w:pStyle w:val="Heading2"/>
      </w:pPr>
      <w:r>
        <w:t xml:space="preserve">IX. Negotiation Strategy</w:t>
      </w:r>
    </w:p>
    <w:bookmarkStart w:id="34" w:name="overall-approach"/>
    <w:p>
      <w:pPr>
        <w:pStyle w:val="Heading3"/>
      </w:pPr>
      <w:r>
        <w:t xml:space="preserve">Overall Approach</w:t>
      </w:r>
    </w:p>
    <w:p>
      <w:pPr>
        <w:pStyle w:val="FirstParagraph"/>
      </w:pPr>
      <w:r>
        <w:t xml:space="preserve">We should enter the January 27 conference with a</w:t>
      </w:r>
      <w:r>
        <w:t xml:space="preserve"> </w:t>
      </w:r>
      <w:r>
        <w:rPr>
          <w:b/>
          <w:bCs/>
        </w:rPr>
        <w:t xml:space="preserve">counter-redline</w:t>
      </w:r>
      <w:r>
        <w:t xml:space="preserve"> </w:t>
      </w:r>
      <w:r>
        <w:t xml:space="preserve">that (i) restores the client’s core protections, (ii) accepts and locks in the favorable maintenance, practice-appreciation, RSU-tax, retirement, and review-period terms, and (iii) corrects the factual discrepancies. We should not accept Mr. Baxter’s framing that the open items are</w:t>
      </w:r>
      <w:r>
        <w:t xml:space="preserve"> </w:t>
      </w:r>
      <w:r>
        <w:t xml:space="preserve">“</w:t>
      </w:r>
      <w:r>
        <w:t xml:space="preserve">a short list.</w:t>
      </w:r>
      <w:r>
        <w:t xml:space="preserve">”</w:t>
      </w:r>
      <w:r>
        <w:t xml:space="preserve"> </w:t>
      </w:r>
      <w:r>
        <w:t xml:space="preserve">Our list is substantial, and several items are non-negotiable. We should also be prepared to explain, calmly and specifically, why several of Mr. Baxter’s margin comments do not accurately describe the effect of his edits — this establishes that we have read the markup carefully and discourages further embedded terms.</w:t>
      </w:r>
    </w:p>
    <w:p>
      <w:pPr>
        <w:pStyle w:val="BodyText"/>
      </w:pPr>
      <w:r>
        <w:t xml:space="preserve">A central strategic point:</w:t>
      </w:r>
      <w:r>
        <w:t xml:space="preserve"> </w:t>
      </w:r>
      <w:r>
        <w:rPr>
          <w:b/>
          <w:bCs/>
        </w:rPr>
        <w:t xml:space="preserve">do not let Husband trade a contingent, speculative concession (the maintenance waiver) for a certain, concrete loss (the $600,000 reimbursement).</w:t>
      </w:r>
      <w:r>
        <w:t xml:space="preserve"> </w:t>
      </w:r>
      <w:r>
        <w:t xml:space="preserve">The maintenance waiver is valuable to Wife, but it is worth far less in expected-value terms than the certain $600,000, and the client has prioritized the reimbursement above all else.</w:t>
      </w:r>
    </w:p>
    <w:bookmarkEnd w:id="34"/>
    <w:bookmarkStart w:id="35" w:name="Xa37f28895d0aca90d65d8dfd443e7a6cc837713"/>
    <w:p>
      <w:pPr>
        <w:pStyle w:val="Heading3"/>
      </w:pPr>
      <w:r>
        <w:t xml:space="preserve">Tier 1 — Non-Negotiable; Restore (Client’s Core Objectives)</w:t>
      </w:r>
    </w:p>
    <w:p>
      <w:pPr>
        <w:pStyle w:val="FirstParagraph"/>
      </w:pPr>
      <w:r>
        <w:t xml:space="preserve">These items map directly to the client’s stated priorities and must be restored before we can recommend execution:</w:t>
      </w:r>
    </w:p>
    <w:p>
      <w:pPr>
        <w:pStyle w:val="Compact"/>
        <w:numPr>
          <w:ilvl w:val="0"/>
          <w:numId w:val="1007"/>
        </w:numPr>
      </w:pPr>
      <w:r>
        <w:rPr>
          <w:b/>
          <w:bCs/>
        </w:rPr>
        <w:t xml:space="preserve">Premarital-savings reimbursement right</w:t>
      </w:r>
      <w:r>
        <w:t xml:space="preserve"> </w:t>
      </w:r>
      <w:r>
        <w:t xml:space="preserve">($1.2 million, first-priority) — client’s #1,</w:t>
      </w:r>
      <w:r>
        <w:t xml:space="preserve"> </w:t>
      </w:r>
      <w:r>
        <w:t xml:space="preserve">“</w:t>
      </w:r>
      <w:r>
        <w:t xml:space="preserve">non-negotiable</w:t>
      </w:r>
      <w:r>
        <w:t xml:space="preserve">”</w:t>
      </w:r>
      <w:r>
        <w:t xml:space="preserve"> </w:t>
      </w:r>
      <w:r>
        <w:t xml:space="preserve">objective (A.1).</w:t>
      </w:r>
    </w:p>
    <w:p>
      <w:pPr>
        <w:pStyle w:val="Compact"/>
        <w:numPr>
          <w:ilvl w:val="0"/>
          <w:numId w:val="1007"/>
        </w:numPr>
      </w:pPr>
      <w:r>
        <w:rPr>
          <w:b/>
          <w:bCs/>
        </w:rPr>
        <w:t xml:space="preserve">Robust voidability standard</w:t>
      </w:r>
      <w:r>
        <w:t xml:space="preserve"> </w:t>
      </w:r>
      <w:r>
        <w:t xml:space="preserve">— material omission, no heightened burden, no dollar threshold, no intent requirement, no two-year limit (A.2).</w:t>
      </w:r>
    </w:p>
    <w:p>
      <w:pPr>
        <w:pStyle w:val="Compact"/>
        <w:numPr>
          <w:ilvl w:val="0"/>
          <w:numId w:val="1007"/>
        </w:numPr>
      </w:pPr>
      <w:r>
        <w:rPr>
          <w:b/>
          <w:bCs/>
        </w:rPr>
        <w:t xml:space="preserve">Ongoing disclosure duty</w:t>
      </w:r>
      <w:r>
        <w:t xml:space="preserve"> </w:t>
      </w:r>
      <w:r>
        <w:t xml:space="preserve">(A.3) and</w:t>
      </w:r>
      <w:r>
        <w:t xml:space="preserve"> </w:t>
      </w:r>
      <w:r>
        <w:rPr>
          <w:b/>
          <w:bCs/>
        </w:rPr>
        <w:t xml:space="preserve">future-debt disclosure duty</w:t>
      </w:r>
      <w:r>
        <w:t xml:space="preserve"> </w:t>
      </w:r>
      <w:r>
        <w:t xml:space="preserve">(A.4).</w:t>
      </w:r>
    </w:p>
    <w:p>
      <w:pPr>
        <w:pStyle w:val="Compact"/>
        <w:numPr>
          <w:ilvl w:val="0"/>
          <w:numId w:val="1007"/>
        </w:numPr>
      </w:pPr>
      <w:r>
        <w:rPr>
          <w:b/>
          <w:bCs/>
        </w:rPr>
        <w:t xml:space="preserve">Reject unilateral modification; restore mutual-written-consent requirement</w:t>
      </w:r>
      <w:r>
        <w:t xml:space="preserve"> </w:t>
      </w:r>
      <w:r>
        <w:t xml:space="preserve">(A.5).</w:t>
      </w:r>
    </w:p>
    <w:p>
      <w:pPr>
        <w:pStyle w:val="Compact"/>
        <w:numPr>
          <w:ilvl w:val="0"/>
          <w:numId w:val="1007"/>
        </w:numPr>
      </w:pPr>
      <w:r>
        <w:rPr>
          <w:b/>
          <w:bCs/>
        </w:rPr>
        <w:t xml:space="preserve">Restore transmutation rule</w:t>
      </w:r>
      <w:r>
        <w:t xml:space="preserve"> </w:t>
      </w:r>
      <w:r>
        <w:t xml:space="preserve">(rebuttable presumption of transmutation for joint-benefit use of separate property) (A.6).</w:t>
      </w:r>
    </w:p>
    <w:p>
      <w:pPr>
        <w:pStyle w:val="Compact"/>
        <w:numPr>
          <w:ilvl w:val="0"/>
          <w:numId w:val="1007"/>
        </w:numPr>
      </w:pPr>
      <w:r>
        <w:rPr>
          <w:b/>
          <w:bCs/>
        </w:rPr>
        <w:t xml:space="preserve">Remove the $5,000 de minimis debt threshold; correct the Identified-Debt description to the single Hollcroft One account; restore unlimited indemnity</w:t>
      </w:r>
      <w:r>
        <w:t xml:space="preserve"> </w:t>
      </w:r>
      <w:r>
        <w:t xml:space="preserve">(A.14, § IV Item 12).</w:t>
      </w:r>
    </w:p>
    <w:p>
      <w:pPr>
        <w:pStyle w:val="Compact"/>
        <w:numPr>
          <w:ilvl w:val="0"/>
          <w:numId w:val="1007"/>
        </w:numPr>
      </w:pPr>
      <w:r>
        <w:rPr>
          <w:b/>
          <w:bCs/>
        </w:rPr>
        <w:t xml:space="preserve">Restore prevailing-party attorney’s-fees provision</w:t>
      </w:r>
      <w:r>
        <w:t xml:space="preserve"> </w:t>
      </w:r>
      <w:r>
        <w:t xml:space="preserve">(A.11).</w:t>
      </w:r>
    </w:p>
    <w:p>
      <w:pPr>
        <w:pStyle w:val="Compact"/>
        <w:numPr>
          <w:ilvl w:val="0"/>
          <w:numId w:val="1007"/>
        </w:numPr>
      </w:pPr>
      <w:r>
        <w:rPr>
          <w:b/>
          <w:bCs/>
        </w:rPr>
        <w:t xml:space="preserve">Restore Cook County venue</w:t>
      </w:r>
      <w:r>
        <w:t xml:space="preserve"> </w:t>
      </w:r>
      <w:r>
        <w:t xml:space="preserve">(A.12).</w:t>
      </w:r>
    </w:p>
    <w:p>
      <w:pPr>
        <w:pStyle w:val="Compact"/>
        <w:numPr>
          <w:ilvl w:val="0"/>
          <w:numId w:val="1007"/>
        </w:numPr>
      </w:pPr>
      <w:r>
        <w:rPr>
          <w:b/>
          <w:bCs/>
        </w:rPr>
        <w:t xml:space="preserve">Restore 15-year sunset</w:t>
      </w:r>
      <w:r>
        <w:t xml:space="preserve"> </w:t>
      </w:r>
      <w:r>
        <w:t xml:space="preserve">(or a term running until both children reach majority) (A.13).</w:t>
      </w:r>
    </w:p>
    <w:p>
      <w:pPr>
        <w:pStyle w:val="Compact"/>
        <w:numPr>
          <w:ilvl w:val="0"/>
          <w:numId w:val="1007"/>
        </w:numPr>
      </w:pPr>
      <w:r>
        <w:rPr>
          <w:b/>
          <w:bCs/>
        </w:rPr>
        <w:t xml:space="preserve">Restore marital-residence buyout terms</w:t>
      </w:r>
      <w:r>
        <w:t xml:space="preserve"> </w:t>
      </w:r>
      <w:r>
        <w:t xml:space="preserve">— 60-day exercise window, 24-month payment term, three-appraiser process; remove Husband’s purchase right (or condition it on Wife’s written declination) (A.16).</w:t>
      </w:r>
    </w:p>
    <w:p>
      <w:pPr>
        <w:pStyle w:val="Compact"/>
        <w:numPr>
          <w:ilvl w:val="0"/>
          <w:numId w:val="1007"/>
        </w:numPr>
      </w:pPr>
      <w:r>
        <w:rPr>
          <w:b/>
          <w:bCs/>
        </w:rPr>
        <w:t xml:space="preserve">Restore</w:t>
      </w:r>
      <w:r>
        <w:rPr>
          <w:b/>
          <w:bCs/>
        </w:rPr>
        <w:t xml:space="preserve"> </w:t>
      </w:r>
      <w:r>
        <w:rPr>
          <w:b/>
          <w:bCs/>
        </w:rPr>
        <w:t xml:space="preserve">“</w:t>
      </w:r>
      <w:r>
        <w:rPr>
          <w:b/>
          <w:bCs/>
        </w:rPr>
        <w:t xml:space="preserve">No Pending Proceedings</w:t>
      </w:r>
      <w:r>
        <w:rPr>
          <w:b/>
          <w:bCs/>
        </w:rPr>
        <w:t xml:space="preserve">”</w:t>
      </w:r>
      <w:r>
        <w:rPr>
          <w:b/>
          <w:bCs/>
        </w:rPr>
        <w:t xml:space="preserve"> </w:t>
      </w:r>
      <w:r>
        <w:rPr>
          <w:b/>
          <w:bCs/>
        </w:rPr>
        <w:t xml:space="preserve">representation</w:t>
      </w:r>
      <w:r>
        <w:t xml:space="preserve"> </w:t>
      </w:r>
      <w:r>
        <w:t xml:space="preserve">(D.1) and</w:t>
      </w:r>
      <w:r>
        <w:t xml:space="preserve"> </w:t>
      </w:r>
      <w:r>
        <w:rPr>
          <w:b/>
          <w:bCs/>
        </w:rPr>
        <w:t xml:space="preserve">fiduciary-duty acknowledgment</w:t>
      </w:r>
      <w:r>
        <w:t xml:space="preserve"> </w:t>
      </w:r>
      <w:r>
        <w:t xml:space="preserve">(D.2).</w:t>
      </w:r>
    </w:p>
    <w:p>
      <w:pPr>
        <w:pStyle w:val="Compact"/>
        <w:numPr>
          <w:ilvl w:val="0"/>
          <w:numId w:val="1007"/>
        </w:numPr>
      </w:pPr>
      <w:r>
        <w:rPr>
          <w:b/>
          <w:bCs/>
        </w:rPr>
        <w:t xml:space="preserve">Restore maintenance termination events</w:t>
      </w:r>
      <w:r>
        <w:t xml:space="preserve">, particularly cohabitation (D.3).</w:t>
      </w:r>
    </w:p>
    <w:bookmarkEnd w:id="35"/>
    <w:bookmarkStart w:id="36" w:name="X2660f91c59e3fa89d402341ed5daf8bb947ad02"/>
    <w:p>
      <w:pPr>
        <w:pStyle w:val="Heading3"/>
      </w:pPr>
      <w:r>
        <w:t xml:space="preserve">Tier 2 — Strong Pushback; Significant Concessions to Extract</w:t>
      </w:r>
    </w:p>
    <w:p>
      <w:pPr>
        <w:pStyle w:val="Compact"/>
        <w:numPr>
          <w:ilvl w:val="0"/>
          <w:numId w:val="1008"/>
        </w:numPr>
      </w:pPr>
      <w:r>
        <w:rPr>
          <w:b/>
          <w:bCs/>
        </w:rPr>
        <w:t xml:space="preserve">Restore broad</w:t>
      </w:r>
      <w:r>
        <w:rPr>
          <w:b/>
          <w:bCs/>
        </w:rPr>
        <w:t xml:space="preserve"> </w:t>
      </w:r>
      <w:r>
        <w:rPr>
          <w:b/>
          <w:bCs/>
        </w:rPr>
        <w:t xml:space="preserve">“</w:t>
      </w:r>
      <w:r>
        <w:rPr>
          <w:b/>
          <w:bCs/>
        </w:rPr>
        <w:t xml:space="preserve">Marital Property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Gross Income</w:t>
      </w:r>
      <w:r>
        <w:rPr>
          <w:b/>
          <w:bCs/>
        </w:rPr>
        <w:t xml:space="preserve">”</w:t>
      </w:r>
      <w:r>
        <w:rPr>
          <w:b/>
          <w:bCs/>
        </w:rPr>
        <w:t xml:space="preserve"> </w:t>
      </w:r>
      <w:r>
        <w:rPr>
          <w:b/>
          <w:bCs/>
        </w:rPr>
        <w:t xml:space="preserve">definitions; remove the narrow</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definition</w:t>
      </w:r>
      <w:r>
        <w:t xml:space="preserve"> </w:t>
      </w:r>
      <w:r>
        <w:t xml:space="preserve">(A.8, A.9, A.10). If opposing counsel resists, point out that the Earned Income definition makes any maintenance calculation unpredictable (it excludes both parties’ variable income — Husband’s bonus and Wife’s Practice distributions) and could produce counterintuitive results — a reason both sides should prefer the broad, clear Gross Income definition.</w:t>
      </w:r>
    </w:p>
    <w:p>
      <w:pPr>
        <w:pStyle w:val="Compact"/>
        <w:numPr>
          <w:ilvl w:val="0"/>
          <w:numId w:val="1008"/>
        </w:numPr>
      </w:pPr>
      <w:r>
        <w:rPr>
          <w:b/>
          <w:bCs/>
        </w:rPr>
        <w:t xml:space="preserve">Restore mandatory commingling language</w:t>
      </w:r>
      <w:r>
        <w:t xml:space="preserve"> </w:t>
      </w:r>
      <w:r>
        <w:t xml:space="preserve">(</w:t>
      </w:r>
      <w:r>
        <w:t xml:space="preserve">“</w:t>
      </w:r>
      <w:r>
        <w:t xml:space="preserve">shall be treated as Marital Property</w:t>
      </w:r>
      <w:r>
        <w:t xml:space="preserve">”</w:t>
      </w:r>
      <w:r>
        <w:t xml:space="preserve">) (A.7).</w:t>
      </w:r>
    </w:p>
    <w:p>
      <w:pPr>
        <w:pStyle w:val="Compact"/>
        <w:numPr>
          <w:ilvl w:val="0"/>
          <w:numId w:val="1008"/>
        </w:numPr>
      </w:pPr>
      <w:r>
        <w:rPr>
          <w:b/>
          <w:bCs/>
        </w:rPr>
        <w:t xml:space="preserve">Restore</w:t>
      </w:r>
      <w:r>
        <w:rPr>
          <w:b/>
          <w:bCs/>
        </w:rPr>
        <w:t xml:space="preserve"> </w:t>
      </w:r>
      <w:r>
        <w:rPr>
          <w:b/>
          <w:bCs/>
        </w:rPr>
        <w:t xml:space="preserve">“</w:t>
      </w:r>
      <w:r>
        <w:rPr>
          <w:b/>
          <w:bCs/>
        </w:rPr>
        <w:t xml:space="preserve">full, fair, and complete</w:t>
      </w:r>
      <w:r>
        <w:rPr>
          <w:b/>
          <w:bCs/>
        </w:rPr>
        <w:t xml:space="preserve">”</w:t>
      </w:r>
      <w:r>
        <w:rPr>
          <w:b/>
          <w:bCs/>
        </w:rPr>
        <w:t xml:space="preserve"> </w:t>
      </w:r>
      <w:r>
        <w:rPr>
          <w:b/>
          <w:bCs/>
        </w:rPr>
        <w:t xml:space="preserve">disclosure and</w:t>
      </w:r>
      <w:r>
        <w:rPr>
          <w:b/>
          <w:bCs/>
        </w:rPr>
        <w:t xml:space="preserve"> </w:t>
      </w:r>
      <w:r>
        <w:rPr>
          <w:b/>
          <w:bCs/>
        </w:rPr>
        <w:t xml:space="preserve">“</w:t>
      </w:r>
      <w:r>
        <w:rPr>
          <w:b/>
          <w:bCs/>
        </w:rPr>
        <w:t xml:space="preserve">satisfied with the sufficiency</w:t>
      </w:r>
      <w:r>
        <w:rPr>
          <w:b/>
          <w:bCs/>
        </w:rPr>
        <w:t xml:space="preserve">”</w:t>
      </w:r>
      <w:r>
        <w:rPr>
          <w:b/>
          <w:bCs/>
        </w:rPr>
        <w:t xml:space="preserve"> </w:t>
      </w:r>
      <w:r>
        <w:rPr>
          <w:b/>
          <w:bCs/>
        </w:rPr>
        <w:t xml:space="preserve">language</w:t>
      </w:r>
      <w:r>
        <w:t xml:space="preserve"> </w:t>
      </w:r>
      <w:r>
        <w:t xml:space="preserve">(A.15).</w:t>
      </w:r>
    </w:p>
    <w:p>
      <w:pPr>
        <w:pStyle w:val="Compact"/>
        <w:numPr>
          <w:ilvl w:val="0"/>
          <w:numId w:val="1008"/>
        </w:numPr>
      </w:pPr>
      <w:r>
        <w:rPr>
          <w:b/>
          <w:bCs/>
        </w:rPr>
        <w:t xml:space="preserve">Restore the $10,000 individual-debt consent requirement and the violation-equals-sole-responsibility consequence</w:t>
      </w:r>
      <w:r>
        <w:t xml:space="preserve"> </w:t>
      </w:r>
      <w:r>
        <w:t xml:space="preserve">(A.17).</w:t>
      </w:r>
    </w:p>
    <w:p>
      <w:pPr>
        <w:pStyle w:val="Compact"/>
        <w:numPr>
          <w:ilvl w:val="0"/>
          <w:numId w:val="1008"/>
        </w:numPr>
      </w:pPr>
      <w:r>
        <w:rPr>
          <w:b/>
          <w:bCs/>
        </w:rPr>
        <w:t xml:space="preserve">RSUs:</w:t>
      </w:r>
      <w:r>
        <w:t xml:space="preserve"> </w:t>
      </w:r>
      <w:r>
        <w:t xml:space="preserve">Press to retain the Original’s 50/50-of-all treatment (defensible: granted and vesting during marriage). If a coverture is unavoidable, accept the hire-date start (the less adverse option) and confirm the fraction caps at 100% (§ VII).</w:t>
      </w:r>
    </w:p>
    <w:p>
      <w:pPr>
        <w:pStyle w:val="Compact"/>
        <w:numPr>
          <w:ilvl w:val="0"/>
          <w:numId w:val="1008"/>
        </w:numPr>
      </w:pPr>
      <w:r>
        <w:rPr>
          <w:b/>
          <w:bCs/>
        </w:rPr>
        <w:t xml:space="preserve">Marital-property division:</w:t>
      </w:r>
      <w:r>
        <w:t xml:space="preserve"> </w:t>
      </w:r>
      <w:r>
        <w:t xml:space="preserve">Retain the express 50/50 presumption; resist open-ended court-discretion language that invites deviation (A.18).</w:t>
      </w:r>
    </w:p>
    <w:p>
      <w:pPr>
        <w:pStyle w:val="Compact"/>
        <w:numPr>
          <w:ilvl w:val="0"/>
          <w:numId w:val="1008"/>
        </w:numPr>
      </w:pPr>
      <w:r>
        <w:rPr>
          <w:b/>
          <w:bCs/>
        </w:rPr>
        <w:t xml:space="preserve">Restore during-marriage mortgage/consent-to-encumbrance provisions</w:t>
      </w:r>
      <w:r>
        <w:t xml:space="preserve"> </w:t>
      </w:r>
      <w:r>
        <w:t xml:space="preserve">(D.5).</w:t>
      </w:r>
    </w:p>
    <w:bookmarkEnd w:id="36"/>
    <w:bookmarkStart w:id="37" w:name="X3792d1557f3db6d61623032fcb997e727ff4634"/>
    <w:p>
      <w:pPr>
        <w:pStyle w:val="Heading3"/>
      </w:pPr>
      <w:r>
        <w:t xml:space="preserve">Tier 3 — Accept Favorable Terms; Lock In (Confirm with Client)</w:t>
      </w:r>
    </w:p>
    <w:p>
      <w:pPr>
        <w:pStyle w:val="Compact"/>
        <w:numPr>
          <w:ilvl w:val="0"/>
          <w:numId w:val="1009"/>
        </w:numPr>
      </w:pPr>
      <w:r>
        <w:rPr>
          <w:b/>
          <w:bCs/>
        </w:rPr>
        <w:t xml:space="preserve">Maintenance 3-year cap</w:t>
      </w:r>
      <w:r>
        <w:t xml:space="preserve"> </w:t>
      </w:r>
      <w:r>
        <w:t xml:space="preserve">(B.1) — confirm client is comfortable.</w:t>
      </w:r>
    </w:p>
    <w:p>
      <w:pPr>
        <w:pStyle w:val="Compact"/>
        <w:numPr>
          <w:ilvl w:val="0"/>
          <w:numId w:val="1009"/>
        </w:numPr>
      </w:pPr>
      <w:r>
        <w:rPr>
          <w:b/>
          <w:bCs/>
        </w:rPr>
        <w:t xml:space="preserve">Maintenance $200,000 automatic waiver</w:t>
      </w:r>
      <w:r>
        <w:t xml:space="preserve"> </w:t>
      </w:r>
      <w:r>
        <w:t xml:space="preserve">(B.2) — confirm client is comfortable eliminating Husband’s maintenance; preserve cohabitation termination (D.3).</w:t>
      </w:r>
    </w:p>
    <w:p>
      <w:pPr>
        <w:pStyle w:val="Compact"/>
        <w:numPr>
          <w:ilvl w:val="0"/>
          <w:numId w:val="1009"/>
        </w:numPr>
      </w:pPr>
      <w:r>
        <w:rPr>
          <w:b/>
          <w:bCs/>
        </w:rPr>
        <w:t xml:space="preserve">Active/passive practice appreciation</w:t>
      </w:r>
      <w:r>
        <w:t xml:space="preserve"> </w:t>
      </w:r>
      <w:r>
        <w:t xml:space="preserve">(B.3) — accept; tie methodology to the Strand report; share valuation cost equally; anticipate a more comprehensive forensic valuation at dissolution per the Strand report’s own caveat.</w:t>
      </w:r>
    </w:p>
    <w:p>
      <w:pPr>
        <w:pStyle w:val="Compact"/>
        <w:numPr>
          <w:ilvl w:val="0"/>
          <w:numId w:val="1009"/>
        </w:numPr>
      </w:pPr>
      <w:r>
        <w:rPr>
          <w:b/>
          <w:bCs/>
        </w:rPr>
        <w:t xml:space="preserve">Deletion of Practice Interest transfer restriction</w:t>
      </w:r>
      <w:r>
        <w:t xml:space="preserve"> </w:t>
      </w:r>
      <w:r>
        <w:t xml:space="preserve">(B.4) — accept.</w:t>
      </w:r>
    </w:p>
    <w:p>
      <w:pPr>
        <w:pStyle w:val="Compact"/>
        <w:numPr>
          <w:ilvl w:val="0"/>
          <w:numId w:val="1009"/>
        </w:numPr>
      </w:pPr>
      <w:r>
        <w:rPr>
          <w:b/>
          <w:bCs/>
        </w:rPr>
        <w:t xml:space="preserve">24-month Identified-Debt deadline and quarterly reporting</w:t>
      </w:r>
      <w:r>
        <w:t xml:space="preserve"> </w:t>
      </w:r>
      <w:r>
        <w:t xml:space="preserve">(B.5) — accept (with Tier 1 item 6).</w:t>
      </w:r>
    </w:p>
    <w:p>
      <w:pPr>
        <w:pStyle w:val="Compact"/>
        <w:numPr>
          <w:ilvl w:val="0"/>
          <w:numId w:val="1009"/>
        </w:numPr>
      </w:pPr>
      <w:r>
        <w:rPr>
          <w:b/>
          <w:bCs/>
        </w:rPr>
        <w:t xml:space="preserve">Separate Property appreciation protection</w:t>
      </w:r>
      <w:r>
        <w:t xml:space="preserve"> </w:t>
      </w:r>
      <w:r>
        <w:t xml:space="preserve">(B.6) — accept.</w:t>
      </w:r>
    </w:p>
    <w:p>
      <w:pPr>
        <w:pStyle w:val="Compact"/>
        <w:numPr>
          <w:ilvl w:val="0"/>
          <w:numId w:val="1009"/>
        </w:numPr>
      </w:pPr>
      <w:r>
        <w:rPr>
          <w:b/>
          <w:bCs/>
        </w:rPr>
        <w:t xml:space="preserve">RSU net-after-tax allocation</w:t>
      </w:r>
      <w:r>
        <w:t xml:space="preserve"> </w:t>
      </w:r>
      <w:r>
        <w:t xml:space="preserve">(B.7) — accept; confirm tax documentation flow.</w:t>
      </w:r>
    </w:p>
    <w:p>
      <w:pPr>
        <w:pStyle w:val="Compact"/>
        <w:numPr>
          <w:ilvl w:val="0"/>
          <w:numId w:val="1009"/>
        </w:numPr>
      </w:pPr>
      <w:r>
        <w:rPr>
          <w:b/>
          <w:bCs/>
        </w:rPr>
        <w:t xml:space="preserve">Retirement pre-agreement balances as separate property + pension actuary</w:t>
      </w:r>
      <w:r>
        <w:t xml:space="preserve"> </w:t>
      </w:r>
      <w:r>
        <w:t xml:space="preserve">(B.8) — accept; confirm actuarial methodology.</w:t>
      </w:r>
    </w:p>
    <w:p>
      <w:pPr>
        <w:pStyle w:val="Compact"/>
        <w:numPr>
          <w:ilvl w:val="0"/>
          <w:numId w:val="1009"/>
        </w:numPr>
      </w:pPr>
      <w:r>
        <w:rPr>
          <w:b/>
          <w:bCs/>
        </w:rPr>
        <w:t xml:space="preserve">60-day review-period representation</w:t>
      </w:r>
      <w:r>
        <w:t xml:space="preserve"> </w:t>
      </w:r>
      <w:r>
        <w:t xml:space="preserve">(B.9) — accept; ensure the timeline supports it.</w:t>
      </w:r>
    </w:p>
    <w:bookmarkEnd w:id="37"/>
    <w:bookmarkStart w:id="38" w:name="tier-4-accept-benignstandard-changes"/>
    <w:p>
      <w:pPr>
        <w:pStyle w:val="Heading3"/>
      </w:pPr>
      <w:r>
        <w:t xml:space="preserve">Tier 4 — Accept Benign/Standard Changes</w:t>
      </w:r>
    </w:p>
    <w:p>
      <w:pPr>
        <w:pStyle w:val="FirstParagraph"/>
      </w:pPr>
      <w:r>
        <w:t xml:space="preserve">Severability, notarization/witness blocks, spelling correction, marriage-commitment recital, draft markings, organizational defined terms, the overall reorganization, the governing-law savings clause, the children’s-rights recital rewording, tenancy-by-the-entirety statement, QDRO cost-sharing, the maintenance</w:t>
      </w:r>
      <w:r>
        <w:t xml:space="preserve"> </w:t>
      </w:r>
      <w:r>
        <w:t xml:space="preserve">“</w:t>
      </w:r>
      <w:r>
        <w:t xml:space="preserve">supplement-not-supplant</w:t>
      </w:r>
      <w:r>
        <w:t xml:space="preserve">”</w:t>
      </w:r>
      <w:r>
        <w:t xml:space="preserve"> </w:t>
      </w:r>
      <w:r>
        <w:t xml:space="preserve">framing, the enforcement-remedies catch-all, and the Separate Property</w:t>
      </w:r>
      <w:r>
        <w:t xml:space="preserve"> </w:t>
      </w:r>
      <w:r>
        <w:t xml:space="preserve">“</w:t>
      </w:r>
      <w:r>
        <w:t xml:space="preserve">traceable-to</w:t>
      </w:r>
      <w:r>
        <w:t xml:space="preserve">”</w:t>
      </w:r>
      <w:r>
        <w:t xml:space="preserve"> </w:t>
      </w:r>
      <w:r>
        <w:t xml:space="preserve">expansion (C.1–C.15) — accept, subject to the factual verifications in § IV.</w:t>
      </w:r>
    </w:p>
    <w:bookmarkEnd w:id="38"/>
    <w:bookmarkStart w:id="39" w:name="specific-tactics-and-trade-offs"/>
    <w:p>
      <w:pPr>
        <w:pStyle w:val="Heading3"/>
      </w:pPr>
      <w:r>
        <w:t xml:space="preserve">Specific Tactics and Trade-Offs</w:t>
      </w:r>
    </w:p>
    <w:p>
      <w:pPr>
        <w:pStyle w:val="Compact"/>
        <w:numPr>
          <w:ilvl w:val="0"/>
          <w:numId w:val="1010"/>
        </w:numPr>
      </w:pPr>
      <w:r>
        <w:rPr>
          <w:b/>
          <w:bCs/>
        </w:rPr>
        <w:t xml:space="preserve">Frame the reimbursement as non-negotiable and traceable.</w:t>
      </w:r>
      <w:r>
        <w:t xml:space="preserve"> </w:t>
      </w:r>
      <w:r>
        <w:t xml:space="preserve">The financial disclosure documents the tracing in detail (Joint sheet, Line J-2). We can present the documented tracing and the client’s clear intent, making it difficult for opposing counsel to maintain that deletion is</w:t>
      </w:r>
      <w:r>
        <w:t xml:space="preserve"> </w:t>
      </w:r>
      <w:r>
        <w:t xml:space="preserve">“</w:t>
      </w:r>
      <w:r>
        <w:t xml:space="preserve">reasonable.</w:t>
      </w:r>
      <w:r>
        <w:t xml:space="preserve">”</w:t>
      </w:r>
    </w:p>
    <w:p>
      <w:pPr>
        <w:pStyle w:val="Compact"/>
        <w:numPr>
          <w:ilvl w:val="0"/>
          <w:numId w:val="1010"/>
        </w:numPr>
      </w:pPr>
      <w:r>
        <w:rPr>
          <w:b/>
          <w:bCs/>
        </w:rPr>
        <w:t xml:space="preserve">Use the voidability issue to anchor disclosure.</w:t>
      </w:r>
      <w:r>
        <w:t xml:space="preserve"> </w:t>
      </w:r>
      <w:r>
        <w:t xml:space="preserve">Given Husband’s documented $68,000 concealment and the intake record of</w:t>
      </w:r>
      <w:r>
        <w:t xml:space="preserve"> </w:t>
      </w:r>
      <w:r>
        <w:t xml:space="preserve">“</w:t>
      </w:r>
      <w:r>
        <w:t xml:space="preserve">at least two prior occasions</w:t>
      </w:r>
      <w:r>
        <w:t xml:space="preserve">”</w:t>
      </w:r>
      <w:r>
        <w:t xml:space="preserve"> </w:t>
      </w:r>
      <w:r>
        <w:t xml:space="preserve">of undisclosed purchases/accounts, we have a strong factual basis to insist on a client-protective standard. We can note that a weakened standard is both adverse to Wife and an enforceability risk for the agreement as a whole (§ VIII.2).</w:t>
      </w:r>
    </w:p>
    <w:p>
      <w:pPr>
        <w:pStyle w:val="Compact"/>
        <w:numPr>
          <w:ilvl w:val="0"/>
          <w:numId w:val="1010"/>
        </w:numPr>
      </w:pPr>
      <w:r>
        <w:rPr>
          <w:b/>
          <w:bCs/>
        </w:rPr>
        <w:t xml:space="preserve">Expose the unilateral modification mechanism.</w:t>
      </w:r>
      <w:r>
        <w:t xml:space="preserve"> </w:t>
      </w:r>
      <w:r>
        <w:t xml:space="preserve">This provision has no margin comment and is indefensible as a</w:t>
      </w:r>
      <w:r>
        <w:t xml:space="preserve"> </w:t>
      </w:r>
      <w:r>
        <w:t xml:space="preserve">“</w:t>
      </w:r>
      <w:r>
        <w:t xml:space="preserve">clarification.</w:t>
      </w:r>
      <w:r>
        <w:t xml:space="preserve">”</w:t>
      </w:r>
      <w:r>
        <w:t xml:space="preserve"> </w:t>
      </w:r>
      <w:r>
        <w:t xml:space="preserve">Surfacing it explicitly — and noting it contradicts the mutuality premise of postnuptial enforceability — should make it easy to remove.</w:t>
      </w:r>
    </w:p>
    <w:p>
      <w:pPr>
        <w:pStyle w:val="Compact"/>
        <w:numPr>
          <w:ilvl w:val="0"/>
          <w:numId w:val="1010"/>
        </w:numPr>
      </w:pPr>
      <w:r>
        <w:rPr>
          <w:b/>
          <w:bCs/>
        </w:rPr>
        <w:t xml:space="preserve">Surface the marital-residence changes as a children’s-stability issue.</w:t>
      </w:r>
      <w:r>
        <w:t xml:space="preserve"> </w:t>
      </w:r>
      <w:r>
        <w:t xml:space="preserve">The client’s Objective 3 is to keep the children in their home and school district. Husband’s new purchase right and the shortened windows directly threaten that. Framing the restoration of the Original’s buyout terms as protecting the children (not just Wife’s finances) is both accurate and difficult for opposing counsel to oppose on the merits.</w:t>
      </w:r>
    </w:p>
    <w:p>
      <w:pPr>
        <w:pStyle w:val="Compact"/>
        <w:numPr>
          <w:ilvl w:val="0"/>
          <w:numId w:val="1010"/>
        </w:numPr>
      </w:pPr>
      <w:r>
        <w:rPr>
          <w:b/>
          <w:bCs/>
        </w:rPr>
        <w:t xml:space="preserve">Leverage the favorable maintenance terms as ours to keep, not theirs to trade.</w:t>
      </w:r>
      <w:r>
        <w:t xml:space="preserve"> </w:t>
      </w:r>
      <w:r>
        <w:t xml:space="preserve">We accept the 3-year cap and the $200,000 waiver because they benefit Wife; we do not concede them in exchange for restoring our own provisions. If Husband seeks to retract them, we let him — but we do not pay for them with the reimbursement right.</w:t>
      </w:r>
    </w:p>
    <w:p>
      <w:pPr>
        <w:pStyle w:val="Compact"/>
        <w:numPr>
          <w:ilvl w:val="0"/>
          <w:numId w:val="1010"/>
        </w:numPr>
      </w:pPr>
      <w:r>
        <w:rPr>
          <w:b/>
          <w:bCs/>
        </w:rPr>
        <w:t xml:space="preserve">Correct the factual record as a joint interest.</w:t>
      </w:r>
      <w:r>
        <w:t xml:space="preserve"> </w:t>
      </w:r>
      <w:r>
        <w:t xml:space="preserve">The custodian/account-number/appraiser discrepancies (§ IV) are accuracy problems for both sides. Framing verification as a mutual diligence step makes it harder to refuse.</w:t>
      </w:r>
    </w:p>
    <w:p>
      <w:pPr>
        <w:pStyle w:val="Compact"/>
        <w:numPr>
          <w:ilvl w:val="0"/>
          <w:numId w:val="1010"/>
        </w:numPr>
      </w:pPr>
      <w:r>
        <w:rPr>
          <w:b/>
          <w:bCs/>
        </w:rPr>
        <w:t xml:space="preserve">On venue, cite the statute.</w:t>
      </w:r>
      <w:r>
        <w:t xml:space="preserve"> </w:t>
      </w:r>
      <w:r>
        <w:t xml:space="preserve">750 ILCS 5/104 fixes dissolution venue in the county of the plaintiff’s residence (Cook). A DuPage selection is inconvenient and partly unenforceable; Cook is correct.</w:t>
      </w:r>
    </w:p>
    <w:bookmarkEnd w:id="39"/>
    <w:bookmarkStart w:id="40" w:name="items-to-verify-before-execution"/>
    <w:p>
      <w:pPr>
        <w:pStyle w:val="Heading3"/>
      </w:pPr>
      <w:r>
        <w:t xml:space="preserve">Items to Verify Before Execution</w:t>
      </w:r>
    </w:p>
    <w:p>
      <w:pPr>
        <w:pStyle w:val="FirstParagraph"/>
      </w:pPr>
      <w:r>
        <w:t xml:space="preserve">Before any execution, obtain and reconcile: (a) the children’s birth certificates (and clarify the</w:t>
      </w:r>
      <w:r>
        <w:t xml:space="preserve"> </w:t>
      </w:r>
      <w:r>
        <w:t xml:space="preserve">“</w:t>
      </w:r>
      <w:r>
        <w:t xml:space="preserve">born of the marriage</w:t>
      </w:r>
      <w:r>
        <w:t xml:space="preserve">”</w:t>
      </w:r>
      <w:r>
        <w:t xml:space="preserve"> </w:t>
      </w:r>
      <w:r>
        <w:t xml:space="preserve">recital given Elena’s 2012 birth predates the June 2013 marriage); (b) Constance Thornton’s death certificate (date of death and maiden name); (c) current statements for every account named in the schedules (to fix custodians and account numbers); (d) the Door County property appraisal report (to confirm the appraiser); (e) Husband’s RSU award documentation (grant terms, vesting, and the basis for any coverture period); (f) the Heartbeat Pediatric Partners Operating Agreement (to confirm transfer restrictions referenced in B.4); (g) corrected Schedule A reflecting Wife’s ~$145,000 in annual Practice distributions; (h) the defined-benefit pension plan documents (to support the actuarial present-value determination in B.8); and (i) reconciliation of the personal-property items omitted from both schedules (§ IV, Item 18).</w:t>
      </w:r>
    </w:p>
    <w:bookmarkEnd w:id="40"/>
    <w:bookmarkEnd w:id="41"/>
    <w:bookmarkStart w:id="42" w:name="x.-recommended-next-steps"/>
    <w:p>
      <w:pPr>
        <w:pStyle w:val="Heading2"/>
      </w:pPr>
      <w:r>
        <w:t xml:space="preserve">X. Recommended Next Steps</w:t>
      </w:r>
    </w:p>
    <w:p>
      <w:pPr>
        <w:pStyle w:val="Compact"/>
        <w:numPr>
          <w:ilvl w:val="0"/>
          <w:numId w:val="1011"/>
        </w:numPr>
      </w:pPr>
      <w:r>
        <w:rPr>
          <w:b/>
          <w:bCs/>
        </w:rPr>
        <w:t xml:space="preserve">Circulate this memorandum to Catherine Odom</w:t>
      </w:r>
      <w:r>
        <w:t xml:space="preserve"> </w:t>
      </w:r>
      <w:r>
        <w:t xml:space="preserve">for review and revision.</w:t>
      </w:r>
    </w:p>
    <w:p>
      <w:pPr>
        <w:pStyle w:val="Compact"/>
        <w:numPr>
          <w:ilvl w:val="0"/>
          <w:numId w:val="1011"/>
        </w:numPr>
      </w:pPr>
      <w:r>
        <w:rPr>
          <w:b/>
          <w:bCs/>
        </w:rPr>
        <w:t xml:space="preserve">Conference with the client</w:t>
      </w:r>
      <w:r>
        <w:t xml:space="preserve"> </w:t>
      </w:r>
      <w:r>
        <w:t xml:space="preserve">to confirm: (i) the reimbursement right remains non-negotiable; (ii) she is comfortable with the maintenance cap reduction and the $200,000 waiver (which would eliminate Husband’s maintenance); (iii) she accepts the active/passive practice-appreciation approach despite the added valuation complexity flagged by the Strand report; (iv) her instructions on the 15-year sunset; and (v) that the marital-residence buyout must preserve her first right to purchase on the Original’s longer terms, with no purchase right for Husband that could displace the children.</w:t>
      </w:r>
    </w:p>
    <w:p>
      <w:pPr>
        <w:pStyle w:val="Compact"/>
        <w:numPr>
          <w:ilvl w:val="0"/>
          <w:numId w:val="1011"/>
        </w:numPr>
      </w:pPr>
      <w:r>
        <w:rPr>
          <w:b/>
          <w:bCs/>
        </w:rPr>
        <w:t xml:space="preserve">Prepare a counter-redline</w:t>
      </w:r>
      <w:r>
        <w:t xml:space="preserve"> </w:t>
      </w:r>
      <w:r>
        <w:t xml:space="preserve">restoring the Tier 1 items, accepting the Tier 3 items, and correcting the § IV factual discrepancies.</w:t>
      </w:r>
    </w:p>
    <w:p>
      <w:pPr>
        <w:pStyle w:val="Compact"/>
        <w:numPr>
          <w:ilvl w:val="0"/>
          <w:numId w:val="1011"/>
        </w:numPr>
      </w:pPr>
      <w:r>
        <w:rPr>
          <w:b/>
          <w:bCs/>
        </w:rPr>
        <w:t xml:space="preserve">Consider a pre-conference call with Mr. Baxter</w:t>
      </w:r>
      <w:r>
        <w:t xml:space="preserve"> </w:t>
      </w:r>
      <w:r>
        <w:t xml:space="preserve">(he offered one) to surface the Tier 1 items in advance — particularly the unilateral modification mechanism, the reimbursement deletion, and the marital-residence changes — so that the January 27 session can focus on genuine negotiation rather than orientation. We should not, however, allow the call to narrow the issues to a</w:t>
      </w:r>
      <w:r>
        <w:t xml:space="preserve"> </w:t>
      </w:r>
      <w:r>
        <w:t xml:space="preserve">“</w:t>
      </w:r>
      <w:r>
        <w:t xml:space="preserve">short list</w:t>
      </w:r>
      <w:r>
        <w:t xml:space="preserve">”</w:t>
      </w:r>
      <w:r>
        <w:t xml:space="preserve"> </w:t>
      </w:r>
      <w:r>
        <w:t xml:space="preserve">that omits our core provisions.</w:t>
      </w:r>
    </w:p>
    <w:p>
      <w:pPr>
        <w:pStyle w:val="Compact"/>
        <w:numPr>
          <w:ilvl w:val="0"/>
          <w:numId w:val="1011"/>
        </w:numPr>
      </w:pPr>
      <w:r>
        <w:rPr>
          <w:b/>
          <w:bCs/>
        </w:rPr>
        <w:t xml:space="preserve">Confirm the January 27 four-way conference</w:t>
      </w:r>
      <w:r>
        <w:t xml:space="preserve"> </w:t>
      </w:r>
      <w:r>
        <w:t xml:space="preserve">agenda and ensure both clients will be present to authorize settlement of the open terms.</w:t>
      </w:r>
    </w:p>
    <w:p>
      <w:pPr>
        <w:pStyle w:val="Compact"/>
        <w:numPr>
          <w:ilvl w:val="0"/>
          <w:numId w:val="1011"/>
        </w:numPr>
      </w:pPr>
      <w:r>
        <w:rPr>
          <w:b/>
          <w:bCs/>
        </w:rPr>
        <w:t xml:space="preserve">Do not recommend execution</w:t>
      </w:r>
      <w:r>
        <w:t xml:space="preserve"> </w:t>
      </w:r>
      <w:r>
        <w:t xml:space="preserve">until the Tier 1 items are restored and the § IV verifications are complete.</w:t>
      </w:r>
    </w:p>
    <w:p>
      <w:r>
        <w:pict>
          <v:rect style="width:0;height:1.5pt" o:hralign="center" o:hrstd="t" o:hr="t"/>
        </w:pict>
      </w:r>
    </w:p>
    <w:p>
      <w:pPr>
        <w:pStyle w:val="FirstParagraph"/>
      </w:pPr>
      <w:r>
        <w:rPr>
          <w:i/>
          <w:iCs/>
        </w:rPr>
        <w:t xml:space="preserve">This memorandum is prepared for the internal use of Kessler, Odom &amp; Pratt LLP and is protected by the attorney-client privilege and the attorney work product doctrine. It should not be disclosed to any person outside the firm without prior authorization from the supervising partner.</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2026-06-27T02:08:05Z</dcterms:created>
  <dcterms:modified xsi:type="dcterms:W3CDTF">2026-06-27T02:08:05Z</dcterms:modified>
</cp:coreProperties>
</file>

<file path=docProps/custom.xml><?xml version="1.0" encoding="utf-8"?>
<Properties xmlns="http://schemas.openxmlformats.org/officeDocument/2006/custom-properties" xmlns:vt="http://schemas.openxmlformats.org/officeDocument/2006/docPropsVTypes"/>
</file>