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Whitfield, Esq.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[Reviewing Associate], Calloway &amp; Birch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14,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of Respondent’s Document Production —</w:t>
            </w:r>
            <w:r>
              <w:t xml:space="preserve"> </w:t>
            </w:r>
            <w:r>
              <w:rPr>
                <w:i/>
                <w:iCs/>
              </w:rPr>
              <w:t xml:space="preserve">Torres-Kwan v. Kwan</w:t>
            </w:r>
            <w:r>
              <w:t xml:space="preserve">, Case No. 2024-DR-01847 (Cir. Ct. Fairview County, Columbia; Hon. Patricia Yoon-Callahan)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Jordan Reeves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&amp; Confidential / Attorney Work Product — Prepared in Anticipation of Litigation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i.-introduction-and-scope"/>
    <w:p>
      <w:pPr>
        <w:pStyle w:val="Heading2"/>
      </w:pPr>
      <w:r>
        <w:t xml:space="preserve">I. Introduction and Scope</w:t>
      </w:r>
    </w:p>
    <w:p>
      <w:pPr>
        <w:pStyle w:val="FirstParagraph"/>
      </w:pPr>
      <w:r>
        <w:t xml:space="preserve">This memorandum catalogs, summarizes, and evaluates the document production served by Respondent Darren Kwan 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 through his counsel, Raymond Fossett of Hargrove Fossett &amp; Yates LLP, in response to Petitioner Melinda Torres-Kwan’s First Request for Production of Documents, Nos. 1–22. The production consists of a cover/transmittal email and seven (7) document sets (PROD-001 through PROD-007), together with a summary privilege log identifying four (4) withheld items (PRIV-001 through PRIV-004).</w:t>
      </w:r>
    </w:p>
    <w:p>
      <w:pPr>
        <w:pStyle w:val="BodyText"/>
      </w:pPr>
      <w:r>
        <w:t xml:space="preserve">The purpose of this memorandum is to (a) catalog the exhibits produced; (b) summarize the financial figures reflected therein; (c) flag inconsistencies, omissions, and items of concern bearing on income, asset valuation, and potential dissipation/concealment of marital assets; and (d) recommend targeted follow-up discovery.</w:t>
      </w:r>
      <w:r>
        <w:t xml:space="preserve"> </w:t>
      </w:r>
      <w:r>
        <w:rPr>
          <w:b/>
          <w:bCs/>
        </w:rPr>
        <w:t xml:space="preserve">Our overarching assessment is that the production, while facially responsive, contains material inconsistencies between the sworn Financial Declaration and the underlying records, omits at least one real-property asset and several income streams, and reflects a pattern of large, unexplained transfers occurring on or about the date of separation that warrant immediate follow-up.</w:t>
      </w:r>
    </w:p>
    <w:p>
      <w:r>
        <w:pict>
          <v:rect style="width:0;height:1.5pt" o:hralign="center" o:hrstd="t" o:hr="t"/>
        </w:pict>
      </w:r>
    </w:p>
    <w:bookmarkEnd w:id="20"/>
    <w:bookmarkStart w:id="24" w:name="ii.-exhibit-catalog"/>
    <w:p>
      <w:pPr>
        <w:pStyle w:val="Heading2"/>
      </w:pPr>
      <w:r>
        <w:t xml:space="preserve">II. Exhibit Catalog</w:t>
      </w:r>
    </w:p>
    <w:bookmarkStart w:id="21" w:name="a.-produced-documents"/>
    <w:p>
      <w:pPr>
        <w:pStyle w:val="Heading3"/>
      </w:pPr>
      <w:r>
        <w:t xml:space="preserve">A. Produced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/ Stamp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RFP 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Respondent’s Sworn Financial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Darren Kwan / R. Fossett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9/20/2024 (per doc); 10/4/2024 (per cover 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Form 1040 excerpts (MFJ), incl. Schedule E, K-1, W-2s, entity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Archer &amp; Linden CPAs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Year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DK-PROD-0045 – DK-PROD-0058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Wealth Advisors brokerage statements (acct. 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/ Nathan Greer, CFP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 – Aug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KWAN_PROD_00142 – KWAN_PROD_00158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Fairview Community Bank individual checking (7703) &amp; savings (7704)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 – Aug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KWAN_PROD_0401 – KWAN_PROD_0424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Home Lending mortgage statements —</w:t>
            </w:r>
            <w:r>
              <w:t xml:space="preserve"> </w:t>
            </w:r>
            <w:r>
              <w:rPr>
                <w:b/>
                <w:bCs/>
              </w:rPr>
              <w:t xml:space="preserve">1035 Elm Street, Unit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Home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Jun, Jul, Aug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 Visa credit card statements (acct. 8316)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Fairview Community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– Aug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6, 7, 11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 Solutions LLC expense reimbursement reports (D. Kwan)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 Solutions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Q1–Q2 2024 (Jan 1 – Jun 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KWAN_PROD_00187 – KWAN_PROD_00193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5, 8, 12</w:t>
            </w:r>
          </w:p>
        </w:tc>
      </w:tr>
    </w:tbl>
    <w:bookmarkEnd w:id="21"/>
    <w:bookmarkStart w:id="22" w:name="X6ba74e99d28704c06d168f570768c2dca65b6fe"/>
    <w:p>
      <w:pPr>
        <w:pStyle w:val="Heading3"/>
      </w:pPr>
      <w:r>
        <w:t xml:space="preserve">B. Withheld Documents (Privilege Log Summary)</w:t>
      </w:r>
    </w:p>
    <w:p>
      <w:pPr>
        <w:pStyle w:val="FirstParagraph"/>
      </w:pPr>
      <w:r>
        <w:t xml:space="preserve">Per the cover letter, the following are withheld in whole or in part on attorney-client and/or work-product grounds.</w:t>
      </w:r>
      <w:r>
        <w:t xml:space="preserve"> </w:t>
      </w:r>
      <w:r>
        <w:rPr>
          <w:b/>
          <w:bCs/>
        </w:rPr>
        <w:t xml:space="preserve">A formal, compliant privilege log is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forthcoming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and is to be supplemented within ten (10) business days.</w:t>
      </w:r>
      <w:r>
        <w:t xml:space="preserve"> </w:t>
      </w:r>
      <w:r>
        <w:t xml:space="preserve">We should hold Respondent to that deadline and scrutinize the log for adequate particularization.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Priv.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D. Kwan → R. Fossett, re: financial obligations/asset disclosures</w:t>
            </w:r>
            <w:r>
              <w:t xml:space="preserve"> </w:t>
            </w:r>
            <w:r>
              <w:t xml:space="preserve">“</w:t>
            </w:r>
            <w:r>
              <w:t xml:space="preserve">following the parties’ separation on</w:t>
            </w:r>
            <w:r>
              <w:t xml:space="preserve"> </w:t>
            </w:r>
            <w:r>
              <w:rPr>
                <w:b/>
                <w:bCs/>
              </w:rPr>
              <w:t xml:space="preserve">August 1, 2024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chain, D. Kwan ↔ R. Fossett, re:</w:t>
            </w:r>
            <w:r>
              <w:t xml:space="preserve"> </w:t>
            </w:r>
            <w:r>
              <w:t xml:space="preserve">“</w:t>
            </w:r>
            <w:r>
              <w:t xml:space="preserve">Document preservation and disclosure obligations post-separation</w:t>
            </w:r>
            <w:r>
              <w:t xml:space="preserve"> </w:t>
            </w:r>
            <w:r>
              <w:rPr>
                <w:b/>
                <w:bCs/>
              </w:rPr>
              <w:t xml:space="preserve">August 1, 2024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8/12–14/2024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Memorandum, R. Fossett → D. Kwan, re:</w:t>
            </w:r>
            <w:r>
              <w:t xml:space="preserve"> </w:t>
            </w:r>
            <w:r>
              <w:t xml:space="preserve">“</w:t>
            </w:r>
            <w:r>
              <w:t xml:space="preserve">Preliminary analysis of marital estate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8/20/2024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/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D. Kwan → R. Fossett, re:</w:t>
            </w:r>
            <w:r>
              <w:t xml:space="preserve"> </w:t>
            </w:r>
            <w:r>
              <w:t xml:space="preserve">“</w:t>
            </w:r>
            <w:r>
              <w:t xml:space="preserve">Response to petition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</w:tr>
    </w:tbl>
    <w:bookmarkEnd w:id="22"/>
    <w:bookmarkStart w:id="23" w:name="c.-notations-from-cover-letter"/>
    <w:p>
      <w:pPr>
        <w:pStyle w:val="Heading3"/>
      </w:pPr>
      <w:r>
        <w:t xml:space="preserve">C. Notations from Cover Letter</w:t>
      </w:r>
    </w:p>
    <w:p>
      <w:pPr>
        <w:pStyle w:val="Compact"/>
        <w:numPr>
          <w:ilvl w:val="0"/>
          <w:numId w:val="1001"/>
        </w:numPr>
      </w:pPr>
      <w:r>
        <w:t xml:space="preserve">Respondent produced</w:t>
      </w:r>
      <w:r>
        <w:t xml:space="preserve"> </w:t>
      </w:r>
      <w:r>
        <w:rPr>
          <w:b/>
          <w:bCs/>
        </w:rPr>
        <w:t xml:space="preserve">individual accounts only</w:t>
      </w:r>
      <w:r>
        <w:t xml:space="preserve"> </w:t>
      </w:r>
      <w:r>
        <w:t xml:space="preserve">and objects to producing</w:t>
      </w:r>
      <w:r>
        <w:t xml:space="preserve"> </w:t>
      </w:r>
      <w:r>
        <w:t xml:space="preserve">“</w:t>
      </w:r>
      <w:r>
        <w:t xml:space="preserve">accounts held solely by Petitioner.</w:t>
      </w:r>
      <w:r>
        <w:t xml:space="preserve">”</w:t>
      </w:r>
      <w:r>
        <w:t xml:space="preserve"> </w:t>
      </w:r>
      <w:r>
        <w:t xml:space="preserve">Notably, this objection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extend to the</w:t>
      </w:r>
      <w:r>
        <w:t xml:space="preserve"> </w:t>
      </w:r>
      <w:r>
        <w:rPr>
          <w:b/>
          <w:bCs/>
        </w:rPr>
        <w:t xml:space="preserve">joint</w:t>
      </w:r>
      <w:r>
        <w:t xml:space="preserve"> </w:t>
      </w:r>
      <w:r>
        <w:t xml:space="preserve">accounts (4821/4822), which are nonetheless absent from the production.</w:t>
      </w:r>
    </w:p>
    <w:p>
      <w:pPr>
        <w:pStyle w:val="Compact"/>
        <w:numPr>
          <w:ilvl w:val="0"/>
          <w:numId w:val="1001"/>
        </w:numPr>
      </w:pPr>
      <w:r>
        <w:t xml:space="preserve">Entity-level NovaBridge records responsive to</w:t>
      </w:r>
      <w:r>
        <w:t xml:space="preserve"> </w:t>
      </w:r>
      <w:r>
        <w:rPr>
          <w:b/>
          <w:bCs/>
        </w:rPr>
        <w:t xml:space="preserve">Request Nos. 16–22</w:t>
      </w:r>
      <w:r>
        <w:t xml:space="preserve"> </w:t>
      </w:r>
      <w:r>
        <w:t xml:space="preserve">(operating agreement, corporate financials) are</w:t>
      </w:r>
      <w:r>
        <w:t xml:space="preserve"> </w:t>
      </w:r>
      <w:r>
        <w:rPr>
          <w:b/>
          <w:bCs/>
        </w:rPr>
        <w:t xml:space="preserve">not yet produced</w:t>
      </w:r>
      <w:r>
        <w:t xml:space="preserve">; Respondent states he is</w:t>
      </w:r>
      <w:r>
        <w:t xml:space="preserve"> </w:t>
      </w:r>
      <w:r>
        <w:t xml:space="preserve">“</w:t>
      </w:r>
      <w:r>
        <w:t xml:space="preserve">continuing to coordinate</w:t>
      </w:r>
      <w:r>
        <w:t xml:space="preserve">”</w:t>
      </w:r>
      <w:r>
        <w:t xml:space="preserve"> </w:t>
      </w:r>
      <w:r>
        <w:t xml:space="preserve">with NovaBridge and co-member Jared Ostrowski and will supplement.</w:t>
      </w:r>
    </w:p>
    <w:p>
      <w:pPr>
        <w:pStyle w:val="Compact"/>
        <w:numPr>
          <w:ilvl w:val="0"/>
          <w:numId w:val="1001"/>
        </w:numPr>
      </w:pPr>
      <w:r>
        <w:t xml:space="preserve">Respondent’s</w:t>
      </w:r>
      <w:r>
        <w:t xml:space="preserve"> </w:t>
      </w:r>
      <w:r>
        <w:rPr>
          <w:b/>
          <w:bCs/>
        </w:rPr>
        <w:t xml:space="preserve">First RFP to Petitioner</w:t>
      </w:r>
      <w:r>
        <w:t xml:space="preserve"> </w:t>
      </w:r>
      <w:r>
        <w:t xml:space="preserve">was served 9/18/2024 and remains outstanding — calendar our reciprocal production obligations accordingly.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iii.-summary-of-key-financial-figures"/>
    <w:p>
      <w:pPr>
        <w:pStyle w:val="Heading2"/>
      </w:pPr>
      <w:r>
        <w:t xml:space="preserve">III. Summary of Key Financial Figures</w:t>
      </w:r>
    </w:p>
    <w:bookmarkStart w:id="25" w:name="a.-income-calendar-year-2023"/>
    <w:p>
      <w:pPr>
        <w:pStyle w:val="Heading3"/>
      </w:pPr>
      <w:r>
        <w:t xml:space="preserve">A. Income (Calendar Year 2023)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Financial Declaration (PROD-001)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2023 Tax Return (PROD-002)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wages (Respondent, NovaBridge)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$185,000 (W-2 #1, Box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/ pass-through business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$174,000</w:t>
            </w:r>
            <w:r>
              <w:t xml:space="preserve"> </w:t>
            </w:r>
            <w:r>
              <w:t xml:space="preserve">(labeled</w:t>
            </w:r>
            <w:r>
              <w:t xml:space="preserve"> </w:t>
            </w:r>
            <w:r>
              <w:t xml:space="preserve">“</w:t>
            </w:r>
            <w:r>
              <w:t xml:space="preserve">K-1 Income/Distributions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$367,200</w:t>
            </w:r>
            <w:r>
              <w:t xml:space="preserve"> </w:t>
            </w:r>
            <w:r>
              <w:t xml:space="preserve">(K-1 Box 1, ordinary business income)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($193,200) understated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rental real estate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$2,940 (Sch. E, 1035 Elm 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Taxable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$1,840 (Sch.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Ordinary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$6,310 (Sch.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$8,450 (Sch.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Box 14 vehicle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$9,600 ($800/mo)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income (joint return)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$359,000</w:t>
            </w:r>
            <w:r>
              <w:t xml:space="preserve"> </w:t>
            </w:r>
            <w:r>
              <w:t xml:space="preserve">(Respondent’s stated 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$638,940</w:t>
            </w:r>
            <w:r>
              <w:t xml:space="preserve"> </w:t>
            </w:r>
            <w:r>
              <w:t xml:space="preserve">(Form 1040, Line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Gross Income (joint)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$612,960</w:t>
            </w:r>
            <w:r>
              <w:t xml:space="preserve"> </w:t>
            </w:r>
            <w:r>
              <w:t xml:space="preserve">(Line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Declaration reports total 2023 income of</w:t>
      </w:r>
      <w:r>
        <w:t xml:space="preserve"> </w:t>
      </w:r>
      <w:r>
        <w:rPr>
          <w:b/>
          <w:bCs/>
        </w:rPr>
        <w:t xml:space="preserve">$359,000</w:t>
      </w:r>
      <w:r>
        <w:t xml:space="preserve">, but the jointly-filed, sworn tax return reports</w:t>
      </w:r>
      <w:r>
        <w:t xml:space="preserve"> </w:t>
      </w:r>
      <w:r>
        <w:rPr>
          <w:b/>
          <w:bCs/>
        </w:rPr>
        <w:t xml:space="preserve">$638,940</w:t>
      </w:r>
      <w:r>
        <w:t xml:space="preserve"> </w:t>
      </w:r>
      <w:r>
        <w:t xml:space="preserve">in total income ($612,960 AGI). The principal driver is the Declaration’s conflation of</w:t>
      </w:r>
      <w:r>
        <w:t xml:space="preserve"> </w:t>
      </w:r>
      <w:r>
        <w:rPr>
          <w:b/>
          <w:bCs/>
        </w:rPr>
        <w:t xml:space="preserve">cash distributions</w:t>
      </w:r>
      <w:r>
        <w:t xml:space="preserve"> </w:t>
      </w:r>
      <w:r>
        <w:t xml:space="preserve">($174,000, K-1 Box 19a) with</w:t>
      </w:r>
      <w:r>
        <w:t xml:space="preserve"> </w:t>
      </w:r>
      <w:r>
        <w:rPr>
          <w:b/>
          <w:bCs/>
        </w:rPr>
        <w:t xml:space="preserve">taxable K-1 ordinary business income</w:t>
      </w:r>
      <w:r>
        <w:t xml:space="preserve"> </w:t>
      </w:r>
      <w:r>
        <w:t xml:space="preserve">($367,200, K-1 Box 1) — a $193,200 understatement. Interest, dividends, capital gains, rental income, and the vehicle allowance are omitted entirely, notwithstanding Declaration ¶19’s representation that Respondent has</w:t>
      </w:r>
      <w:r>
        <w:t xml:space="preserve"> </w:t>
      </w:r>
      <w:r>
        <w:t xml:space="preserve">“</w:t>
      </w:r>
      <w:r>
        <w:t xml:space="preserve">no other sources of income … including … interest income, dividend income, rental income.</w:t>
      </w:r>
      <w:r>
        <w:t xml:space="preserve">”</w:t>
      </w:r>
      <w:r>
        <w:t xml:space="preserve"> </w:t>
      </w:r>
      <w:r>
        <w:t xml:space="preserve">This discrepancy is central to child-support and maintenance computations.</w:t>
      </w:r>
    </w:p>
    <w:bookmarkEnd w:id="25"/>
    <w:bookmarkStart w:id="26" w:name="b.-assets-as-declared-prod-001"/>
    <w:p>
      <w:pPr>
        <w:pStyle w:val="Heading3"/>
      </w:pPr>
      <w:r>
        <w:t xml:space="preserve">B. Assets (as Declared, PROD-001)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— 418 Birchwood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$715,000 (est.); equity $496,600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estimate; no appraisal; mortgage $218,400; PITI $1,842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(FCB 4821)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  <w:r>
              <w:t xml:space="preserve"> </w:t>
            </w:r>
            <w:r>
              <w:rPr>
                <w:b/>
                <w:bCs/>
              </w:rPr>
              <w:t xml:space="preserve">not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(FCB 4822)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  <w:r>
              <w:t xml:space="preserve"> </w:t>
            </w:r>
            <w:r>
              <w:rPr>
                <w:b/>
                <w:bCs/>
              </w:rPr>
              <w:t xml:space="preserve">not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checking (FCB 7703)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of 8/1/2024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savings (FCB 7704)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of 8/1/2024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brokerage (9956)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of 8/1/2024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— Pinnacle Retirement (3310)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  <w:r>
              <w:t xml:space="preserve"> </w:t>
            </w:r>
            <w:r>
              <w:rPr>
                <w:b/>
                <w:bCs/>
              </w:rPr>
              <w:t xml:space="preserve">not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403(b) — Petitioner (Pinnacle 5587)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Petitioner’s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NovaBridge 60% membership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formally appraised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valuation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BMW X5 xDrive40i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$48,500; equity $26,400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$22,100 (FCB Auto Finance)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 Honda CR-V EX-L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$24,800; equity $24,800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Titled to Petitioner; no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financial accounts (declared)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$981,435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c.-liabilities-as-declared-prod-001"/>
    <w:p>
      <w:pPr>
        <w:pStyle w:val="Heading3"/>
      </w:pPr>
      <w:r>
        <w:t xml:space="preserve">C. Liabilities (as Declared, PROD-001)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418 Birchwood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Home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$218,400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loan — 2022 BMW 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Fairview Community Bank Auto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card —</w:t>
            </w:r>
            <w:r>
              <w:t xml:space="preserve"> </w:t>
            </w:r>
            <w:r>
              <w:t xml:space="preserve">“</w:t>
            </w:r>
            <w:r>
              <w:t xml:space="preserve">Platinum Visa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First National Card Services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~$8,500 (revolving)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lease — 2200 Harbor Point Dr.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$4,750/mo (recurring)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liabilities (declared)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~$249,000</w:t>
            </w:r>
          </w:p>
        </w:tc>
      </w:tr>
    </w:tbl>
    <w:bookmarkEnd w:id="27"/>
    <w:bookmarkStart w:id="28" w:name="Xca36e66f533937443823245940e8afe1389e925"/>
    <w:p>
      <w:pPr>
        <w:pStyle w:val="Heading3"/>
      </w:pPr>
      <w:r>
        <w:t xml:space="preserve">D. Monthly Expenses (as Declared, PROD-001, Sec. V)</w:t>
      </w:r>
    </w:p>
    <w:p>
      <w:pPr>
        <w:pStyle w:val="Compact"/>
        <w:numPr>
          <w:ilvl w:val="0"/>
          <w:numId w:val="1002"/>
        </w:numPr>
      </w:pPr>
      <w:r>
        <w:t xml:space="preserve">Total estimated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monthly expenses:</w:t>
      </w:r>
      <w:r>
        <w:t xml:space="preserve"> </w:t>
      </w:r>
      <w:r>
        <w:rPr>
          <w:b/>
          <w:bCs/>
        </w:rPr>
        <w:t xml:space="preserve">$8,885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Voluntary contribution to marital household:</w:t>
      </w:r>
      <w:r>
        <w:t xml:space="preserve"> </w:t>
      </w:r>
      <w:r>
        <w:rPr>
          <w:b/>
          <w:bCs/>
        </w:rPr>
        <w:t xml:space="preserve">$3,500/mo</w:t>
      </w:r>
      <w:r>
        <w:t xml:space="preserve"> </w:t>
      </w:r>
      <w:r>
        <w:t xml:space="preserve">(commenced ~June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monthly outlay declared: $12,385.</w:t>
      </w:r>
    </w:p>
    <w:bookmarkEnd w:id="28"/>
    <w:bookmarkStart w:id="29" w:name="X9136b0c1c9483b173a110b38043a9e79c66bbfa"/>
    <w:p>
      <w:pPr>
        <w:pStyle w:val="Heading3"/>
      </w:pPr>
      <w:r>
        <w:t xml:space="preserve">E. NovaBridge Solutions LLC (PROD-002 / PROD-007)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Ordinary business income (Form 1065, Line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partner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Distributions — D. Kwan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Entity-level retained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Kwan’s share of retained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Ownership: Darren Kwan 60% (CTO/Member-Manager); Jared Ostrowski 40% (CEO).</w:t>
      </w:r>
    </w:p>
    <w:p>
      <w:pPr>
        <w:pStyle w:val="Compact"/>
        <w:numPr>
          <w:ilvl w:val="0"/>
          <w:numId w:val="1003"/>
        </w:numPr>
      </w:pPr>
      <w:r>
        <w:t xml:space="preserve">K-1 capital account: beginning $482,600 → ending $675,800 (tax basis).</w:t>
      </w:r>
    </w:p>
    <w:p>
      <w:pPr>
        <w:pStyle w:val="Compact"/>
        <w:numPr>
          <w:ilvl w:val="0"/>
          <w:numId w:val="1003"/>
        </w:numPr>
      </w:pPr>
      <w:r>
        <w:t xml:space="preserve">Recourse liabilities allocable to Kwan: $36,400.</w:t>
      </w:r>
    </w:p>
    <w:p>
      <w:pPr>
        <w:pStyle w:val="Compact"/>
        <w:numPr>
          <w:ilvl w:val="0"/>
          <w:numId w:val="1003"/>
        </w:numPr>
      </w:pPr>
      <w:r>
        <w:t xml:space="preserve">Expense reimbursements to Kwan (PROD-007): Q1 $3,373; Q2 $9,289;</w:t>
      </w:r>
      <w:r>
        <w:t xml:space="preserve"> </w:t>
      </w:r>
      <w:r>
        <w:rPr>
          <w:b/>
          <w:bCs/>
        </w:rPr>
        <w:t xml:space="preserve">H1 2024 total $12,662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Xb0f8a718f5170aa088c79cedf4d17c3769089e8"/>
    <w:p>
      <w:pPr>
        <w:pStyle w:val="Heading2"/>
      </w:pPr>
      <w:r>
        <w:t xml:space="preserve">IV. Flagged Inconsistencies, Omissions, and Concerns</w:t>
      </w:r>
    </w:p>
    <w:p>
      <w:pPr>
        <w:pStyle w:val="FirstParagraph"/>
      </w:pPr>
      <w:r>
        <w:t xml:space="preserve">The following are organized by significance. Citations are to the production documents and, where available, Bates ranges.</w:t>
      </w:r>
    </w:p>
    <w:bookmarkStart w:id="31" w:name="X6c39b7fd067b854459350ab1c06dcf1845b3d6a"/>
    <w:p>
      <w:pPr>
        <w:pStyle w:val="Heading3"/>
      </w:pPr>
      <w:r>
        <w:t xml:space="preserve">A. Material Income Understatement (Declaration vs. Tax Return)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K-1 income mischaracterized.</w:t>
      </w:r>
      <w:r>
        <w:t xml:space="preserve"> </w:t>
      </w:r>
      <w:r>
        <w:t xml:space="preserve">Declaration ¶¶15–16 report</w:t>
      </w:r>
      <w:r>
        <w:t xml:space="preserve"> </w:t>
      </w:r>
      <w:r>
        <w:t xml:space="preserve">“</w:t>
      </w:r>
      <w:r>
        <w:t xml:space="preserve">$174,000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K-1 Income/Distributions.</w:t>
      </w:r>
      <w:r>
        <w:t xml:space="preserve">”</w:t>
      </w:r>
      <w:r>
        <w:t xml:space="preserve"> </w:t>
      </w:r>
      <w:r>
        <w:t xml:space="preserve">The K-1 (PROD-002, DK-PROD-0053) shows</w:t>
      </w:r>
      <w:r>
        <w:t xml:space="preserve"> </w:t>
      </w:r>
      <w:r>
        <w:rPr>
          <w:b/>
          <w:bCs/>
        </w:rPr>
        <w:t xml:space="preserve">Box 1 ordinary business income of $367,200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Box 19a cash distributions of $174,000</w:t>
      </w:r>
      <w:r>
        <w:t xml:space="preserve"> </w:t>
      </w:r>
      <w:r>
        <w:t xml:space="preserve">— two distinct figures. The Declaration reports the cash distribution as though it were the taxable income, understating pass-through income by</w:t>
      </w:r>
      <w:r>
        <w:t xml:space="preserve"> </w:t>
      </w:r>
      <w:r>
        <w:rPr>
          <w:b/>
          <w:bCs/>
        </w:rPr>
        <w:t xml:space="preserve">$193,200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Omitted income streams.</w:t>
      </w:r>
      <w:r>
        <w:t xml:space="preserve"> </w:t>
      </w:r>
      <w:r>
        <w:t xml:space="preserve">The tax return reflects taxable interest ($1,840), ordinary dividends ($6,310), capital gains ($8,450), and net rental income ($2,940) — none of which appear in the Declaration, directly contradicting Declaration ¶19.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Omitted compensation.</w:t>
      </w:r>
      <w:r>
        <w:t xml:space="preserve"> </w:t>
      </w:r>
      <w:r>
        <w:t xml:space="preserve">W-2 Box 14 reflects a</w:t>
      </w:r>
      <w:r>
        <w:t xml:space="preserve"> </w:t>
      </w:r>
      <w:r>
        <w:rPr>
          <w:b/>
          <w:bCs/>
        </w:rPr>
        <w:t xml:space="preserve">$9,600 vehicle allowance</w:t>
      </w:r>
      <w:r>
        <w:t xml:space="preserve"> </w:t>
      </w:r>
      <w:r>
        <w:t xml:space="preserve">($800/mo) not disclosed as income or benefit.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 effect.</w:t>
      </w:r>
      <w:r>
        <w:t xml:space="preserve"> </w:t>
      </w:r>
      <w:r>
        <w:t xml:space="preserve">Declaration total income $359,000 vs. tax-return total income $638,940 (AGI $612,960). Both documents are sworn; the conflict is a credibility and potential false-swearing issue.</w:t>
      </w:r>
    </w:p>
    <w:bookmarkEnd w:id="31"/>
    <w:bookmarkStart w:id="32" w:name="Xf98401160c49c2b66f76f8f7ffb10aae282fd7d"/>
    <w:p>
      <w:pPr>
        <w:pStyle w:val="Heading3"/>
      </w:pPr>
      <w:r>
        <w:t xml:space="preserve">B. Undisclosed Real Property — 1035 Elm Street, Unit 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Asset omitted.</w:t>
      </w:r>
      <w:r>
        <w:t xml:space="preserve"> </w:t>
      </w:r>
      <w:r>
        <w:t xml:space="preserve">The tax return (Schedule E, DK-PROD-0050) and the Meridian mortgage statements (PROD-005) both establish Respondent’s</w:t>
      </w:r>
      <w:r>
        <w:t xml:space="preserve"> </w:t>
      </w:r>
      <w:r>
        <w:rPr>
          <w:b/>
          <w:bCs/>
        </w:rPr>
        <w:t xml:space="preserve">sole ownership</w:t>
      </w:r>
      <w:r>
        <w:t xml:space="preserve"> </w:t>
      </w:r>
      <w:r>
        <w:t xml:space="preserve">of a rental condominium at</w:t>
      </w:r>
      <w:r>
        <w:t xml:space="preserve"> </w:t>
      </w:r>
      <w:r>
        <w:rPr>
          <w:b/>
          <w:bCs/>
        </w:rPr>
        <w:t xml:space="preserve">1035 Elm Street, Unit C, Fairview, Columbia 20147</w:t>
      </w:r>
      <w:r>
        <w:t xml:space="preserve">, titled in Darren Kwan’s name, acquired via a</w:t>
      </w:r>
      <w:r>
        <w:t xml:space="preserve"> </w:t>
      </w:r>
      <w:r>
        <w:rPr>
          <w:b/>
          <w:bCs/>
        </w:rPr>
        <w:t xml:space="preserve">$279,000 loan dated October 8, 2019</w:t>
      </w:r>
      <w:r>
        <w:t xml:space="preserve"> </w:t>
      </w:r>
      <w:r>
        <w:t xml:space="preserve">(during the marriage). The Declaration (¶¶20–23) lists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Birchwood Lane residence and expressly represents that</w:t>
      </w:r>
      <w:r>
        <w:t xml:space="preserve"> </w:t>
      </w:r>
      <w:r>
        <w:t xml:space="preserve">“</w:t>
      </w:r>
      <w:r>
        <w:t xml:space="preserve">Respondent does not hold any ownership interest … in any other real property.</w:t>
      </w:r>
      <w:r>
        <w:t xml:space="preserve">”</w:t>
      </w:r>
      <w:r>
        <w:t xml:space="preserve"> </w:t>
      </w:r>
      <w:r>
        <w:t xml:space="preserve">This is a material omission of a marital asset.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Liability omitted.</w:t>
      </w:r>
      <w:r>
        <w:t xml:space="preserve"> </w:t>
      </w:r>
      <w:r>
        <w:t xml:space="preserve">The Elm Street mortgage balance is approximately</w:t>
      </w:r>
      <w:r>
        <w:t xml:space="preserve"> </w:t>
      </w:r>
      <w:r>
        <w:rPr>
          <w:b/>
          <w:bCs/>
        </w:rPr>
        <w:t xml:space="preserve">$241,281</w:t>
      </w:r>
      <w:r>
        <w:t xml:space="preserve"> </w:t>
      </w:r>
      <w:r>
        <w:t xml:space="preserve">as of 8/1/2024 (PITI $1,680/mo; 4.875% fixed; maturity 11/1/2049). It appears nowhere in the Declaration’s liability schedule (¶¶43–48), which represents that Respondent</w:t>
      </w:r>
      <w:r>
        <w:t xml:space="preserve"> </w:t>
      </w:r>
      <w:r>
        <w:t xml:space="preserve">“</w:t>
      </w:r>
      <w:r>
        <w:t xml:space="preserve">does not have any other outstanding debts.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Rental income omitted.</w:t>
      </w:r>
      <w:r>
        <w:t xml:space="preserve"> </w:t>
      </w:r>
      <w:r>
        <w:t xml:space="preserve">Schedule E reports</w:t>
      </w:r>
      <w:r>
        <w:t xml:space="preserve"> </w:t>
      </w:r>
      <w:r>
        <w:rPr>
          <w:b/>
          <w:bCs/>
        </w:rPr>
        <w:t xml:space="preserve">$25,200</w:t>
      </w:r>
      <w:r>
        <w:t xml:space="preserve"> </w:t>
      </w:r>
      <w:r>
        <w:t xml:space="preserve">gross rents ($2,100/mo × 12) and</w:t>
      </w:r>
      <w:r>
        <w:t xml:space="preserve"> </w:t>
      </w:r>
      <w:r>
        <w:rPr>
          <w:b/>
          <w:bCs/>
        </w:rPr>
        <w:t xml:space="preserve">$2,940</w:t>
      </w:r>
      <w:r>
        <w:t xml:space="preserve"> </w:t>
      </w:r>
      <w:r>
        <w:t xml:space="preserve">net rental income for 2023. The FCB checking statements (PROD-004) corroborate ongoing</w:t>
      </w:r>
      <w:r>
        <w:t xml:space="preserve"> </w:t>
      </w:r>
      <w:r>
        <w:rPr>
          <w:b/>
          <w:bCs/>
        </w:rPr>
        <w:t xml:space="preserve">$2,100/mo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Tenant Rent Payment</w:t>
      </w:r>
      <w:r>
        <w:rPr>
          <w:b/>
          <w:bCs/>
        </w:rPr>
        <w:t xml:space="preserve">”</w:t>
      </w:r>
      <w:r>
        <w:t xml:space="preserve"> </w:t>
      </w:r>
      <w:r>
        <w:t xml:space="preserve">ACH deposits (April–August 2024). None of this is disclosed in the Declaration’s income or expense sections.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Mortgage interest traceable.</w:t>
      </w:r>
      <w:r>
        <w:t xml:space="preserve"> </w:t>
      </w:r>
      <w:r>
        <w:t xml:space="preserve">Schedule E Line 12 reports $11,280 mortgage interest to Meridian Home Lending on Elm Street — a second Meridian loan distinct from the Birchwood mortgage.</w:t>
      </w:r>
    </w:p>
    <w:bookmarkEnd w:id="32"/>
    <w:bookmarkStart w:id="33" w:name="Xc0ad2d2b60cda032125d60fc183ba75b6280d9a"/>
    <w:p>
      <w:pPr>
        <w:pStyle w:val="Heading3"/>
      </w:pPr>
      <w:r>
        <w:t xml:space="preserve">C. Asset Valuation Date Misrepresentation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As of separation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representation is false.</w:t>
      </w:r>
      <w:r>
        <w:t xml:space="preserve"> </w:t>
      </w:r>
      <w:r>
        <w:t xml:space="preserve">Declaration ¶56 represents that</w:t>
      </w:r>
      <w:r>
        <w:t xml:space="preserve"> </w:t>
      </w:r>
      <w:r>
        <w:t xml:space="preserve">“</w:t>
      </w:r>
      <w:r>
        <w:t xml:space="preserve">All asset values and account balances reflected herein are approximate as of the date of separation, which Respondent identifies as on or about</w:t>
      </w:r>
      <w:r>
        <w:t xml:space="preserve"> </w:t>
      </w:r>
      <w:r>
        <w:rPr>
          <w:b/>
          <w:bCs/>
        </w:rPr>
        <w:t xml:space="preserve">June 1, 2024</w:t>
      </w:r>
      <w:r>
        <w:t xml:space="preserve">.</w:t>
      </w:r>
      <w:r>
        <w:t xml:space="preserve">”</w:t>
      </w:r>
      <w:r>
        <w:t xml:space="preserve"> </w:t>
      </w:r>
      <w:r>
        <w:t xml:space="preserve">The produced records show the declared balances are actually</w:t>
      </w:r>
      <w:r>
        <w:t xml:space="preserve"> </w:t>
      </w:r>
      <w:r>
        <w:rPr>
          <w:b/>
          <w:bCs/>
        </w:rPr>
        <w:t xml:space="preserve">as of August 1, 2024</w:t>
      </w:r>
      <w:r>
        <w:t xml:space="preserve">, not June 1, 2024: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(per ¶56,</w:t>
            </w:r>
            <w:r>
              <w:t xml:space="preserve"> </w:t>
            </w:r>
            <w:r>
              <w:t xml:space="preserve">“</w:t>
            </w:r>
            <w:r>
              <w:t xml:space="preserve">6/1/2024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6/1/2024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8/1/2024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brokerage (9956)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~$468,695 (5/31 close)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checking (7703)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$26,869.56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savings (7704)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$40,547.96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$42,680.00</w:t>
            </w:r>
          </w:p>
        </w:tc>
      </w:tr>
    </w:tbl>
    <w:p>
      <w:pPr>
        <w:pStyle w:val="BodyText"/>
      </w:pPr>
      <w:r>
        <w:t xml:space="preserve">The brokerage and checking balances are</w:t>
      </w:r>
      <w:r>
        <w:t xml:space="preserve"> </w:t>
      </w:r>
      <w:r>
        <w:rPr>
          <w:b/>
          <w:bCs/>
        </w:rPr>
        <w:t xml:space="preserve">post-dissipation</w:t>
      </w:r>
      <w:r>
        <w:t xml:space="preserve"> </w:t>
      </w:r>
      <w:r>
        <w:t xml:space="preserve">figures (see §IV.D–E), meaning the Declaration’s stated values already reflect the dissipated/transfer amounts as gone. This conveniently understates the marital estate as of the true separation date.</w:t>
      </w:r>
    </w:p>
    <w:bookmarkEnd w:id="33"/>
    <w:bookmarkStart w:id="34" w:name="Xa43fa312f5a521df03345dc7a49c8f38654d401"/>
    <w:p>
      <w:pPr>
        <w:pStyle w:val="Heading3"/>
      </w:pPr>
      <w:r>
        <w:t xml:space="preserve">D. $85,000 Outgoing Wire — Potential Dissipation/Concealment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wire.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June 15, 2024</w:t>
      </w:r>
      <w:r>
        <w:t xml:space="preserve"> </w:t>
      </w:r>
      <w:r>
        <w:t xml:space="preserve">— two weeks after the declared June 1 separation — the Crestline brokerage account (PROD-003, KWAN_PROD_00152) sent an</w:t>
      </w:r>
      <w:r>
        <w:t xml:space="preserve"> </w:t>
      </w:r>
      <w:r>
        <w:rPr>
          <w:b/>
          <w:bCs/>
        </w:rPr>
        <w:t xml:space="preserve">$85,000 outgoing wire transfer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Harborstone Financial Group, account ending 2291</w:t>
      </w:r>
      <w:r>
        <w:t xml:space="preserve"> </w:t>
      </w:r>
      <w:r>
        <w:t xml:space="preserve">(Ref. WT-2024-061524-0087), initiated by the account holder via verbal authorization. The recipient account is</w:t>
      </w:r>
      <w:r>
        <w:t xml:space="preserve"> </w:t>
      </w:r>
      <w:r>
        <w:rPr>
          <w:b/>
          <w:bCs/>
        </w:rPr>
        <w:t xml:space="preserve">not disclosed</w:t>
      </w:r>
      <w:r>
        <w:t xml:space="preserve"> </w:t>
      </w:r>
      <w:r>
        <w:t xml:space="preserve">anywhere in the Declaration or the production.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Effect.</w:t>
      </w:r>
      <w:r>
        <w:t xml:space="preserve"> </w:t>
      </w:r>
      <w:r>
        <w:t xml:space="preserve">This single transfer accounts for essentially the entire real decline in the brokerage account from $472,450 (1/1/2024) to $387,450 (8/1/2024) (net of $12,300 in market appreciation). It is the central dissipation/concealment concern in this production.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Timing.</w:t>
      </w:r>
      <w:r>
        <w:t xml:space="preserve"> </w:t>
      </w:r>
      <w:r>
        <w:t xml:space="preserve">The transfer post-dates the declared separation (6/1/2024) but pre-dates the separation date referenced in the privilege log (8/1/2024). The separation-date discrepancy (§IV.K) directly affects whether this transfer is analyzed as post-separation dissipation.</w:t>
      </w:r>
    </w:p>
    <w:bookmarkEnd w:id="34"/>
    <w:bookmarkStart w:id="35" w:name="X1d42aec107c7be1e80f0554811fa6a2ea388561"/>
    <w:p>
      <w:pPr>
        <w:pStyle w:val="Heading3"/>
      </w:pPr>
      <w:r>
        <w:t xml:space="preserve">E. Recurring Undisclosed Transfers to Third Party (</w:t>
      </w:r>
      <w:r>
        <w:t xml:space="preserve">“</w:t>
      </w:r>
      <w:r>
        <w:t xml:space="preserve">Kiera M.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Venmo transfers.</w:t>
      </w:r>
      <w:r>
        <w:t xml:space="preserve"> </w:t>
      </w:r>
      <w:r>
        <w:t xml:space="preserve">The FCB checking statements (PROD-004) show recurring Venmo payments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Kiera M.</w:t>
      </w:r>
      <w:r>
        <w:rPr>
          <w:b/>
          <w:bCs/>
        </w:rPr>
        <w:t xml:space="preserve">”</w:t>
      </w:r>
      <w:r>
        <w:t xml:space="preserve"> </w:t>
      </w:r>
      <w:r>
        <w:t xml:space="preserve">not reflected anywhere in the Declaration’s expense schedule: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4/22/2024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5/10/2024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(Mar–Jul)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$14,600.00</w:t>
            </w:r>
            <w:r>
              <w:t xml:space="preserve"> </w:t>
            </w:r>
            <w:r>
              <w:t xml:space="preserve">(~$2,920/mo avg)</w:t>
            </w:r>
          </w:p>
        </w:tc>
      </w:tr>
    </w:tbl>
    <w:p>
      <w:pPr>
        <w:pStyle w:val="BodyText"/>
      </w:pPr>
      <w:r>
        <w:t xml:space="preserve">The identity of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 </w:t>
      </w:r>
      <w:r>
        <w:t xml:space="preserve">and the purpose of these recurring transfers are unknown. The pattern (regular, substantial, undisclosed) raises questions of undisclosed support, a third-party relationship, or asset transfer that must be explored.</w:t>
      </w:r>
    </w:p>
    <w:bookmarkEnd w:id="35"/>
    <w:bookmarkStart w:id="36" w:name="X3c1e1f9e6ab292e31d7a90d219ec2ac98cd83a2"/>
    <w:p>
      <w:pPr>
        <w:pStyle w:val="Heading3"/>
      </w:pPr>
      <w:r>
        <w:t xml:space="preserve">F. Credit-Card Discrepancies (Possible Undisclosed Second Account)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Creditor mismatch.</w:t>
      </w:r>
      <w:r>
        <w:t xml:space="preserve"> </w:t>
      </w:r>
      <w:r>
        <w:t xml:space="preserve">Declaration ¶46 identifies the credit-card creditor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First National Card Services</w:t>
      </w:r>
      <w:r>
        <w:rPr>
          <w:b/>
          <w:bCs/>
        </w:rPr>
        <w:t xml:space="preserve">”</w:t>
      </w:r>
      <w:r>
        <w:t xml:space="preserve"> </w:t>
      </w:r>
      <w:r>
        <w:t xml:space="preserve">with an ~$8,500 revolving balance paid $500–$1,000/mo. The produced statements (PROD-006) are from</w:t>
      </w:r>
      <w:r>
        <w:t xml:space="preserve"> </w:t>
      </w:r>
      <w:r>
        <w:rPr>
          <w:b/>
          <w:bCs/>
        </w:rPr>
        <w:t xml:space="preserve">Fairview Community Bank</w:t>
      </w:r>
      <w:r>
        <w:t xml:space="preserve"> </w:t>
      </w:r>
      <w:r>
        <w:t xml:space="preserve">(Platinum Visa, acct. 8316), show the balance</w:t>
      </w:r>
      <w:r>
        <w:t xml:space="preserve"> </w:t>
      </w:r>
      <w:r>
        <w:rPr>
          <w:b/>
          <w:bCs/>
        </w:rPr>
        <w:t xml:space="preserve">paid in full each month</w:t>
      </w:r>
      <w:r>
        <w:t xml:space="preserve"> </w:t>
      </w:r>
      <w:r>
        <w:t xml:space="preserve">(finance charges $0.00), with balances ranging $3,240.18 → $12,486.75 and payments of $3,240–$12,487. Either the Declaration misdescribes the card, or a</w:t>
      </w:r>
      <w:r>
        <w:t xml:space="preserve"> </w:t>
      </w:r>
      <w:r>
        <w:rPr>
          <w:b/>
          <w:bCs/>
        </w:rPr>
        <w:t xml:space="preserve">separate First National Card Services account exists and was not produced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Payment-source mismatch.</w:t>
      </w:r>
      <w:r>
        <w:t xml:space="preserve"> </w:t>
      </w:r>
      <w:r>
        <w:t xml:space="preserve">The credit-card statements reflect payments received on the</w:t>
      </w:r>
      <w:r>
        <w:t xml:space="preserve"> </w:t>
      </w:r>
      <w:r>
        <w:rPr>
          <w:b/>
          <w:bCs/>
        </w:rPr>
        <w:t xml:space="preserve">1st</w:t>
      </w:r>
      <w:r>
        <w:t xml:space="preserve"> </w:t>
      </w:r>
      <w:r>
        <w:t xml:space="preserve">of each month (in full). The FCB checking account (PROD-004) shows mid-month ACH debits to</w:t>
      </w:r>
      <w:r>
        <w:t xml:space="preserve"> </w:t>
      </w:r>
      <w:r>
        <w:t xml:space="preserve">“</w:t>
      </w:r>
      <w:r>
        <w:t xml:space="preserve">Fairview Community Bank Visa</w:t>
      </w:r>
      <w:r>
        <w:t xml:space="preserve">”</w:t>
      </w:r>
      <w:r>
        <w:t xml:space="preserve"> </w:t>
      </w:r>
      <w:r>
        <w:t xml:space="preserve">of $1,450 (Mar), $2,230 (Apr), $3,875 (May), $4,120 (Jun), $5,480 (Jul) —</w:t>
      </w:r>
      <w:r>
        <w:t xml:space="preserve"> </w:t>
      </w:r>
      <w:r>
        <w:rPr>
          <w:b/>
          <w:bCs/>
        </w:rPr>
        <w:t xml:space="preserve">amounts and dates that do not correspond</w:t>
      </w:r>
      <w:r>
        <w:t xml:space="preserve"> </w:t>
      </w:r>
      <w:r>
        <w:t xml:space="preserve">to the payments shown on the card statements. This suggests the card is funded from an</w:t>
      </w:r>
      <w:r>
        <w:t xml:space="preserve"> </w:t>
      </w:r>
      <w:r>
        <w:rPr>
          <w:b/>
          <w:bCs/>
        </w:rPr>
        <w:t xml:space="preserve">unproduced account</w:t>
      </w:r>
      <w:r>
        <w:t xml:space="preserve"> </w:t>
      </w:r>
      <w:r>
        <w:t xml:space="preserve">(e.g., the joint checking 4821) or that a second card exists.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Lifestyle spending inconsistent with declared expenses.</w:t>
      </w:r>
      <w:r>
        <w:t xml:space="preserve"> </w:t>
      </w:r>
      <w:r>
        <w:t xml:space="preserve">The card reflects spending far exceeding the Declaration’s expense categories, including: Monarch Fine Clothiers ($1,420–$2,340/mo vs. declared $200 clothing); Aura Salon &amp; Spa ($295–$485/mo vs. declared $100 personal care);</w:t>
      </w:r>
      <w:r>
        <w:t xml:space="preserve"> </w:t>
      </w:r>
      <w:r>
        <w:rPr>
          <w:b/>
          <w:bCs/>
        </w:rPr>
        <w:t xml:space="preserve">Fairview Country Club dues $425/mo (not disclosed at all)</w:t>
      </w:r>
      <w:r>
        <w:t xml:space="preserve">; multiple high-end restaurants;</w:t>
      </w:r>
      <w:r>
        <w:t xml:space="preserve"> </w:t>
      </w:r>
      <w:r>
        <w:rPr>
          <w:b/>
          <w:bCs/>
        </w:rPr>
        <w:t xml:space="preserve">Sapphire Sky Travel $6,200 (7/8/2024)</w:t>
      </w:r>
      <w:r>
        <w:t xml:space="preserve">; Harbor Point Luxury Furnishings ($2,280 + $956); Pinnacle Electronics $2,149.50.</w:t>
      </w:r>
    </w:p>
    <w:bookmarkEnd w:id="36"/>
    <w:bookmarkStart w:id="37" w:name="g.-missing-account-productions"/>
    <w:p>
      <w:pPr>
        <w:pStyle w:val="Heading3"/>
      </w:pPr>
      <w:r>
        <w:t xml:space="preserve">G. Missing Account Productions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Joint accounts (FCB 4821/4822).</w:t>
      </w:r>
      <w:r>
        <w:t xml:space="preserve"> </w:t>
      </w:r>
      <w:r>
        <w:t xml:space="preserve">Declared at $12,340 and $28,750 respectively, but</w:t>
      </w:r>
      <w:r>
        <w:t xml:space="preserve"> </w:t>
      </w:r>
      <w:r>
        <w:rPr>
          <w:b/>
          <w:bCs/>
        </w:rPr>
        <w:t xml:space="preserve">no statements produced</w:t>
      </w:r>
      <w:r>
        <w:t xml:space="preserve">. The cover-letter objection to</w:t>
      </w:r>
      <w:r>
        <w:t xml:space="preserve"> </w:t>
      </w:r>
      <w:r>
        <w:t xml:space="preserve">“</w:t>
      </w:r>
      <w:r>
        <w:t xml:space="preserve">accounts held solely by Petitioner</w:t>
      </w:r>
      <w:r>
        <w:t xml:space="preserve">”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justify withholding</w:t>
      </w:r>
      <w:r>
        <w:t xml:space="preserve"> </w:t>
      </w:r>
      <w:r>
        <w:rPr>
          <w:b/>
          <w:bCs/>
        </w:rPr>
        <w:t xml:space="preserve">joint</w:t>
      </w:r>
      <w:r>
        <w:t xml:space="preserve"> </w:t>
      </w:r>
      <w:r>
        <w:t xml:space="preserve">accounts, to which Respondent is a signatory. These are also the likely source of the credit-card payments and the $3,500/mo voluntary contribution (see §IV.J).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401(k) — Pinnacle Retirement (3310).</w:t>
      </w:r>
      <w:r>
        <w:t xml:space="preserve"> </w:t>
      </w:r>
      <w:r>
        <w:t xml:space="preserve">Declared at</w:t>
      </w:r>
      <w:r>
        <w:t xml:space="preserve"> </w:t>
      </w:r>
      <w:r>
        <w:rPr>
          <w:b/>
          <w:bCs/>
        </w:rPr>
        <w:t xml:space="preserve">$412,800</w:t>
      </w:r>
      <w:r>
        <w:t xml:space="preserve"> </w:t>
      </w:r>
      <w:r>
        <w:t xml:space="preserve">— the single largest account — yet</w:t>
      </w:r>
      <w:r>
        <w:t xml:space="preserve"> </w:t>
      </w:r>
      <w:r>
        <w:rPr>
          <w:b/>
          <w:bCs/>
        </w:rPr>
        <w:t xml:space="preserve">no statements produced</w:t>
      </w:r>
      <w:r>
        <w:t xml:space="preserve">. No retirement-account statements of any kind were produced.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Harborstone Financial Group (acct. 2291).</w:t>
      </w:r>
      <w:r>
        <w:t xml:space="preserve"> </w:t>
      </w:r>
      <w:r>
        <w:t xml:space="preserve">Recipient of the $85,000 wire; not disclosed or produced (see §IV.D).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Funding source for credit-card payments.</w:t>
      </w:r>
      <w:r>
        <w:t xml:space="preserve"> </w:t>
      </w:r>
      <w:r>
        <w:t xml:space="preserve">Unidentified (see §IV.F).</w:t>
      </w:r>
    </w:p>
    <w:bookmarkEnd w:id="37"/>
    <w:bookmarkStart w:id="38" w:name="X29e922744f167b48f8b11338d88a3d2ce2123b6"/>
    <w:p>
      <w:pPr>
        <w:pStyle w:val="Heading3"/>
      </w:pPr>
      <w:r>
        <w:t xml:space="preserve">H. Payroll and 401(k) Reconciliation 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Payroll deposits do not reconcile to declared salary.</w:t>
      </w:r>
      <w:r>
        <w:t xml:space="preserve"> </w:t>
      </w:r>
      <w:r>
        <w:t xml:space="preserve">FCB checking shows semi-monthly direct deposits from NovaBridge payroll of</w:t>
      </w:r>
      <w:r>
        <w:t xml:space="preserve"> </w:t>
      </w:r>
      <w:r>
        <w:rPr>
          <w:b/>
          <w:bCs/>
        </w:rPr>
        <w:t xml:space="preserve">$7,115.38</w:t>
      </w:r>
      <w:r>
        <w:t xml:space="preserve"> </w:t>
      </w:r>
      <w:r>
        <w:t xml:space="preserve">(twice monthly, ~1st and 15th). Annualized over 24 pay periods, this equals</w:t>
      </w:r>
      <w:r>
        <w:t xml:space="preserve"> </w:t>
      </w:r>
      <w:r>
        <w:rPr>
          <w:b/>
          <w:bCs/>
        </w:rPr>
        <w:t xml:space="preserve">$170,769.12</w:t>
      </w:r>
      <w:r>
        <w:t xml:space="preserve">, which is</w:t>
      </w:r>
      <w:r>
        <w:t xml:space="preserve"> </w:t>
      </w:r>
      <w:r>
        <w:rPr>
          <w:b/>
          <w:bCs/>
        </w:rPr>
        <w:t xml:space="preserve">$14,230.88 less</w:t>
      </w:r>
      <w:r>
        <w:t xml:space="preserve"> </w:t>
      </w:r>
      <w:r>
        <w:t xml:space="preserve">than the declared/W-2 salary of $185,000. The Declaration (¶14) describes pay as</w:t>
      </w:r>
      <w:r>
        <w:t xml:space="preserve"> </w:t>
      </w:r>
      <w:r>
        <w:t xml:space="preserve">“</w:t>
      </w:r>
      <w:r>
        <w:t xml:space="preserve">bi-monthly.</w:t>
      </w:r>
      <w:r>
        <w:t xml:space="preserve">”</w:t>
      </w:r>
      <w:r>
        <w:t xml:space="preserve"> </w:t>
      </w:r>
      <w:r>
        <w:t xml:space="preserve">Pay stubs are required to reconcile gross wages, tax withholding, 401(k) deferrals, and net pay.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401(k) funded by separate ACH — unusual.</w:t>
      </w:r>
      <w:r>
        <w:t xml:space="preserve"> </w:t>
      </w:r>
      <w:r>
        <w:t xml:space="preserve">The checking account shows monthly ACH debits to</w:t>
      </w:r>
      <w:r>
        <w:t xml:space="preserve"> </w:t>
      </w:r>
      <w:r>
        <w:t xml:space="preserve">“</w:t>
      </w:r>
      <w:r>
        <w:t xml:space="preserve">Pinnacle Retirement Services 401(k)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$1,437.50</w:t>
      </w:r>
      <w:r>
        <w:t xml:space="preserve"> </w:t>
      </w:r>
      <w:r>
        <w:t xml:space="preserve">(Mar–Jul 2024), plus a</w:t>
      </w:r>
      <w:r>
        <w:t xml:space="preserve"> </w:t>
      </w:r>
      <w:r>
        <w:rPr>
          <w:b/>
          <w:bCs/>
        </w:rPr>
        <w:t xml:space="preserve">$14,644.60 lump-sum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Early Month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debit on 8/1/2024</w:t>
      </w:r>
      <w:r>
        <w:t xml:space="preserve">. 401(k) contributions are ordinarily a payroll deduction, not a separate checking debit; $1,437.50 × 12 = $17,250, which does not match the 2023 W-2 elective deferral of $22,500. The large 8/1/2024 lump sum, occurring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declared separation, requires explanation and 401(k) statements.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Auto-loan payment not evidenced.</w:t>
      </w:r>
      <w:r>
        <w:t xml:space="preserve"> </w:t>
      </w:r>
      <w:r>
        <w:t xml:space="preserve">Declaration ¶45 states a $425/mo auto-loan payment to FCB Auto Finance;</w:t>
      </w:r>
      <w:r>
        <w:t xml:space="preserve"> </w:t>
      </w:r>
      <w:r>
        <w:rPr>
          <w:b/>
          <w:bCs/>
        </w:rPr>
        <w:t xml:space="preserve">no such debit appears</w:t>
      </w:r>
      <w:r>
        <w:t xml:space="preserve"> </w:t>
      </w:r>
      <w:r>
        <w:t xml:space="preserve">in the produced individual checking statements. The funding account is unidentified.</w:t>
      </w:r>
    </w:p>
    <w:bookmarkEnd w:id="38"/>
    <w:bookmarkStart w:id="39" w:name="Xad5c74d7a2ddfd300c767f1af18dffc76f05fed"/>
    <w:p>
      <w:pPr>
        <w:pStyle w:val="Heading3"/>
      </w:pPr>
      <w:r>
        <w:t xml:space="preserve">I. NovaBridge Expense Reimbursements — Self-Approval and Possible Commingling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Self-approval without oversight.</w:t>
      </w:r>
      <w:r>
        <w:t xml:space="preserve"> </w:t>
      </w:r>
      <w:r>
        <w:t xml:space="preserve">PROD-007 repeatedly invokes</w:t>
      </w:r>
      <w:r>
        <w:t xml:space="preserve"> </w:t>
      </w:r>
      <w:r>
        <w:rPr>
          <w:b/>
          <w:bCs/>
        </w:rPr>
        <w:t xml:space="preserve">Operating Agreement §5.3</w:t>
      </w:r>
      <w:r>
        <w:t xml:space="preserve">, under which a majority (≥60%) member-manager may approve his own expense reimbursements</w:t>
      </w:r>
      <w:r>
        <w:t xml:space="preserve"> </w:t>
      </w:r>
      <w:r>
        <w:t xml:space="preserve">“</w:t>
      </w:r>
      <w:r>
        <w:t xml:space="preserve">without requirement of separate board or member approval.</w:t>
      </w:r>
      <w:r>
        <w:t xml:space="preserve">”</w:t>
      </w:r>
      <w:r>
        <w:t xml:space="preserve"> </w:t>
      </w:r>
      <w:r>
        <w:t xml:space="preserve">Darren Kwan (60%) thus</w:t>
      </w:r>
      <w:r>
        <w:t xml:space="preserve"> </w:t>
      </w:r>
      <w:r>
        <w:rPr>
          <w:b/>
          <w:bCs/>
        </w:rPr>
        <w:t xml:space="preserve">self-approves</w:t>
      </w:r>
      <w:r>
        <w:t xml:space="preserve"> </w:t>
      </w:r>
      <w:r>
        <w:t xml:space="preserve">his own reimbursements, and co-member Jared Ostrowski’s review is marked</w:t>
      </w:r>
      <w:r>
        <w:t xml:space="preserve"> </w:t>
      </w:r>
      <w:r>
        <w:t xml:space="preserve">“</w:t>
      </w:r>
      <w:r>
        <w:t xml:space="preserve">N/A.</w:t>
      </w:r>
      <w:r>
        <w:t xml:space="preserve">”</w:t>
      </w:r>
      <w:r>
        <w:t xml:space="preserve"> </w:t>
      </w:r>
      <w:r>
        <w:t xml:space="preserve">This is a significant internal-control weakness relevant to business valuation and to whether reimbursements are, in substance, additional compensation or distributions. The Operating Agreement itself has</w:t>
      </w:r>
      <w:r>
        <w:t xml:space="preserve"> </w:t>
      </w:r>
      <w:r>
        <w:rPr>
          <w:b/>
          <w:bCs/>
        </w:rPr>
        <w:t xml:space="preserve">not been produced</w:t>
      </w:r>
      <w:r>
        <w:t xml:space="preserve"> </w:t>
      </w:r>
      <w:r>
        <w:t xml:space="preserve">(Request Nos. 16–22 outstanding).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Possible duplicate/double payment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personal devices.</w:t>
      </w:r>
      <w:r>
        <w:rPr>
          <w:b/>
          <w:bCs/>
        </w:rP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5/17/2024</w:t>
      </w:r>
      <w:r>
        <w:t xml:space="preserve">, the personal credit card (PROD-006) shows</w:t>
      </w:r>
      <w:r>
        <w:t xml:space="preserve"> </w:t>
      </w:r>
      <w:r>
        <w:rPr>
          <w:b/>
          <w:bCs/>
        </w:rPr>
        <w:t xml:space="preserve">Pinnacle Electronics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Personal Devices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— $2,149.50</w:t>
      </w:r>
      <w:r>
        <w:t xml:space="preserve">, while the expense report (PROD-007) shows</w:t>
      </w:r>
      <w:r>
        <w:t xml:space="preserve"> </w:t>
      </w:r>
      <w:r>
        <w:rPr>
          <w:b/>
          <w:bCs/>
        </w:rPr>
        <w:t xml:space="preserve">TechVault Solutions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Technology Equipment — Personal Devices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— $2,150.00</w:t>
      </w:r>
      <w:r>
        <w:t xml:space="preserve"> </w:t>
      </w:r>
      <w:r>
        <w:t xml:space="preserve">on the same date. Same date, near-identical amount, identical</w:t>
      </w:r>
      <w:r>
        <w:t xml:space="preserve"> </w:t>
      </w:r>
      <w:r>
        <w:t xml:space="preserve">“</w:t>
      </w:r>
      <w:r>
        <w:t xml:space="preserve">personal devices</w:t>
      </w:r>
      <w:r>
        <w:t xml:space="preserve">”</w:t>
      </w:r>
      <w:r>
        <w:t xml:space="preserve"> </w:t>
      </w:r>
      <w:r>
        <w:t xml:space="preserve">description, different vendor. This warrants receipt production to determine whether the same purchase was both charged personally and reimbursed by the company.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Sapphire Sky Travel — business and personal.</w:t>
      </w:r>
      <w:r>
        <w:t xml:space="preserve"> </w:t>
      </w:r>
      <w:r>
        <w:t xml:space="preserve">Sapphire Sky Travel appears both as a</w:t>
      </w:r>
      <w:r>
        <w:t xml:space="preserve"> </w:t>
      </w:r>
      <w:r>
        <w:rPr>
          <w:b/>
          <w:bCs/>
        </w:rPr>
        <w:t xml:space="preserve">business expense reimbursement of $3,400</w:t>
      </w:r>
      <w:r>
        <w:t xml:space="preserve"> </w:t>
      </w:r>
      <w:r>
        <w:t xml:space="preserve">(PROD-007, 4/3/2024,</w:t>
      </w:r>
      <w:r>
        <w:t xml:space="preserve"> </w:t>
      </w:r>
      <w:r>
        <w:t xml:space="preserve">“</w:t>
      </w:r>
      <w:r>
        <w:t xml:space="preserve">client appreciation event planning,</w:t>
      </w:r>
      <w:r>
        <w:t xml:space="preserve">”</w:t>
      </w:r>
      <w:r>
        <w:t xml:space="preserve"> </w:t>
      </w:r>
      <w:r>
        <w:t xml:space="preserve">reimbursed via the 4/10/2024 $3,400 deposit)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$6,200 personal credit-card charge</w:t>
      </w:r>
      <w:r>
        <w:t xml:space="preserve"> </w:t>
      </w:r>
      <w:r>
        <w:t xml:space="preserve">(PROD-006, 7/8/2024). Same vendor in both business and personal channels — scrutinize for commingling or double reimbursement.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Q2 reimbursement not traced to checking.</w:t>
      </w:r>
      <w:r>
        <w:t xml:space="preserve"> </w:t>
      </w:r>
      <w:r>
        <w:t xml:space="preserve">The Q2 reimbursement of $9,289 was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7/3/2024, yet</w:t>
      </w:r>
      <w:r>
        <w:t xml:space="preserve"> </w:t>
      </w:r>
      <w:r>
        <w:rPr>
          <w:b/>
          <w:bCs/>
        </w:rPr>
        <w:t xml:space="preserve">no corresponding deposit appears</w:t>
      </w:r>
      <w:r>
        <w:t xml:space="preserve"> </w:t>
      </w:r>
      <w:r>
        <w:t xml:space="preserve">in the individual checking account in July 2024 (July deposits were only payroll and rent). The May 20, 2024 $2,150 reimbursement deposit likewise does not cleanly match either quarterly total. The deposit destination(s) for reimbursements must be traced.</w:t>
      </w:r>
    </w:p>
    <w:bookmarkEnd w:id="39"/>
    <w:bookmarkStart w:id="40" w:name="X6752be72b79726f5ac924974c45dccb14240838"/>
    <w:p>
      <w:pPr>
        <w:pStyle w:val="Heading3"/>
      </w:pPr>
      <w:r>
        <w:t xml:space="preserve">J. Expense Declaration Understates Actual Outflows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Elm Street mortgage ($1,680/mo) omitted</w:t>
      </w:r>
      <w:r>
        <w:t xml:space="preserve"> </w:t>
      </w:r>
      <w:r>
        <w:t xml:space="preserve">from the expense schedule entirely, although it is paid by ACH from the individual checking account (PROD-004, every month).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 insurance understated.</w:t>
      </w:r>
      <w:r>
        <w:t xml:space="preserve"> </w:t>
      </w:r>
      <w:r>
        <w:t xml:space="preserve">Declaration lists $210/mo; FCB checking shows</w:t>
      </w:r>
      <w:r>
        <w:t xml:space="preserve"> </w:t>
      </w:r>
      <w:r>
        <w:rPr>
          <w:b/>
          <w:bCs/>
        </w:rPr>
        <w:t xml:space="preserve">Progressive Auto Insurance $312/mo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$3,500/mo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voluntary contribution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not corroborated.</w:t>
      </w:r>
      <w:r>
        <w:t xml:space="preserve"> </w:t>
      </w:r>
      <w:r>
        <w:t xml:space="preserve">Declaration ¶51 asserts $3,500/mo paid</w:t>
      </w:r>
      <w:r>
        <w:t xml:space="preserve"> </w:t>
      </w:r>
      <w:r>
        <w:t xml:space="preserve">“</w:t>
      </w:r>
      <w:r>
        <w:t xml:space="preserve">directly to Petitioner or to the mortgage servicer.</w:t>
      </w:r>
      <w:r>
        <w:t xml:space="preserve">”</w:t>
      </w:r>
      <w:r>
        <w:t xml:space="preserve"> </w:t>
      </w:r>
      <w:r>
        <w:t xml:space="preserve">The produced individual checking shows</w:t>
      </w:r>
      <w:r>
        <w:t xml:space="preserve"> </w:t>
      </w:r>
      <w:r>
        <w:rPr>
          <w:b/>
          <w:bCs/>
        </w:rPr>
        <w:t xml:space="preserve">no $3,500 transfer to Petitioner</w:t>
      </w:r>
      <w:r>
        <w:t xml:space="preserve">; it shows only the $1,842 Birchwood mortgage ACH and the $1,680 Elm Street ACH (total $3,522 to Meridian). If Respondent is characterizing the Elm Street mortgage as part of his</w:t>
      </w:r>
      <w:r>
        <w:t xml:space="preserve"> </w:t>
      </w:r>
      <w:r>
        <w:t xml:space="preserve">“</w:t>
      </w:r>
      <w:r>
        <w:t xml:space="preserve">voluntary contribution to the marital household,</w:t>
      </w:r>
      <w:r>
        <w:t xml:space="preserve">”</w:t>
      </w:r>
      <w:r>
        <w:t xml:space="preserve"> </w:t>
      </w:r>
      <w:r>
        <w:t xml:space="preserve">that characterization is misleading. The joint account statements (not produced) likely hold the answer.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Country club, luxury spending omitted.</w:t>
      </w:r>
      <w:r>
        <w:t xml:space="preserve"> </w:t>
      </w:r>
      <w:r>
        <w:t xml:space="preserve">See §IV.F.16. Declared dining/entertainment $600/mo and clothing $200/mo are a fraction of actual card spending.</w:t>
      </w:r>
    </w:p>
    <w:bookmarkEnd w:id="40"/>
    <w:bookmarkStart w:id="41" w:name="k.-date-of-separation-inconsistency"/>
    <w:p>
      <w:pPr>
        <w:pStyle w:val="Heading3"/>
      </w:pPr>
      <w:r>
        <w:t xml:space="preserve">K. Date-of-Separation Inconsistency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June 1, 2024 vs. August 1, 2024.</w:t>
      </w:r>
      <w:r>
        <w:t xml:space="preserve"> </w:t>
      </w:r>
      <w:r>
        <w:t xml:space="preserve">The Declaration (¶¶5, 56) fixes separation at</w:t>
      </w:r>
      <w:r>
        <w:t xml:space="preserve"> </w:t>
      </w:r>
      <w:r>
        <w:rPr>
          <w:b/>
          <w:bCs/>
        </w:rPr>
        <w:t xml:space="preserve">on or about June 1, 2024</w:t>
      </w:r>
      <w:r>
        <w:t xml:space="preserve">. The privilege log (PRIV-001, PRIV-002) repeatedly references</w:t>
      </w:r>
      <w:r>
        <w:t xml:space="preserve"> </w:t>
      </w:r>
      <w:r>
        <w:t xml:space="preserve">“</w:t>
      </w:r>
      <w:r>
        <w:t xml:space="preserve">the parties’ separation on</w:t>
      </w:r>
      <w:r>
        <w:t xml:space="preserve"> </w:t>
      </w:r>
      <w:r>
        <w:rPr>
          <w:b/>
          <w:bCs/>
        </w:rPr>
        <w:t xml:space="preserve">August 1, 2024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post-separation August 1, 2024.</w:t>
      </w:r>
      <w:r>
        <w:t xml:space="preserve">”</w:t>
      </w:r>
      <w:r>
        <w:t xml:space="preserve"> </w:t>
      </w:r>
      <w:r>
        <w:t xml:space="preserve">This two-month gap is material: it determines the characterization date for the $85,000 wire (§IV.D), the valuation date for the estate (§IV.C), and the accrual of post-separation income/expenses. The true separation date must be pinned down.</w:t>
      </w:r>
    </w:p>
    <w:bookmarkEnd w:id="41"/>
    <w:bookmarkStart w:id="42" w:name="X05612057c82304188c516c087df815455b934ff"/>
    <w:p>
      <w:pPr>
        <w:pStyle w:val="Heading3"/>
      </w:pPr>
      <w:r>
        <w:t xml:space="preserve">L. Filing-Date and Production-Hygiene Inconsistencies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Filing date.</w:t>
      </w:r>
      <w:r>
        <w:t xml:space="preserve"> </w:t>
      </w:r>
      <w:r>
        <w:t xml:space="preserve">The Declaration states</w:t>
      </w:r>
      <w:r>
        <w:t xml:space="preserve"> </w:t>
      </w:r>
      <w:r>
        <w:t xml:space="preserve">“</w:t>
      </w:r>
      <w:r>
        <w:t xml:space="preserve">Filed: September 20, 2024</w:t>
      </w:r>
      <w:r>
        <w:t xml:space="preserve">”</w:t>
      </w:r>
      <w:r>
        <w:t xml:space="preserve"> </w:t>
      </w:r>
      <w:r>
        <w:t xml:space="preserve">(and is signed/notarized/served 9/20/2024); the cover letter describes it as</w:t>
      </w:r>
      <w:r>
        <w:t xml:space="preserve"> </w:t>
      </w:r>
      <w:r>
        <w:t xml:space="preserve">“</w:t>
      </w:r>
      <w:r>
        <w:t xml:space="preserve">filed with the Court on or about</w:t>
      </w:r>
      <w:r>
        <w:t xml:space="preserve"> </w:t>
      </w:r>
      <w:r>
        <w:rPr>
          <w:b/>
          <w:bCs/>
        </w:rPr>
        <w:t xml:space="preserve">October 4, 2024</w:t>
      </w:r>
      <w:r>
        <w:t xml:space="preserve">.</w:t>
      </w:r>
      <w:r>
        <w:t xml:space="preserve">”</w:t>
      </w:r>
      <w:r>
        <w:t xml:space="preserve"> </w:t>
      </w:r>
      <w:r>
        <w:t xml:space="preserve">Reconcile.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Case caption/number error in PROD-004.</w:t>
      </w:r>
      <w:r>
        <w:t xml:space="preserve"> </w:t>
      </w:r>
      <w:r>
        <w:t xml:space="preserve">The FCB statement footer reads</w:t>
      </w:r>
      <w:r>
        <w:t xml:space="preserve"> </w:t>
      </w:r>
      <w:r>
        <w:t xml:space="preserve">“</w:t>
      </w:r>
      <w:r>
        <w:rPr>
          <w:i/>
          <w:iCs/>
        </w:rPr>
        <w:t xml:space="preserve">In re Marriage of Kwan</w:t>
      </w:r>
      <w:r>
        <w:t xml:space="preserve">, Case No. </w:t>
      </w:r>
      <w:r>
        <w:rPr>
          <w:b/>
          <w:bCs/>
        </w:rPr>
        <w:t xml:space="preserve">2024-DR-00847</w:t>
      </w:r>
      <w:r>
        <w:t xml:space="preserve">, Circuit Court of Columbia, Fairview County</w:t>
      </w:r>
      <w:r>
        <w:t xml:space="preserve">”</w:t>
      </w:r>
      <w:r>
        <w:t xml:space="preserve"> </w:t>
      </w:r>
      <w:r>
        <w:t xml:space="preserve">— differing from the correct caption (</w:t>
      </w:r>
      <w:r>
        <w:rPr>
          <w:i/>
          <w:iCs/>
        </w:rPr>
        <w:t xml:space="preserve">Torres-Kwan v. Kwan</w:t>
      </w:r>
      <w:r>
        <w:t xml:space="preserve">) and number (</w:t>
      </w:r>
      <w:r>
        <w:rPr>
          <w:b/>
          <w:bCs/>
        </w:rPr>
        <w:t xml:space="preserve">2024-DR-01847</w:t>
      </w:r>
      <w:r>
        <w:t xml:space="preserve">) used in all other productions, with the court-name components transposed. Likely a clerical stamping error, but confirm provenance.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Inconsistent Bates formats.</w:t>
      </w:r>
      <w:r>
        <w:t xml:space="preserve"> </w:t>
      </w:r>
      <w:r>
        <w:t xml:space="preserve">PROD-002 uses</w:t>
      </w:r>
      <w:r>
        <w:t xml:space="preserve"> </w:t>
      </w:r>
      <w:r>
        <w:t xml:space="preserve">“</w:t>
      </w:r>
      <w:r>
        <w:t xml:space="preserve">DK-PROD-####</w:t>
      </w:r>
      <w:r>
        <w:t xml:space="preserve">”</w:t>
      </w:r>
      <w:r>
        <w:t xml:space="preserve">; PROD-003/004/007 use</w:t>
      </w:r>
      <w:r>
        <w:t xml:space="preserve"> </w:t>
      </w:r>
      <w:r>
        <w:t xml:space="preserve">“</w:t>
      </w:r>
      <w:r>
        <w:t xml:space="preserve">KWAN_PROD_####</w:t>
      </w:r>
      <w:r>
        <w:t xml:space="preserve">”</w:t>
      </w:r>
      <w:r>
        <w:t xml:space="preserve">; PROD-005 and PROD-006 state</w:t>
      </w:r>
      <w:r>
        <w:t xml:space="preserve"> </w:t>
      </w:r>
      <w:r>
        <w:rPr>
          <w:b/>
          <w:bCs/>
        </w:rPr>
        <w:t xml:space="preserve">no Bates range</w:t>
      </w:r>
      <w:r>
        <w:t xml:space="preserve">. The credit-card production (PROD-006) lacks any Bates stamping. Confirm a complete, consecutive Bates sequence across the entire production.</w:t>
      </w:r>
    </w:p>
    <w:bookmarkEnd w:id="42"/>
    <w:bookmarkStart w:id="43" w:name="m.-brokerage-tax-id-discrepancy"/>
    <w:p>
      <w:pPr>
        <w:pStyle w:val="Heading3"/>
      </w:pPr>
      <w:r>
        <w:t xml:space="preserve">M. Brokerage Tax-ID Discrepancy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TIN mismatch.</w:t>
      </w:r>
      <w:r>
        <w:t xml:space="preserve"> </w:t>
      </w:r>
      <w:r>
        <w:t xml:space="preserve">The Crestline statements (PROD-003) list the account Tax ID as</w:t>
      </w:r>
      <w:r>
        <w:t xml:space="preserve"> </w:t>
      </w:r>
      <w:r>
        <w:rPr>
          <w:b/>
          <w:bCs/>
        </w:rPr>
        <w:t xml:space="preserve">●●●-●●-8341</w:t>
      </w:r>
      <w:r>
        <w:t xml:space="preserve">. Respondent’s SSN per the tax return (PROD-002) is</w:t>
      </w:r>
      <w:r>
        <w:t xml:space="preserve"> </w:t>
      </w:r>
      <w:r>
        <w:rPr>
          <w:b/>
          <w:bCs/>
        </w:rPr>
        <w:t xml:space="preserve">XXX-XX-4718</w:t>
      </w:r>
      <w:r>
        <w:t xml:space="preserve">; the suffix</w:t>
      </w:r>
      <w:r>
        <w:t xml:space="preserve"> </w:t>
      </w:r>
      <w:r>
        <w:t xml:space="preserve">“</w:t>
      </w:r>
      <w:r>
        <w:t xml:space="preserve">8341</w:t>
      </w:r>
      <w:r>
        <w:t xml:space="preserve">”</w:t>
      </w:r>
      <w:r>
        <w:t xml:space="preserve"> </w:t>
      </w:r>
      <w:r>
        <w:t xml:space="preserve">instead matches the SSN of dependent</w:t>
      </w:r>
      <w:r>
        <w:t xml:space="preserve"> </w:t>
      </w:r>
      <w:r>
        <w:rPr>
          <w:b/>
          <w:bCs/>
        </w:rPr>
        <w:t xml:space="preserve">Ethan Kwan</w:t>
      </w:r>
      <w:r>
        <w:t xml:space="preserve"> </w:t>
      </w:r>
      <w:r>
        <w:t xml:space="preserve">(XXX-XX-8341). This may be a statement/redaction artifact, but it should be verified with Crestline, as a misregistered TIN could bear on account ownership or titling.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v.-recommended-follow-up-discovery"/>
    <w:p>
      <w:pPr>
        <w:pStyle w:val="Heading2"/>
      </w:pPr>
      <w:r>
        <w:t xml:space="preserve">V. Recommended Follow-Up Discovery</w:t>
      </w:r>
    </w:p>
    <w:bookmarkStart w:id="45" w:name="Xa85410e8ede551d6b4fd23932badc6ebb58b904"/>
    <w:p>
      <w:pPr>
        <w:pStyle w:val="Heading3"/>
      </w:pPr>
      <w:r>
        <w:t xml:space="preserve">A. Immediate Document Requests / Meet-and-Confer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Joint account statements (FCB 4821 &amp; 4822)</w:t>
      </w:r>
      <w:r>
        <w:t xml:space="preserve"> </w:t>
      </w:r>
      <w:r>
        <w:t xml:space="preserve">— at minimum 36 months preceding separation through present. These are joint accounts; the objection to</w:t>
      </w:r>
      <w:r>
        <w:t xml:space="preserve"> </w:t>
      </w:r>
      <w:r>
        <w:t xml:space="preserve">“</w:t>
      </w:r>
      <w:r>
        <w:t xml:space="preserve">Petitioner-only</w:t>
      </w:r>
      <w:r>
        <w:t xml:space="preserve">”</w:t>
      </w:r>
      <w:r>
        <w:t xml:space="preserve"> </w:t>
      </w:r>
      <w:r>
        <w:t xml:space="preserve">accounts does not apply. Likely source of credit-card payments and the $3,500/mo contribution.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401(k) statements (Pinnacle Retirement, acct. 3310)</w:t>
      </w:r>
      <w:r>
        <w:t xml:space="preserve"> </w:t>
      </w:r>
      <w:r>
        <w:t xml:space="preserve">— 36 months through present, plus</w:t>
      </w:r>
      <w:r>
        <w:t xml:space="preserve"> </w:t>
      </w:r>
      <w:r>
        <w:rPr>
          <w:b/>
          <w:bCs/>
        </w:rPr>
        <w:t xml:space="preserve">pay stubs</w:t>
      </w:r>
      <w:r>
        <w:t xml:space="preserve"> </w:t>
      </w:r>
      <w:r>
        <w:t xml:space="preserve">(YTD 2024 and full-year 2023) to reconcile gross wages, withholding, 401(k) deferrals, and net pay against the $7,115.38 deposits.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 credit-card accounts</w:t>
      </w:r>
      <w:r>
        <w:t xml:space="preserve"> </w:t>
      </w:r>
      <w:r>
        <w:t xml:space="preserve">— including any</w:t>
      </w:r>
      <w:r>
        <w:t xml:space="preserve"> </w:t>
      </w:r>
      <w:r>
        <w:rPr>
          <w:b/>
          <w:bCs/>
        </w:rPr>
        <w:t xml:space="preserve">First National Card Services</w:t>
      </w:r>
      <w:r>
        <w:t xml:space="preserve"> </w:t>
      </w:r>
      <w:r>
        <w:t xml:space="preserve">account referenced in the Declaration, plus the funding account for the FCB Visa 8316 payments. Reconcile the mid-month checking ACH debits to the statement payments.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Birchwood Lane (418 Birchwood) mortgage statements</w:t>
      </w:r>
      <w:r>
        <w:t xml:space="preserve"> </w:t>
      </w:r>
      <w:r>
        <w:t xml:space="preserve">from Meridian — the Declaration relies on a $218,400 balance and $1,842 PITI, but no Birchwood mortgage statement was produced (PROD-005 covers only Elm Street).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Complete 2023 Form 1040</w:t>
      </w:r>
      <w:r>
        <w:t xml:space="preserve"> </w:t>
      </w:r>
      <w:r>
        <w:t xml:space="preserve">— all 47 pages, including Schedules A, B, D, SE, Form 8995, and all attachments referenced but not excerpted (DK-PROD-0058). Also</w:t>
      </w:r>
      <w:r>
        <w:t xml:space="preserve"> </w:t>
      </w:r>
      <w:r>
        <w:rPr>
          <w:b/>
          <w:bCs/>
        </w:rPr>
        <w:t xml:space="preserve">2021 and 2022</w:t>
      </w:r>
      <w:r>
        <w:t xml:space="preserve"> </w:t>
      </w:r>
      <w:r>
        <w:t xml:space="preserve">federal and state returns.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Formal privilege log</w:t>
      </w:r>
      <w:r>
        <w:t xml:space="preserve"> </w:t>
      </w:r>
      <w:r>
        <w:t xml:space="preserve">— hold Respondent to the 10-business-day deadline; scrutinize PRIV-003 (</w:t>
      </w:r>
      <w:r>
        <w:t xml:space="preserve">“</w:t>
      </w:r>
      <w:r>
        <w:t xml:space="preserve">Preliminary analysis of marital estate</w:t>
      </w:r>
      <w:r>
        <w:t xml:space="preserve">”</w:t>
      </w:r>
      <w:r>
        <w:t xml:space="preserve">) for work-product viability and the privilege assertions generally.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Supplementation of Request Nos. 16–22</w:t>
      </w:r>
      <w:r>
        <w:t xml:space="preserve"> </w:t>
      </w:r>
      <w:r>
        <w:t xml:space="preserve">— NovaBridge Operating Agreement (with §5.3), Form 1065 returns (2021–2023), financial statements, entity bank statements, member capital accounts, and prior-year K-1s.</w:t>
      </w:r>
    </w:p>
    <w:bookmarkEnd w:id="45"/>
    <w:bookmarkStart w:id="46" w:name="b.-third-party-subpoenas"/>
    <w:p>
      <w:pPr>
        <w:pStyle w:val="Heading3"/>
      </w:pPr>
      <w:r>
        <w:t xml:space="preserve">B. Third-Party Subpoenas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Harborstone Financial Group</w:t>
      </w:r>
      <w:r>
        <w:t xml:space="preserve"> </w:t>
      </w:r>
      <w:r>
        <w:t xml:space="preserve">— subpoena for</w:t>
      </w:r>
      <w:r>
        <w:t xml:space="preserve"> </w:t>
      </w:r>
      <w:r>
        <w:rPr>
          <w:b/>
          <w:bCs/>
        </w:rPr>
        <w:t xml:space="preserve">account ending 2291</w:t>
      </w:r>
      <w:r>
        <w:t xml:space="preserve"> </w:t>
      </w:r>
      <w:r>
        <w:t xml:space="preserve">and any other accounts in Respondent’s name or controlled by him: opening documents, signature cards, all statements 1/1/2024–present, and the incoming wire WT-2024-061524-0087. This is the highest-priority subpoena.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Crestline Wealth Advisors / Nathan Greer, CFP</w:t>
      </w:r>
      <w:r>
        <w:t xml:space="preserve"> </w:t>
      </w:r>
      <w:r>
        <w:t xml:space="preserve">— subpoena for account 9956: account-opening and titling documents,</w:t>
      </w:r>
      <w:r>
        <w:t xml:space="preserve"> </w:t>
      </w:r>
      <w:r>
        <w:rPr>
          <w:b/>
          <w:bCs/>
        </w:rPr>
        <w:t xml:space="preserve">TIN/registration verification</w:t>
      </w:r>
      <w:r>
        <w:t xml:space="preserve">, complete statement history (2022–present), all wire-transfer authorizations (including the recorded 6/15/2024 verbal authorization), and any correspondence regarding the $85,000 wire.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Fairview Community Bank</w:t>
      </w:r>
      <w:r>
        <w:t xml:space="preserve"> </w:t>
      </w:r>
      <w:r>
        <w:t xml:space="preserve">— subpoena for</w:t>
      </w:r>
      <w:r>
        <w:t xml:space="preserve"> </w:t>
      </w:r>
      <w:r>
        <w:rPr>
          <w:b/>
          <w:bCs/>
        </w:rPr>
        <w:t xml:space="preserve">all accounts</w:t>
      </w:r>
      <w:r>
        <w:t xml:space="preserve"> </w:t>
      </w:r>
      <w:r>
        <w:t xml:space="preserve">tied to Darren Kwan (individual, joint, auto-loan, and any second Visa), to capture accounts not produced and to identify the funding source for credit-card payments.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Pinnacle Retirement Services</w:t>
      </w:r>
      <w:r>
        <w:t xml:space="preserve"> </w:t>
      </w:r>
      <w:r>
        <w:t xml:space="preserve">— subpoena for 401(k) acct. 3310 (and confirm Petitioner’s 403(b) 5587): statements, contribution records, loan/withdrawal records, and beneficiary designations.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Meridian Home Lending</w:t>
      </w:r>
      <w:r>
        <w:t xml:space="preserve"> </w:t>
      </w:r>
      <w:r>
        <w:t xml:space="preserve">— subpoena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loan files (Birchwood 418 and Elm Street 1035): note, mortgage, payment history, escrow analysis, and current payoff.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Venmo / PayPal</w:t>
      </w:r>
      <w:r>
        <w:t xml:space="preserve"> </w:t>
      </w:r>
      <w:r>
        <w:t xml:space="preserve">— subpoena or preservation demand for Respondent’s Venmo account history to identify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 </w:t>
      </w:r>
      <w:r>
        <w:t xml:space="preserve">and the full universe of transfers.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NovaBridge Solutions LLC</w:t>
      </w:r>
      <w:r>
        <w:t xml:space="preserve"> </w:t>
      </w:r>
      <w:r>
        <w:t xml:space="preserve">— subpoena (serve on Ostrowski/registered agent) for entity-level records if Respondent’s</w:t>
      </w:r>
      <w:r>
        <w:t xml:space="preserve"> </w:t>
      </w:r>
      <w:r>
        <w:t xml:space="preserve">“</w:t>
      </w:r>
      <w:r>
        <w:t xml:space="preserve">coordination</w:t>
      </w:r>
      <w:r>
        <w:t xml:space="preserve">”</w:t>
      </w:r>
      <w:r>
        <w:t xml:space="preserve"> </w:t>
      </w:r>
      <w:r>
        <w:t xml:space="preserve">supplementation is not timely.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Archer &amp; Linden CPAs</w:t>
      </w:r>
      <w:r>
        <w:t xml:space="preserve"> </w:t>
      </w:r>
      <w:r>
        <w:t xml:space="preserve">— subpoena for the complete 2021–2023 tax workpapers and entity books, to the extent not privileged.</w:t>
      </w:r>
    </w:p>
    <w:bookmarkEnd w:id="46"/>
    <w:bookmarkStart w:id="47" w:name="c.-affirmative-investigation-records"/>
    <w:p>
      <w:pPr>
        <w:pStyle w:val="Heading3"/>
      </w:pPr>
      <w:r>
        <w:t xml:space="preserve">C. Affirmative Investigation / Records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Elm Street property (1035 Elm St., Unit C)</w:t>
      </w:r>
      <w:r>
        <w:t xml:space="preserve"> </w:t>
      </w:r>
      <w:r>
        <w:t xml:space="preserve">— obtain deed, title, purchase/closing file, current lease and tenant identity, rent ledger, and an appraisal. Confirm date/method of acquisition and whether marital funds were used.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Appraisals / valuations</w:t>
      </w:r>
      <w:r>
        <w:t xml:space="preserve"> </w:t>
      </w:r>
      <w:r>
        <w:t xml:space="preserve">— retain appraisers for (a) 418 Birchwood Lane, (b) 1035 Elm Street Unit C, and (c) a forensic/business valuation of Respondent’s 60% NovaBridge interest (consider a joint expert or Rule 26 disclosure).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Vehicle titles/loans</w:t>
      </w:r>
      <w:r>
        <w:t xml:space="preserve"> </w:t>
      </w:r>
      <w:r>
        <w:t xml:space="preserve">— obtain BMW X5 title and FCB Auto Finance loan history (and the account funding the $425/mo payment).</w:t>
      </w:r>
    </w:p>
    <w:bookmarkEnd w:id="47"/>
    <w:bookmarkStart w:id="48" w:name="d.-depositions"/>
    <w:p>
      <w:pPr>
        <w:pStyle w:val="Heading3"/>
      </w:pPr>
      <w:r>
        <w:t xml:space="preserve">D. Depositions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Depose Darren Kwan</w:t>
      </w:r>
      <w:r>
        <w:t xml:space="preserve"> </w:t>
      </w:r>
      <w:r>
        <w:t xml:space="preserve">on, at minimum: (i) the $85,000 Harborstone wire and the 2291 account; (ii)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 </w:t>
      </w:r>
      <w:r>
        <w:t xml:space="preserve">and the Venmo transfers; (iii) the Elm Street property and its omission; (iv) the K-1 distribution-vs.-income characterization; (v) the separation date (June 1 vs. August 1); (vi) the credit-card creditor discrepancy; (vii) self-approved NovaBridge reimbursements and the 5/17 and Sapphire Sky items; (viii) the 8/1/2024 $14,644.60 401(k) debit.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Depose Jared Ostrowski</w:t>
      </w:r>
      <w:r>
        <w:t xml:space="preserve"> </w:t>
      </w:r>
      <w:r>
        <w:t xml:space="preserve">(NovaBridge 40% member/CEO) on the Operating Agreement, §5.3 self-approval, entity finances, distributions, and Respondent’s compensation/reimbursements.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Consider Rule 30(b)(6) deposition of NovaBridge Solutions LLC</w:t>
      </w:r>
      <w:r>
        <w:t xml:space="preserve"> </w:t>
      </w:r>
      <w:r>
        <w:t xml:space="preserve">on entity-level financials, capital accounts, and the Operating Agreement.</w:t>
      </w:r>
    </w:p>
    <w:bookmarkEnd w:id="48"/>
    <w:bookmarkStart w:id="49" w:name="e.-procedural-strategic"/>
    <w:p>
      <w:pPr>
        <w:pStyle w:val="Heading3"/>
      </w:pPr>
      <w:r>
        <w:t xml:space="preserve">E. Procedural / Strategic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Meet-and-confer letter</w:t>
      </w:r>
      <w:r>
        <w:t xml:space="preserve"> </w:t>
      </w:r>
      <w:r>
        <w:t xml:space="preserve">itemizing the inconsistencies above and demanding supplementation/correction of the Financial Declaration, with a reservation of rights to move to compel and for sanctions if the omissions are not cured.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Consider an emergency motion / TRO</w:t>
      </w:r>
      <w:r>
        <w:t xml:space="preserve"> </w:t>
      </w:r>
      <w:r>
        <w:t xml:space="preserve">to restrain further dissipation and for an accounting of the $85,000 wire and the Harborstone 2291 account, given the proximity of the transfer to the separation date.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Preservation letter</w:t>
      </w:r>
      <w:r>
        <w:t xml:space="preserve"> </w:t>
      </w:r>
      <w:r>
        <w:t xml:space="preserve">to Respondent, NovaBridge, Harborstone, Crestline, FCB, and Pinnacle to lock down the 2291 account and related records pending subpoena.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Calendar</w:t>
      </w:r>
      <w:r>
        <w:t xml:space="preserve"> </w:t>
      </w:r>
      <w:r>
        <w:t xml:space="preserve">Respondent’s outstanding First RFP to Petitioner (served 9/18/2024) and prepare our reciprocal production.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production is facially responsive to Request Nos. 1–15 but is materially incomplete and internally inconsistent. The most significant issues are: (1) a</w:t>
      </w:r>
      <w:r>
        <w:t xml:space="preserve"> </w:t>
      </w:r>
      <w:r>
        <w:rPr>
          <w:b/>
          <w:bCs/>
        </w:rPr>
        <w:t xml:space="preserve">~$280,000 understatement of 2023 income</w:t>
      </w:r>
      <w:r>
        <w:t xml:space="preserve"> </w:t>
      </w:r>
      <w:r>
        <w:t xml:space="preserve">driven by reporting cash distributions instead of K-1 taxable income and omitting interest, dividends, capital gains, and rental income; (2) the</w:t>
      </w:r>
      <w:r>
        <w:t xml:space="preserve"> </w:t>
      </w:r>
      <w:r>
        <w:rPr>
          <w:b/>
          <w:bCs/>
        </w:rPr>
        <w:t xml:space="preserve">complete omission of the 1035 Elm Street rental property</w:t>
      </w:r>
      <w:r>
        <w:t xml:space="preserve"> </w:t>
      </w:r>
      <w:r>
        <w:t xml:space="preserve">(asset, ~$241,281 liability, and rental income); (3) an</w:t>
      </w:r>
      <w:r>
        <w:t xml:space="preserve"> </w:t>
      </w:r>
      <w:r>
        <w:rPr>
          <w:b/>
          <w:bCs/>
        </w:rPr>
        <w:t xml:space="preserve">$85,000 outgoing wire</w:t>
      </w:r>
      <w:r>
        <w:t xml:space="preserve"> </w:t>
      </w:r>
      <w:r>
        <w:t xml:space="preserve">to an undisclosed Harborstone Financial Group account two weeks after the declared separation; (4)</w:t>
      </w:r>
      <w:r>
        <w:t xml:space="preserve"> </w:t>
      </w:r>
      <w:r>
        <w:rPr>
          <w:b/>
          <w:bCs/>
        </w:rPr>
        <w:t xml:space="preserve">recurring undisclosed Venmo transfers</w:t>
      </w:r>
      <w:r>
        <w:t xml:space="preserve"> </w:t>
      </w:r>
      <w:r>
        <w:t xml:space="preserve">(~$2,920/mo) to an unidentified third party; (5) a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 of separation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valuation date</w:t>
      </w:r>
      <w:r>
        <w:t xml:space="preserve"> </w:t>
      </w:r>
      <w:r>
        <w:t xml:space="preserve">that uses post-dissipation 8/1/2024 balances; and (6)</w:t>
      </w:r>
      <w:r>
        <w:t xml:space="preserve"> </w:t>
      </w:r>
      <w:r>
        <w:rPr>
          <w:b/>
          <w:bCs/>
        </w:rPr>
        <w:t xml:space="preserve">missing productions</w:t>
      </w:r>
      <w:r>
        <w:t xml:space="preserve"> </w:t>
      </w:r>
      <w:r>
        <w:t xml:space="preserve">for the joint accounts, the 401(k), and the Harborstone account, plus the outstanding NovaBridge entity-level records.</w:t>
      </w:r>
    </w:p>
    <w:p>
      <w:pPr>
        <w:pStyle w:val="BodyText"/>
      </w:pPr>
      <w:r>
        <w:t xml:space="preserve">We recommend authorizing the third-party subpoenas in §V.B (prioritizing Harborstone and Crestline), issuing the meet-and-confer letter in §V.E.22, and scheduling Respondent’s deposition once the supplemented records and privilege log are received. I am available to draft the meet-and-confer correspondence and the subpoena requests on your authorization.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Calloway &amp; Birch LLP in anticipation of litigation. Privileged and confidential attorney work product. Not for distribution outside the legal team.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4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15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6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2026-06-26T23:13:17Z</dcterms:created>
  <dcterms:modified xsi:type="dcterms:W3CDTF">2026-06-26T23:13:17Z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