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b86f260390a81064780052f367f0f1fa6c9fe61"/>
    <w:p>
      <w:pPr>
        <w:pStyle w:val="Heading1"/>
      </w:pPr>
      <w:r>
        <w:t xml:space="preserve">INTERNAL MEMORANDUM — ATTORNEY WORK PRODUCT / PRIVILEGED &amp; CONFIDENTIAL</w:t>
      </w:r>
    </w:p>
    <w:p>
      <w:pPr>
        <w:pStyle w:val="FirstParagraph"/>
      </w:pPr>
      <w:r>
        <w:rPr>
          <w:b/>
          <w:bCs/>
        </w:rPr>
        <w:t xml:space="preserve">TO:</w:t>
      </w:r>
      <w:r>
        <w:t xml:space="preserve"> </w:t>
      </w:r>
      <w:r>
        <w:t xml:space="preserve">Sarah Whitfield, Esq.; Jordan Reeves</w:t>
      </w:r>
      <w:r>
        <w:t xml:space="preserve"> </w:t>
      </w:r>
      <w:r>
        <w:rPr>
          <w:b/>
          <w:bCs/>
        </w:rPr>
        <w:t xml:space="preserve">FROM:</w:t>
      </w:r>
      <w:r>
        <w:t xml:space="preserve"> </w:t>
      </w:r>
      <w:r>
        <w:t xml:space="preserve">[Associate], Calloway &amp; Birch LLP</w:t>
      </w:r>
      <w:r>
        <w:t xml:space="preserve"> </w:t>
      </w:r>
      <w:r>
        <w:rPr>
          <w:b/>
          <w:bCs/>
        </w:rPr>
        <w:t xml:space="preserve">DATE:</w:t>
      </w:r>
      <w:r>
        <w:t xml:space="preserve"> </w:t>
      </w:r>
      <w:r>
        <w:t xml:space="preserve">[Date of review]</w:t>
      </w:r>
      <w:r>
        <w:t xml:space="preserve"> </w:t>
      </w:r>
      <w:r>
        <w:rPr>
          <w:b/>
          <w:bCs/>
        </w:rPr>
        <w:t xml:space="preserve">RE:</w:t>
      </w:r>
      <w:r>
        <w:t xml:space="preserve"> </w:t>
      </w:r>
      <w:r>
        <w:rPr>
          <w:i/>
          <w:iCs/>
        </w:rPr>
        <w:t xml:space="preserve">Torres-Kwan v. Kwan</w:t>
      </w:r>
      <w:r>
        <w:t xml:space="preserve">, Case No. 2024-DR-01847 (Cir. Ct. Fairview County, Columbia; Hon. Patricia Yoon-Callahan) — Review of Respondent Darren Kwan’s Discovery Production (PROD-001 through PROD-007) and Recommended Follow-Up Discovery</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catalogs, summarizes, and analyzes the document production served by Respondent Darren Kwan (</w:t>
      </w:r>
      <w:r>
        <w:t xml:space="preserve">“</w:t>
      </w:r>
      <w:r>
        <w:t xml:space="preserve">Respondent</w:t>
      </w:r>
      <w:r>
        <w:t xml:space="preserve">”</w:t>
      </w:r>
      <w:r>
        <w:t xml:space="preserve">) through counsel Raymond Fossett (Hargrove Fossett &amp; Yates LLP) in response to Petitioner Melinda Torres-Kwan’s (</w:t>
      </w:r>
      <w:r>
        <w:t xml:space="preserve">“</w:t>
      </w:r>
      <w:r>
        <w:t xml:space="preserve">Petitioner</w:t>
      </w:r>
      <w:r>
        <w:t xml:space="preserve">”</w:t>
      </w:r>
      <w:r>
        <w:t xml:space="preserve">) First Request for Production of Documents, Nos. 1–22. The production consists of a transmittal email (cover letter), seven (7) document sets designated PROD-001 through PROD-007, and a summary privilege log identifying four (4) withheld items (PRIV-001 through PRIV-004).</w:t>
      </w:r>
    </w:p>
    <w:p>
      <w:pPr>
        <w:pStyle w:val="BodyText"/>
      </w:pPr>
      <w:r>
        <w:t xml:space="preserve">The production is reviewed below in four parts: (A) an exhibit catalog; (B) a summary of the financial figures reported; (C) a detailed, itemized list of inconsistencies, omissions, and red flags identified by cross-referencing the produced documents against each other; and (D) recommended follow-up discovery.</w:t>
      </w:r>
      <w:r>
        <w:t xml:space="preserve"> </w:t>
      </w:r>
      <w:r>
        <w:rPr>
          <w:b/>
          <w:bCs/>
        </w:rPr>
        <w:t xml:space="preserve">The central finding is that Respondent’s Sworn Financial Declaration (PROD-001) materially understates income, omits a separately titled investment real-property asset and its associated mortgage and rental income, and reports account balances as of August 1, 2024 while representing them as separation-date (June 1, 2024) values — thereby masking an $85,000 post-separation wire transfer to an undisclosed account at Harborstone Financial Group.</w:t>
      </w:r>
      <w:r>
        <w:t xml:space="preserve"> </w:t>
      </w:r>
      <w:r>
        <w:t xml:space="preserve">The produced records also reveal a pattern of large, recurring transfers to an unidentified third party (</w:t>
      </w:r>
      <w:r>
        <w:t xml:space="preserve">“</w:t>
      </w:r>
      <w:r>
        <w:t xml:space="preserve">Kiera M.</w:t>
      </w:r>
      <w:r>
        <w:t xml:space="preserve">”</w:t>
      </w:r>
      <w:r>
        <w:t xml:space="preserve">), escalating personal spending inconsistent with the declared expense schedule, commingling of personal and business expenditures through a common travel vendor, and a business-expense reimbursement structure that permits Respondent to self-approve his own reimbursements without co-member oversight.</w:t>
      </w:r>
    </w:p>
    <w:p>
      <w:r>
        <w:pict>
          <v:rect style="width:0;height:1.5pt" o:hralign="center" o:hrstd="t" o:hr="t"/>
        </w:pict>
      </w:r>
    </w:p>
    <w:bookmarkEnd w:id="20"/>
    <w:bookmarkStart w:id="21" w:name="ii.-exhibit-catalog"/>
    <w:p>
      <w:pPr>
        <w:pStyle w:val="Heading2"/>
      </w:pPr>
      <w:r>
        <w:t xml:space="preserve">II. Exhibit Catalog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Prod. No.</w:t>
            </w:r>
          </w:p>
        </w:tc>
        <w:tc>
          <w:tcPr/>
          <w:p>
            <w:pPr>
              <w:pStyle w:val="Compact"/>
              <w:jc w:val="left"/>
            </w:pPr>
            <w:r>
              <w:t xml:space="preserve">Document / Source</w:t>
            </w:r>
          </w:p>
        </w:tc>
        <w:tc>
          <w:tcPr/>
          <w:p>
            <w:pPr>
              <w:pStyle w:val="Compact"/>
              <w:jc w:val="left"/>
            </w:pPr>
            <w:r>
              <w:t xml:space="preserve">Bates Range</w:t>
            </w:r>
          </w:p>
        </w:tc>
        <w:tc>
          <w:tcPr/>
          <w:p>
            <w:pPr>
              <w:pStyle w:val="Compact"/>
              <w:jc w:val="left"/>
            </w:pPr>
            <w:r>
              <w:t xml:space="preserve">Date(s) Covered</w:t>
            </w:r>
          </w:p>
        </w:tc>
        <w:tc>
          <w:tcPr/>
          <w:p>
            <w:pPr>
              <w:pStyle w:val="Compact"/>
              <w:jc w:val="left"/>
            </w:pPr>
            <w:r>
              <w:t xml:space="preserve">Custodian / Producer</w:t>
            </w:r>
          </w:p>
        </w:tc>
        <w:tc>
          <w:tcPr/>
          <w:p>
            <w:pPr>
              <w:pStyle w:val="Compact"/>
              <w:jc w:val="left"/>
            </w:pPr>
            <w:r>
              <w:t xml:space="preserve">Responsive RFP Nos.</w:t>
            </w:r>
          </w:p>
        </w:tc>
        <w:tc>
          <w:tcPr/>
          <w:p>
            <w:pPr>
              <w:pStyle w:val="Compact"/>
              <w:jc w:val="left"/>
            </w:pPr>
            <w:r>
              <w:t xml:space="preserve">Key Contents</w:t>
            </w:r>
          </w:p>
        </w:tc>
      </w:tr>
      <w:tr>
        <w:tc>
          <w:tcPr/>
          <w:p>
            <w:pPr>
              <w:pStyle w:val="Compact"/>
              <w:jc w:val="left"/>
            </w:pPr>
            <w:r>
              <w:t xml:space="preserve">Cover Letter</w:t>
            </w:r>
          </w:p>
        </w:tc>
        <w:tc>
          <w:tcPr/>
          <w:p>
            <w:pPr>
              <w:pStyle w:val="Compact"/>
              <w:jc w:val="left"/>
            </w:pPr>
            <w:r>
              <w:t xml:space="preserve">Transmittal email, R. Fossett to S. Whitfield (cc: J. Reeves, D. Kwan)</w:t>
            </w:r>
          </w:p>
        </w:tc>
        <w:tc>
          <w:tcPr/>
          <w:p>
            <w:pPr>
              <w:pStyle w:val="Compact"/>
              <w:jc w:val="left"/>
            </w:pPr>
            <w:r>
              <w:t xml:space="preserve">—</w:t>
            </w:r>
          </w:p>
        </w:tc>
        <w:tc>
          <w:tcPr/>
          <w:p>
            <w:pPr>
              <w:pStyle w:val="Compact"/>
              <w:jc w:val="left"/>
            </w:pPr>
            <w:r>
              <w:t xml:space="preserve">Undated</w:t>
            </w:r>
          </w:p>
        </w:tc>
        <w:tc>
          <w:tcPr/>
          <w:p>
            <w:pPr>
              <w:pStyle w:val="Compact"/>
              <w:jc w:val="left"/>
            </w:pPr>
            <w:r>
              <w:t xml:space="preserve">Hargrove Fossett &amp; Yates LLP</w:t>
            </w:r>
          </w:p>
        </w:tc>
        <w:tc>
          <w:tcPr/>
          <w:p>
            <w:pPr>
              <w:pStyle w:val="Compact"/>
              <w:jc w:val="left"/>
            </w:pPr>
            <w:r>
              <w:t xml:space="preserve">1–22</w:t>
            </w:r>
          </w:p>
        </w:tc>
        <w:tc>
          <w:tcPr/>
          <w:p>
            <w:pPr>
              <w:pStyle w:val="Compact"/>
              <w:jc w:val="left"/>
            </w:pPr>
            <w:r>
              <w:t xml:space="preserve">Index of 7 sets; privilege log (PRIV-001–004); reservations; notes re RFP Nos. 16–22</w:t>
            </w:r>
          </w:p>
        </w:tc>
      </w:tr>
      <w:tr>
        <w:tc>
          <w:tcPr/>
          <w:p>
            <w:pPr>
              <w:pStyle w:val="Compact"/>
              <w:jc w:val="left"/>
            </w:pPr>
            <w:r>
              <w:t xml:space="preserve">PROD-001</w:t>
            </w:r>
          </w:p>
        </w:tc>
        <w:tc>
          <w:tcPr/>
          <w:p>
            <w:pPr>
              <w:pStyle w:val="Compact"/>
              <w:jc w:val="left"/>
            </w:pPr>
            <w:r>
              <w:t xml:space="preserve">Respondent’s Sworn Financial Declaration</w:t>
            </w:r>
          </w:p>
        </w:tc>
        <w:tc>
          <w:tcPr/>
          <w:p>
            <w:pPr>
              <w:pStyle w:val="Compact"/>
              <w:jc w:val="left"/>
            </w:pPr>
            <w:r>
              <w:t xml:space="preserve">—</w:t>
            </w:r>
          </w:p>
        </w:tc>
        <w:tc>
          <w:tcPr/>
          <w:p>
            <w:pPr>
              <w:pStyle w:val="Compact"/>
              <w:jc w:val="left"/>
            </w:pPr>
            <w:r>
              <w:t xml:space="preserve">Filed Sept. 20, 2024 (per declaration);</w:t>
            </w:r>
            <w:r>
              <w:t xml:space="preserve"> </w:t>
            </w:r>
            <w:r>
              <w:t xml:space="preserve">“</w:t>
            </w:r>
            <w:r>
              <w:t xml:space="preserve">on or about Oct. 4, 2024</w:t>
            </w:r>
            <w:r>
              <w:t xml:space="preserve">”</w:t>
            </w:r>
            <w:r>
              <w:t xml:space="preserve"> </w:t>
            </w:r>
            <w:r>
              <w:t xml:space="preserve">(per cover letter)</w:t>
            </w:r>
          </w:p>
        </w:tc>
        <w:tc>
          <w:tcPr/>
          <w:p>
            <w:pPr>
              <w:pStyle w:val="Compact"/>
              <w:jc w:val="left"/>
            </w:pPr>
            <w:r>
              <w:t xml:space="preserve">Darren Kwan / R. Fossett</w:t>
            </w:r>
          </w:p>
        </w:tc>
        <w:tc>
          <w:tcPr/>
          <w:p>
            <w:pPr>
              <w:pStyle w:val="Compact"/>
              <w:jc w:val="left"/>
            </w:pPr>
            <w:r>
              <w:t xml:space="preserve">1, 2, 3</w:t>
            </w:r>
          </w:p>
        </w:tc>
        <w:tc>
          <w:tcPr/>
          <w:p>
            <w:pPr>
              <w:pStyle w:val="Compact"/>
              <w:jc w:val="left"/>
            </w:pPr>
            <w:r>
              <w:t xml:space="preserve">Income, assets, liabilities, monthly expenses; notarized Sept. 20, 2024</w:t>
            </w:r>
          </w:p>
        </w:tc>
      </w:tr>
      <w:tr>
        <w:tc>
          <w:tcPr/>
          <w:p>
            <w:pPr>
              <w:pStyle w:val="Compact"/>
              <w:jc w:val="left"/>
            </w:pPr>
            <w:r>
              <w:t xml:space="preserve">PROD-002</w:t>
            </w:r>
          </w:p>
        </w:tc>
        <w:tc>
          <w:tcPr/>
          <w:p>
            <w:pPr>
              <w:pStyle w:val="Compact"/>
              <w:jc w:val="left"/>
            </w:pPr>
            <w:r>
              <w:t xml:space="preserve">2023 Form 1040 excerpts (MFJ), incl. Schedule E (Parts I &amp; II), Schedule K-1, W-2s, entity summary</w:t>
            </w:r>
          </w:p>
        </w:tc>
        <w:tc>
          <w:tcPr/>
          <w:p>
            <w:pPr>
              <w:pStyle w:val="Compact"/>
              <w:jc w:val="left"/>
            </w:pPr>
            <w:r>
              <w:t xml:space="preserve">DK-PROD-0045 – DK-PROD-0058</w:t>
            </w:r>
          </w:p>
        </w:tc>
        <w:tc>
          <w:tcPr/>
          <w:p>
            <w:pPr>
              <w:pStyle w:val="Compact"/>
              <w:jc w:val="left"/>
            </w:pPr>
            <w:r>
              <w:t xml:space="preserve">Tax year 2023; signed Apr. 14, 2024</w:t>
            </w:r>
          </w:p>
        </w:tc>
        <w:tc>
          <w:tcPr/>
          <w:p>
            <w:pPr>
              <w:pStyle w:val="Compact"/>
              <w:jc w:val="left"/>
            </w:pPr>
            <w:r>
              <w:t xml:space="preserve">Archer &amp; Linden CPAs / D. Kwan</w:t>
            </w:r>
          </w:p>
        </w:tc>
        <w:tc>
          <w:tcPr/>
          <w:p>
            <w:pPr>
              <w:pStyle w:val="Compact"/>
              <w:jc w:val="left"/>
            </w:pPr>
            <w:r>
              <w:t xml:space="preserve">4, 5, 8</w:t>
            </w:r>
          </w:p>
        </w:tc>
        <w:tc>
          <w:tcPr/>
          <w:p>
            <w:pPr>
              <w:pStyle w:val="Compact"/>
              <w:jc w:val="left"/>
            </w:pPr>
            <w:r>
              <w:t xml:space="preserve">Total income $638,940; K-1 ordinary business income $367,200; Elm Street rental; W-2s</w:t>
            </w:r>
          </w:p>
        </w:tc>
      </w:tr>
      <w:tr>
        <w:tc>
          <w:tcPr/>
          <w:p>
            <w:pPr>
              <w:pStyle w:val="Compact"/>
              <w:jc w:val="left"/>
            </w:pPr>
            <w:r>
              <w:t xml:space="preserve">PROD-003</w:t>
            </w:r>
          </w:p>
        </w:tc>
        <w:tc>
          <w:tcPr/>
          <w:p>
            <w:pPr>
              <w:pStyle w:val="Compact"/>
              <w:jc w:val="left"/>
            </w:pPr>
            <w:r>
              <w:t xml:space="preserve">Crestline Wealth Advisors brokerage statements, acct. ending 9956</w:t>
            </w:r>
          </w:p>
        </w:tc>
        <w:tc>
          <w:tcPr/>
          <w:p>
            <w:pPr>
              <w:pStyle w:val="Compact"/>
              <w:jc w:val="left"/>
            </w:pPr>
            <w:r>
              <w:t xml:space="preserve">KWAN_PROD_00142 – KWAN_PROD_00158</w:t>
            </w:r>
          </w:p>
        </w:tc>
        <w:tc>
          <w:tcPr/>
          <w:p>
            <w:pPr>
              <w:pStyle w:val="Compact"/>
              <w:jc w:val="left"/>
            </w:pPr>
            <w:r>
              <w:t xml:space="preserve">Jan. 1, 2024 – Aug. 1, 2024</w:t>
            </w:r>
          </w:p>
        </w:tc>
        <w:tc>
          <w:tcPr/>
          <w:p>
            <w:pPr>
              <w:pStyle w:val="Compact"/>
              <w:jc w:val="left"/>
            </w:pPr>
            <w:r>
              <w:t xml:space="preserve">Crestline / Nathan Greer, CFP</w:t>
            </w:r>
          </w:p>
        </w:tc>
        <w:tc>
          <w:tcPr/>
          <w:p>
            <w:pPr>
              <w:pStyle w:val="Compact"/>
              <w:jc w:val="left"/>
            </w:pPr>
            <w:r>
              <w:t xml:space="preserve">6, 7</w:t>
            </w:r>
          </w:p>
        </w:tc>
        <w:tc>
          <w:tcPr/>
          <w:p>
            <w:pPr>
              <w:pStyle w:val="Compact"/>
              <w:jc w:val="left"/>
            </w:pPr>
            <w:r>
              <w:t xml:space="preserve">Monthly statements + Aug. 1 valuation; $85,000 outgoing wire 6/15/2024</w:t>
            </w:r>
          </w:p>
        </w:tc>
      </w:tr>
      <w:tr>
        <w:tc>
          <w:tcPr/>
          <w:p>
            <w:pPr>
              <w:pStyle w:val="Compact"/>
              <w:jc w:val="left"/>
            </w:pPr>
            <w:r>
              <w:t xml:space="preserve">PROD-004</w:t>
            </w:r>
          </w:p>
        </w:tc>
        <w:tc>
          <w:tcPr/>
          <w:p>
            <w:pPr>
              <w:pStyle w:val="Compact"/>
              <w:jc w:val="left"/>
            </w:pPr>
            <w:r>
              <w:t xml:space="preserve">Fairview Community Bank individual checking (7703) &amp; savings (7704) statements</w:t>
            </w:r>
          </w:p>
        </w:tc>
        <w:tc>
          <w:tcPr/>
          <w:p>
            <w:pPr>
              <w:pStyle w:val="Compact"/>
              <w:jc w:val="left"/>
            </w:pPr>
            <w:r>
              <w:t xml:space="preserve">KWAN_PROD_0401 – KWAN_PROD_0424</w:t>
            </w:r>
          </w:p>
        </w:tc>
        <w:tc>
          <w:tcPr/>
          <w:p>
            <w:pPr>
              <w:pStyle w:val="Compact"/>
              <w:jc w:val="left"/>
            </w:pPr>
            <w:r>
              <w:t xml:space="preserve">Mar. 1, 2024 – Aug. 1, 2024</w:t>
            </w:r>
          </w:p>
        </w:tc>
        <w:tc>
          <w:tcPr/>
          <w:p>
            <w:pPr>
              <w:pStyle w:val="Compact"/>
              <w:jc w:val="left"/>
            </w:pPr>
            <w:r>
              <w:t xml:space="preserve">Fairview Community Bank</w:t>
            </w:r>
          </w:p>
        </w:tc>
        <w:tc>
          <w:tcPr/>
          <w:p>
            <w:pPr>
              <w:pStyle w:val="Compact"/>
              <w:jc w:val="left"/>
            </w:pPr>
            <w:r>
              <w:t xml:space="preserve">6, 7</w:t>
            </w:r>
          </w:p>
        </w:tc>
        <w:tc>
          <w:tcPr/>
          <w:p>
            <w:pPr>
              <w:pStyle w:val="Compact"/>
              <w:jc w:val="left"/>
            </w:pPr>
            <w:r>
              <w:t xml:space="preserve">Monthly checking; consolidated savings; combined summary 8/1/2024</w:t>
            </w:r>
          </w:p>
        </w:tc>
      </w:tr>
      <w:tr>
        <w:tc>
          <w:tcPr/>
          <w:p>
            <w:pPr>
              <w:pStyle w:val="Compact"/>
              <w:jc w:val="left"/>
            </w:pPr>
            <w:r>
              <w:t xml:space="preserve">PROD-005</w:t>
            </w:r>
          </w:p>
        </w:tc>
        <w:tc>
          <w:tcPr/>
          <w:p>
            <w:pPr>
              <w:pStyle w:val="Compact"/>
              <w:jc w:val="left"/>
            </w:pPr>
            <w:r>
              <w:t xml:space="preserve">Meridian Home Lending mortgage statements —</w:t>
            </w:r>
            <w:r>
              <w:t xml:space="preserve"> </w:t>
            </w:r>
            <w:r>
              <w:rPr>
                <w:b/>
                <w:bCs/>
              </w:rPr>
              <w:t xml:space="preserve">1035 Elm Street, Unit C</w:t>
            </w:r>
            <w:r>
              <w:t xml:space="preserve"> </w:t>
            </w:r>
            <w:r>
              <w:t xml:space="preserve">(Loan 7842-0163-ELM)</w:t>
            </w:r>
          </w:p>
        </w:tc>
        <w:tc>
          <w:tcPr/>
          <w:p>
            <w:pPr>
              <w:pStyle w:val="Compact"/>
              <w:jc w:val="left"/>
            </w:pPr>
            <w:r>
              <w:t xml:space="preserve">Not stated</w:t>
            </w:r>
          </w:p>
        </w:tc>
        <w:tc>
          <w:tcPr/>
          <w:p>
            <w:pPr>
              <w:pStyle w:val="Compact"/>
              <w:jc w:val="left"/>
            </w:pPr>
            <w:r>
              <w:t xml:space="preserve">June, July, Aug. 2024 statements</w:t>
            </w:r>
          </w:p>
        </w:tc>
        <w:tc>
          <w:tcPr/>
          <w:p>
            <w:pPr>
              <w:pStyle w:val="Compact"/>
              <w:jc w:val="left"/>
            </w:pPr>
            <w:r>
              <w:t xml:space="preserve">Meridian Home Lending</w:t>
            </w:r>
          </w:p>
        </w:tc>
        <w:tc>
          <w:tcPr/>
          <w:p>
            <w:pPr>
              <w:pStyle w:val="Compact"/>
              <w:jc w:val="left"/>
            </w:pPr>
            <w:r>
              <w:t xml:space="preserve">9, 10</w:t>
            </w:r>
          </w:p>
        </w:tc>
        <w:tc>
          <w:tcPr/>
          <w:p>
            <w:pPr>
              <w:pStyle w:val="Compact"/>
              <w:jc w:val="left"/>
            </w:pPr>
            <w:r>
              <w:t xml:space="preserve">Sole-borrower Darren Kwan; balance ~$241,281 (8/1/2024); PITI $1,680</w:t>
            </w:r>
          </w:p>
        </w:tc>
      </w:tr>
      <w:tr>
        <w:tc>
          <w:tcPr/>
          <w:p>
            <w:pPr>
              <w:pStyle w:val="Compact"/>
              <w:jc w:val="left"/>
            </w:pPr>
            <w:r>
              <w:t xml:space="preserve">PROD-006</w:t>
            </w:r>
          </w:p>
        </w:tc>
        <w:tc>
          <w:tcPr/>
          <w:p>
            <w:pPr>
              <w:pStyle w:val="Compact"/>
              <w:jc w:val="left"/>
            </w:pPr>
            <w:r>
              <w:t xml:space="preserve">Platinum Visa credit card statements (Fairview Community Bank, acct. ending 8316)</w:t>
            </w:r>
          </w:p>
        </w:tc>
        <w:tc>
          <w:tcPr/>
          <w:p>
            <w:pPr>
              <w:pStyle w:val="Compact"/>
              <w:jc w:val="left"/>
            </w:pPr>
            <w:r>
              <w:t xml:space="preserve">Not stated</w:t>
            </w:r>
          </w:p>
        </w:tc>
        <w:tc>
          <w:tcPr/>
          <w:p>
            <w:pPr>
              <w:pStyle w:val="Compact"/>
              <w:jc w:val="left"/>
            </w:pPr>
            <w:r>
              <w:t xml:space="preserve">May–Aug. 2024 billing periods</w:t>
            </w:r>
          </w:p>
        </w:tc>
        <w:tc>
          <w:tcPr/>
          <w:p>
            <w:pPr>
              <w:pStyle w:val="Compact"/>
              <w:jc w:val="left"/>
            </w:pPr>
            <w:r>
              <w:t xml:space="preserve">Fairview Community Bank</w:t>
            </w:r>
          </w:p>
        </w:tc>
        <w:tc>
          <w:tcPr/>
          <w:p>
            <w:pPr>
              <w:pStyle w:val="Compact"/>
              <w:jc w:val="left"/>
            </w:pPr>
            <w:r>
              <w:t xml:space="preserve">6, 7, 11</w:t>
            </w:r>
          </w:p>
        </w:tc>
        <w:tc>
          <w:tcPr/>
          <w:p>
            <w:pPr>
              <w:pStyle w:val="Compact"/>
              <w:jc w:val="left"/>
            </w:pPr>
            <w:r>
              <w:t xml:space="preserve">Monthly charges; paid in full monthly; address change to Harbor Point July</w:t>
            </w:r>
          </w:p>
        </w:tc>
      </w:tr>
      <w:tr>
        <w:tc>
          <w:tcPr/>
          <w:p>
            <w:pPr>
              <w:pStyle w:val="Compact"/>
              <w:jc w:val="left"/>
            </w:pPr>
            <w:r>
              <w:t xml:space="preserve">PROD-007</w:t>
            </w:r>
          </w:p>
        </w:tc>
        <w:tc>
          <w:tcPr/>
          <w:p>
            <w:pPr>
              <w:pStyle w:val="Compact"/>
              <w:jc w:val="left"/>
            </w:pPr>
            <w:r>
              <w:t xml:space="preserve">NovaBridge Solutions LLC expense reimbursement reports, Darren Kwan, Q1–Q2 2024</w:t>
            </w:r>
          </w:p>
        </w:tc>
        <w:tc>
          <w:tcPr/>
          <w:p>
            <w:pPr>
              <w:pStyle w:val="Compact"/>
              <w:jc w:val="left"/>
            </w:pPr>
            <w:r>
              <w:t xml:space="preserve">KWAN_PROD_00187 – KWAN_PROD_00193</w:t>
            </w:r>
          </w:p>
        </w:tc>
        <w:tc>
          <w:tcPr/>
          <w:p>
            <w:pPr>
              <w:pStyle w:val="Compact"/>
              <w:jc w:val="left"/>
            </w:pPr>
            <w:r>
              <w:t xml:space="preserve">Jan. 1 – June 30, 2024</w:t>
            </w:r>
          </w:p>
        </w:tc>
        <w:tc>
          <w:tcPr/>
          <w:p>
            <w:pPr>
              <w:pStyle w:val="Compact"/>
              <w:jc w:val="left"/>
            </w:pPr>
            <w:r>
              <w:t xml:space="preserve">NovaBridge Solutions LLC</w:t>
            </w:r>
          </w:p>
        </w:tc>
        <w:tc>
          <w:tcPr/>
          <w:p>
            <w:pPr>
              <w:pStyle w:val="Compact"/>
              <w:jc w:val="left"/>
            </w:pPr>
            <w:r>
              <w:t xml:space="preserve">5, 8, 12</w:t>
            </w:r>
          </w:p>
        </w:tc>
        <w:tc>
          <w:tcPr/>
          <w:p>
            <w:pPr>
              <w:pStyle w:val="Compact"/>
              <w:jc w:val="left"/>
            </w:pPr>
            <w:r>
              <w:t xml:space="preserve">Q1 $3,373; Q2 $9,289; YTD $12,662; self-approved per Operating Agreement §5.3</w:t>
            </w:r>
          </w:p>
        </w:tc>
      </w:tr>
      <w:tr>
        <w:tc>
          <w:tcPr/>
          <w:p>
            <w:pPr>
              <w:pStyle w:val="Compact"/>
              <w:jc w:val="left"/>
            </w:pPr>
            <w:r>
              <w:t xml:space="preserve">PRIV-001–004</w:t>
            </w:r>
          </w:p>
        </w:tc>
        <w:tc>
          <w:tcPr/>
          <w:p>
            <w:pPr>
              <w:pStyle w:val="Compact"/>
              <w:jc w:val="left"/>
            </w:pPr>
            <w:r>
              <w:t xml:space="preserve">Withheld: 4 emails/memos between D. Kwan and R. Fossett (Aug. 5 – Sept. 8, 2024)</w:t>
            </w:r>
          </w:p>
        </w:tc>
        <w:tc>
          <w:tcPr/>
          <w:p>
            <w:pPr>
              <w:pStyle w:val="Compact"/>
              <w:jc w:val="left"/>
            </w:pPr>
            <w:r>
              <w:t xml:space="preserve">—</w:t>
            </w:r>
          </w:p>
        </w:tc>
        <w:tc>
          <w:tcPr/>
          <w:p>
            <w:pPr>
              <w:pStyle w:val="Compact"/>
              <w:jc w:val="left"/>
            </w:pPr>
            <w:r>
              <w:t xml:space="preserve">Aug. 5 – Sept. 8, 2024</w:t>
            </w:r>
          </w:p>
        </w:tc>
        <w:tc>
          <w:tcPr/>
          <w:p>
            <w:pPr>
              <w:pStyle w:val="Compact"/>
              <w:jc w:val="left"/>
            </w:pPr>
            <w:r>
              <w:t xml:space="preserve">Withheld (privilege)</w:t>
            </w:r>
          </w:p>
        </w:tc>
        <w:tc>
          <w:tcPr/>
          <w:p>
            <w:pPr>
              <w:pStyle w:val="Compact"/>
              <w:jc w:val="left"/>
            </w:pPr>
            <w:r>
              <w:t xml:space="preserve">13, 14, 15, 18</w:t>
            </w:r>
          </w:p>
        </w:tc>
        <w:tc>
          <w:tcPr/>
          <w:p>
            <w:pPr>
              <w:pStyle w:val="Compact"/>
              <w:jc w:val="left"/>
            </w:pPr>
            <w:r>
              <w:t xml:space="preserve">Formal privilege log promised within 10 business days</w:t>
            </w:r>
          </w:p>
        </w:tc>
      </w:tr>
    </w:tbl>
    <w:p>
      <w:pPr>
        <w:pStyle w:val="BodyText"/>
      </w:pPr>
      <w:r>
        <w:rPr>
          <w:b/>
          <w:bCs/>
        </w:rPr>
        <w:t xml:space="preserve">Production scope notes from the cover letter.</w:t>
      </w:r>
      <w:r>
        <w:t xml:space="preserve"> </w:t>
      </w:r>
      <w:r>
        <w:t xml:space="preserve">(i) Request Nos. 16–22 (NovaBridge corporate records, the Operating Agreement, and entity-level financial records) were</w:t>
      </w:r>
      <w:r>
        <w:t xml:space="preserve"> </w:t>
      </w:r>
      <w:r>
        <w:rPr>
          <w:b/>
          <w:bCs/>
        </w:rPr>
        <w:t xml:space="preserve">not</w:t>
      </w:r>
      <w:r>
        <w:t xml:space="preserve"> </w:t>
      </w:r>
      <w:r>
        <w:t xml:space="preserve">produced; Respondent states he is</w:t>
      </w:r>
      <w:r>
        <w:t xml:space="preserve"> </w:t>
      </w:r>
      <w:r>
        <w:t xml:space="preserve">“</w:t>
      </w:r>
      <w:r>
        <w:t xml:space="preserve">continuing to coordinate</w:t>
      </w:r>
      <w:r>
        <w:t xml:space="preserve">”</w:t>
      </w:r>
      <w:r>
        <w:t xml:space="preserve"> </w:t>
      </w:r>
      <w:r>
        <w:t xml:space="preserve">with NovaBridge and co-member Jared Ostrowski and will supplement. (ii) Respondent produced only his</w:t>
      </w:r>
      <w:r>
        <w:t xml:space="preserve"> </w:t>
      </w:r>
      <w:r>
        <w:rPr>
          <w:b/>
          <w:bCs/>
        </w:rPr>
        <w:t xml:space="preserve">individual</w:t>
      </w:r>
      <w:r>
        <w:t xml:space="preserve"> </w:t>
      </w:r>
      <w:r>
        <w:t xml:space="preserve">accounts and objects to producing accounts</w:t>
      </w:r>
      <w:r>
        <w:t xml:space="preserve"> </w:t>
      </w:r>
      <w:r>
        <w:t xml:space="preserve">“</w:t>
      </w:r>
      <w:r>
        <w:t xml:space="preserve">held solely by Petitioner.</w:t>
      </w:r>
      <w:r>
        <w:t xml:space="preserve">”</w:t>
      </w:r>
      <w:r>
        <w:t xml:space="preserve"> </w:t>
      </w:r>
      <w:r>
        <w:t xml:space="preserve">(iii) A formal privilege log is</w:t>
      </w:r>
      <w:r>
        <w:t xml:space="preserve"> </w:t>
      </w:r>
      <w:r>
        <w:t xml:space="preserve">“</w:t>
      </w:r>
      <w:r>
        <w:t xml:space="preserve">forthcoming</w:t>
      </w:r>
      <w:r>
        <w:t xml:space="preserve">”</w:t>
      </w:r>
      <w:r>
        <w:t xml:space="preserve"> </w:t>
      </w:r>
      <w:r>
        <w:t xml:space="preserve">within ten (10) business days. (iv) Respondent’s own First Request for Production served on Petitioner (Sept. 18, 2024) remains outstanding.</w:t>
      </w:r>
    </w:p>
    <w:p>
      <w:r>
        <w:pict>
          <v:rect style="width:0;height:1.5pt" o:hralign="center" o:hrstd="t" o:hr="t"/>
        </w:pict>
      </w:r>
    </w:p>
    <w:bookmarkEnd w:id="21"/>
    <w:bookmarkStart w:id="29" w:name="iii.-summary-of-figures"/>
    <w:p>
      <w:pPr>
        <w:pStyle w:val="Heading2"/>
      </w:pPr>
      <w:r>
        <w:t xml:space="preserve">III. Summary of Figures</w:t>
      </w:r>
    </w:p>
    <w:bookmarkStart w:id="22" w:name="Xf0d2dd748da51ce7b0ea74f32d1a9cb2a047b00"/>
    <w:p>
      <w:pPr>
        <w:pStyle w:val="Heading3"/>
      </w:pPr>
      <w:r>
        <w:t xml:space="preserve">A. Income (as reported in PROD-001, Sworn Financial Declaration)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Annual Amount (per Declaration)</w:t>
            </w:r>
          </w:p>
        </w:tc>
      </w:tr>
      <w:tr>
        <w:tc>
          <w:tcPr/>
          <w:p>
            <w:pPr>
              <w:pStyle w:val="Compact"/>
              <w:jc w:val="left"/>
            </w:pPr>
            <w:r>
              <w:t xml:space="preserve">W-2 Salary — NovaBridge Solutions LLC</w:t>
            </w:r>
          </w:p>
        </w:tc>
        <w:tc>
          <w:tcPr/>
          <w:p>
            <w:pPr>
              <w:pStyle w:val="Compact"/>
              <w:jc w:val="left"/>
            </w:pPr>
            <w:r>
              <w:t xml:space="preserve">$185,000.00</w:t>
            </w:r>
          </w:p>
        </w:tc>
      </w:tr>
      <w:tr>
        <w:tc>
          <w:tcPr/>
          <w:p>
            <w:pPr>
              <w:pStyle w:val="Compact"/>
              <w:jc w:val="left"/>
            </w:pPr>
            <w:r>
              <w:t xml:space="preserve">K-1 Income / Distributions — NovaBridge Solutions LLC</w:t>
            </w:r>
          </w:p>
        </w:tc>
        <w:tc>
          <w:tcPr/>
          <w:p>
            <w:pPr>
              <w:pStyle w:val="Compact"/>
              <w:jc w:val="left"/>
            </w:pPr>
            <w:r>
              <w:t xml:space="preserve">$174,000.00</w:t>
            </w:r>
          </w:p>
        </w:tc>
      </w:tr>
      <w:tr>
        <w:tc>
          <w:tcPr/>
          <w:p>
            <w:pPr>
              <w:pStyle w:val="Compact"/>
              <w:jc w:val="left"/>
            </w:pPr>
            <w:r>
              <w:rPr>
                <w:b/>
                <w:bCs/>
              </w:rPr>
              <w:t xml:space="preserve">Total Annual Income (2023, per Declaration)</w:t>
            </w:r>
          </w:p>
        </w:tc>
        <w:tc>
          <w:tcPr/>
          <w:p>
            <w:pPr>
              <w:pStyle w:val="Compact"/>
              <w:jc w:val="left"/>
            </w:pPr>
            <w:r>
              <w:rPr>
                <w:b/>
                <w:bCs/>
              </w:rPr>
              <w:t xml:space="preserve">$359,000.00</w:t>
            </w:r>
          </w:p>
        </w:tc>
      </w:tr>
      <w:tr>
        <w:tc>
          <w:tcPr/>
          <w:p>
            <w:pPr>
              <w:pStyle w:val="Compact"/>
              <w:jc w:val="left"/>
            </w:pPr>
            <w:r>
              <w:t xml:space="preserve">Petitioner’s income (as known to Respondent)</w:t>
            </w:r>
          </w:p>
        </w:tc>
        <w:tc>
          <w:tcPr/>
          <w:p>
            <w:pPr>
              <w:pStyle w:val="Compact"/>
              <w:jc w:val="left"/>
            </w:pPr>
            <w:r>
              <w:t xml:space="preserve">~$67,200.00</w:t>
            </w:r>
          </w:p>
        </w:tc>
      </w:tr>
      <w:tr>
        <w:tc>
          <w:tcPr/>
          <w:p>
            <w:pPr>
              <w:pStyle w:val="Compact"/>
              <w:jc w:val="left"/>
            </w:pPr>
            <w:r>
              <w:t xml:space="preserve">Other income (interest, dividends, rental, etc.)</w:t>
            </w:r>
          </w:p>
        </w:tc>
        <w:tc>
          <w:tcPr/>
          <w:p>
            <w:pPr>
              <w:pStyle w:val="Compact"/>
              <w:jc w:val="left"/>
            </w:pPr>
            <w:r>
              <w:t xml:space="preserve">None (per Declaration ¶19)</w:t>
            </w:r>
          </w:p>
        </w:tc>
      </w:tr>
    </w:tbl>
    <w:bookmarkEnd w:id="22"/>
    <w:bookmarkStart w:id="23" w:name="Xbad5c136e8a152a9fa67dc68bc04a21c141517e"/>
    <w:p>
      <w:pPr>
        <w:pStyle w:val="Heading3"/>
      </w:pPr>
      <w:r>
        <w:t xml:space="preserve">B. Income (as reflected in PROD-002, 2023 Form 1040 — Respondent’s share)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W-2 wages (Darren Kwan, NovaBridge)</w:t>
            </w:r>
          </w:p>
        </w:tc>
        <w:tc>
          <w:tcPr/>
          <w:p>
            <w:pPr>
              <w:pStyle w:val="Compact"/>
              <w:jc w:val="left"/>
            </w:pPr>
            <w:r>
              <w:t xml:space="preserve">$185,000</w:t>
            </w:r>
          </w:p>
        </w:tc>
      </w:tr>
      <w:tr>
        <w:tc>
          <w:tcPr/>
          <w:p>
            <w:pPr>
              <w:pStyle w:val="Compact"/>
              <w:jc w:val="left"/>
            </w:pPr>
            <w:r>
              <w:t xml:space="preserve">K-1 ordinary business income (NovaBridge, Box 1)</w:t>
            </w:r>
          </w:p>
        </w:tc>
        <w:tc>
          <w:tcPr/>
          <w:p>
            <w:pPr>
              <w:pStyle w:val="Compact"/>
              <w:jc w:val="left"/>
            </w:pPr>
            <w:r>
              <w:t xml:space="preserve">$367,200</w:t>
            </w:r>
          </w:p>
        </w:tc>
      </w:tr>
      <w:tr>
        <w:tc>
          <w:tcPr/>
          <w:p>
            <w:pPr>
              <w:pStyle w:val="Compact"/>
              <w:jc w:val="left"/>
            </w:pPr>
            <w:r>
              <w:t xml:space="preserve">Net rental real estate income (1035 Elm Street, Schedule E)</w:t>
            </w:r>
          </w:p>
        </w:tc>
        <w:tc>
          <w:tcPr/>
          <w:p>
            <w:pPr>
              <w:pStyle w:val="Compact"/>
              <w:jc w:val="left"/>
            </w:pPr>
            <w:r>
              <w:t xml:space="preserve">$2,940</w:t>
            </w:r>
          </w:p>
        </w:tc>
      </w:tr>
      <w:tr>
        <w:tc>
          <w:tcPr/>
          <w:p>
            <w:pPr>
              <w:pStyle w:val="Compact"/>
              <w:jc w:val="left"/>
            </w:pPr>
            <w:r>
              <w:t xml:space="preserve">Taxable interest (Schedule B)</w:t>
            </w:r>
          </w:p>
        </w:tc>
        <w:tc>
          <w:tcPr/>
          <w:p>
            <w:pPr>
              <w:pStyle w:val="Compact"/>
              <w:jc w:val="left"/>
            </w:pPr>
            <w:r>
              <w:t xml:space="preserve">$1,840</w:t>
            </w:r>
          </w:p>
        </w:tc>
      </w:tr>
      <w:tr>
        <w:tc>
          <w:tcPr/>
          <w:p>
            <w:pPr>
              <w:pStyle w:val="Compact"/>
              <w:jc w:val="left"/>
            </w:pPr>
            <w:r>
              <w:t xml:space="preserve">Ordinary dividends (Schedule B, Crestline acct. 9956)</w:t>
            </w:r>
          </w:p>
        </w:tc>
        <w:tc>
          <w:tcPr/>
          <w:p>
            <w:pPr>
              <w:pStyle w:val="Compact"/>
              <w:jc w:val="left"/>
            </w:pPr>
            <w:r>
              <w:t xml:space="preserve">$6,310</w:t>
            </w:r>
          </w:p>
        </w:tc>
      </w:tr>
      <w:tr>
        <w:tc>
          <w:tcPr/>
          <w:p>
            <w:pPr>
              <w:pStyle w:val="Compact"/>
              <w:jc w:val="left"/>
            </w:pPr>
            <w:r>
              <w:t xml:space="preserve">Capital gain (Schedule D, Crestline acct. 9956)</w:t>
            </w:r>
          </w:p>
        </w:tc>
        <w:tc>
          <w:tcPr/>
          <w:p>
            <w:pPr>
              <w:pStyle w:val="Compact"/>
              <w:jc w:val="left"/>
            </w:pPr>
            <w:r>
              <w:t xml:space="preserve">$8,450</w:t>
            </w:r>
          </w:p>
        </w:tc>
      </w:tr>
      <w:tr>
        <w:tc>
          <w:tcPr/>
          <w:p>
            <w:pPr>
              <w:pStyle w:val="Compact"/>
              <w:jc w:val="left"/>
            </w:pPr>
            <w:r>
              <w:rPr>
                <w:b/>
                <w:bCs/>
              </w:rPr>
              <w:t xml:space="preserve">Respondent’s 2023 income per tax return (approx.)</w:t>
            </w:r>
          </w:p>
        </w:tc>
        <w:tc>
          <w:tcPr/>
          <w:p>
            <w:pPr>
              <w:pStyle w:val="Compact"/>
              <w:jc w:val="left"/>
            </w:pPr>
            <w:r>
              <w:rPr>
                <w:b/>
                <w:bCs/>
              </w:rPr>
              <w:t xml:space="preserve">~$571,740</w:t>
            </w:r>
          </w:p>
        </w:tc>
      </w:tr>
      <w:tr>
        <w:tc>
          <w:tcPr/>
          <w:p>
            <w:pPr>
              <w:pStyle w:val="Compact"/>
              <w:jc w:val="left"/>
            </w:pPr>
            <w:r>
              <w:t xml:space="preserve">Joint return total income (Form 1040, Line 9)</w:t>
            </w:r>
          </w:p>
        </w:tc>
        <w:tc>
          <w:tcPr/>
          <w:p>
            <w:pPr>
              <w:pStyle w:val="Compact"/>
              <w:jc w:val="left"/>
            </w:pPr>
            <w:r>
              <w:t xml:space="preserve">$638,940</w:t>
            </w:r>
          </w:p>
        </w:tc>
      </w:tr>
      <w:tr>
        <w:tc>
          <w:tcPr/>
          <w:p>
            <w:pPr>
              <w:pStyle w:val="Compact"/>
              <w:jc w:val="left"/>
            </w:pPr>
            <w:r>
              <w:t xml:space="preserve">Joint AGI (Line 11)</w:t>
            </w:r>
          </w:p>
        </w:tc>
        <w:tc>
          <w:tcPr/>
          <w:p>
            <w:pPr>
              <w:pStyle w:val="Compact"/>
              <w:jc w:val="left"/>
            </w:pPr>
            <w:r>
              <w:t xml:space="preserve">$612,960</w:t>
            </w:r>
          </w:p>
        </w:tc>
      </w:tr>
      <w:tr>
        <w:tc>
          <w:tcPr/>
          <w:p>
            <w:pPr>
              <w:pStyle w:val="Compact"/>
              <w:jc w:val="left"/>
            </w:pPr>
            <w:r>
              <w:t xml:space="preserve">Joint taxable income (Line 15)</w:t>
            </w:r>
          </w:p>
        </w:tc>
        <w:tc>
          <w:tcPr/>
          <w:p>
            <w:pPr>
              <w:pStyle w:val="Compact"/>
              <w:jc w:val="left"/>
            </w:pPr>
            <w:r>
              <w:t xml:space="preserve">$564,240</w:t>
            </w:r>
          </w:p>
        </w:tc>
      </w:tr>
      <w:tr>
        <w:tc>
          <w:tcPr/>
          <w:p>
            <w:pPr>
              <w:pStyle w:val="Compact"/>
              <w:jc w:val="left"/>
            </w:pPr>
            <w:r>
              <w:t xml:space="preserve">Joint total tax (Line 24, incl. SE tax &amp; NIIT)</w:t>
            </w:r>
          </w:p>
        </w:tc>
        <w:tc>
          <w:tcPr/>
          <w:p>
            <w:pPr>
              <w:pStyle w:val="Compact"/>
              <w:jc w:val="left"/>
            </w:pPr>
            <w:r>
              <w:t xml:space="preserve">$148,240</w:t>
            </w:r>
          </w:p>
        </w:tc>
      </w:tr>
      <w:tr>
        <w:tc>
          <w:tcPr/>
          <w:p>
            <w:pPr>
              <w:pStyle w:val="Compact"/>
              <w:jc w:val="left"/>
            </w:pPr>
            <w:r>
              <w:t xml:space="preserve">Self-employment tax (Schedule SE)</w:t>
            </w:r>
          </w:p>
        </w:tc>
        <w:tc>
          <w:tcPr/>
          <w:p>
            <w:pPr>
              <w:pStyle w:val="Compact"/>
              <w:jc w:val="left"/>
            </w:pPr>
            <w:r>
              <w:t xml:space="preserve">$51,960</w:t>
            </w:r>
          </w:p>
        </w:tc>
      </w:tr>
      <w:tr>
        <w:tc>
          <w:tcPr/>
          <w:p>
            <w:pPr>
              <w:pStyle w:val="Compact"/>
              <w:jc w:val="left"/>
            </w:pPr>
            <w:r>
              <w:t xml:space="preserve">Refund (Line 35a)</w:t>
            </w:r>
          </w:p>
        </w:tc>
        <w:tc>
          <w:tcPr/>
          <w:p>
            <w:pPr>
              <w:pStyle w:val="Compact"/>
              <w:jc w:val="left"/>
            </w:pPr>
            <w:r>
              <w:t xml:space="preserve">$8,640</w:t>
            </w:r>
          </w:p>
        </w:tc>
      </w:tr>
    </w:tbl>
    <w:bookmarkEnd w:id="23"/>
    <w:bookmarkStart w:id="24" w:name="c.-assets-as-reported-in-prod-001"/>
    <w:p>
      <w:pPr>
        <w:pStyle w:val="Heading3"/>
      </w:pPr>
      <w:r>
        <w:t xml:space="preserve">C. Assets (as reported in PROD-001)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Reported Value/Balance</w:t>
            </w:r>
          </w:p>
        </w:tc>
      </w:tr>
      <w:tr>
        <w:tc>
          <w:tcPr/>
          <w:p>
            <w:pPr>
              <w:pStyle w:val="Compact"/>
              <w:jc w:val="left"/>
            </w:pPr>
            <w:r>
              <w:t xml:space="preserve">Marital residence — 418 Birchwood Lane (joint)</w:t>
            </w:r>
          </w:p>
        </w:tc>
        <w:tc>
          <w:tcPr/>
          <w:p>
            <w:pPr>
              <w:pStyle w:val="Compact"/>
              <w:jc w:val="left"/>
            </w:pPr>
            <w:r>
              <w:t xml:space="preserve">$715,000 est. value; $218,400 mortgage; $496,600 equity</w:t>
            </w:r>
          </w:p>
        </w:tc>
      </w:tr>
      <w:tr>
        <w:tc>
          <w:tcPr/>
          <w:p>
            <w:pPr>
              <w:pStyle w:val="Compact"/>
              <w:jc w:val="left"/>
            </w:pPr>
            <w:r>
              <w:t xml:space="preserve">Joint checking (FCB 4821)</w:t>
            </w:r>
          </w:p>
        </w:tc>
        <w:tc>
          <w:tcPr/>
          <w:p>
            <w:pPr>
              <w:pStyle w:val="Compact"/>
              <w:jc w:val="left"/>
            </w:pPr>
            <w:r>
              <w:t xml:space="preserve">$12,340</w:t>
            </w:r>
          </w:p>
        </w:tc>
      </w:tr>
      <w:tr>
        <w:tc>
          <w:tcPr/>
          <w:p>
            <w:pPr>
              <w:pStyle w:val="Compact"/>
              <w:jc w:val="left"/>
            </w:pPr>
            <w:r>
              <w:t xml:space="preserve">Joint savings (FCB 4822)</w:t>
            </w:r>
          </w:p>
        </w:tc>
        <w:tc>
          <w:tcPr/>
          <w:p>
            <w:pPr>
              <w:pStyle w:val="Compact"/>
              <w:jc w:val="left"/>
            </w:pPr>
            <w:r>
              <w:t xml:space="preserve">$28,750</w:t>
            </w:r>
          </w:p>
        </w:tc>
      </w:tr>
      <w:tr>
        <w:tc>
          <w:tcPr/>
          <w:p>
            <w:pPr>
              <w:pStyle w:val="Compact"/>
              <w:jc w:val="left"/>
            </w:pPr>
            <w:r>
              <w:t xml:space="preserve">Individual checking (FCB 7703)</w:t>
            </w:r>
          </w:p>
        </w:tc>
        <w:tc>
          <w:tcPr/>
          <w:p>
            <w:pPr>
              <w:pStyle w:val="Compact"/>
              <w:jc w:val="left"/>
            </w:pPr>
            <w:r>
              <w:t xml:space="preserve">$8,215</w:t>
            </w:r>
          </w:p>
        </w:tc>
      </w:tr>
      <w:tr>
        <w:tc>
          <w:tcPr/>
          <w:p>
            <w:pPr>
              <w:pStyle w:val="Compact"/>
              <w:jc w:val="left"/>
            </w:pPr>
            <w:r>
              <w:t xml:space="preserve">Individual savings (FCB 7704)</w:t>
            </w:r>
          </w:p>
        </w:tc>
        <w:tc>
          <w:tcPr/>
          <w:p>
            <w:pPr>
              <w:pStyle w:val="Compact"/>
              <w:jc w:val="left"/>
            </w:pPr>
            <w:r>
              <w:t xml:space="preserve">$42,680</w:t>
            </w:r>
          </w:p>
        </w:tc>
      </w:tr>
      <w:tr>
        <w:tc>
          <w:tcPr/>
          <w:p>
            <w:pPr>
              <w:pStyle w:val="Compact"/>
              <w:jc w:val="left"/>
            </w:pPr>
            <w:r>
              <w:t xml:space="preserve">Crestline brokerage (9956)</w:t>
            </w:r>
          </w:p>
        </w:tc>
        <w:tc>
          <w:tcPr/>
          <w:p>
            <w:pPr>
              <w:pStyle w:val="Compact"/>
              <w:jc w:val="left"/>
            </w:pPr>
            <w:r>
              <w:t xml:space="preserve">$387,450</w:t>
            </w:r>
          </w:p>
        </w:tc>
      </w:tr>
      <w:tr>
        <w:tc>
          <w:tcPr/>
          <w:p>
            <w:pPr>
              <w:pStyle w:val="Compact"/>
              <w:jc w:val="left"/>
            </w:pPr>
            <w:r>
              <w:t xml:space="preserve">401(k) — Pinnacle Retirement (3310)</w:t>
            </w:r>
          </w:p>
        </w:tc>
        <w:tc>
          <w:tcPr/>
          <w:p>
            <w:pPr>
              <w:pStyle w:val="Compact"/>
              <w:jc w:val="left"/>
            </w:pPr>
            <w:r>
              <w:t xml:space="preserve">$412,800</w:t>
            </w:r>
          </w:p>
        </w:tc>
      </w:tr>
      <w:tr>
        <w:tc>
          <w:tcPr/>
          <w:p>
            <w:pPr>
              <w:pStyle w:val="Compact"/>
              <w:jc w:val="left"/>
            </w:pPr>
            <w:r>
              <w:t xml:space="preserve">403(b) — Petitioner (Pinnacle 5587)</w:t>
            </w:r>
          </w:p>
        </w:tc>
        <w:tc>
          <w:tcPr/>
          <w:p>
            <w:pPr>
              <w:pStyle w:val="Compact"/>
              <w:jc w:val="left"/>
            </w:pPr>
            <w:r>
              <w:t xml:space="preserve">$89,200</w:t>
            </w:r>
          </w:p>
        </w:tc>
      </w:tr>
      <w:tr>
        <w:tc>
          <w:tcPr/>
          <w:p>
            <w:pPr>
              <w:pStyle w:val="Compact"/>
              <w:jc w:val="left"/>
            </w:pPr>
            <w:r>
              <w:rPr>
                <w:b/>
                <w:bCs/>
              </w:rPr>
              <w:t xml:space="preserve">Total financial accounts</w:t>
            </w:r>
          </w:p>
        </w:tc>
        <w:tc>
          <w:tcPr/>
          <w:p>
            <w:pPr>
              <w:pStyle w:val="Compact"/>
              <w:jc w:val="left"/>
            </w:pPr>
            <w:r>
              <w:rPr>
                <w:b/>
                <w:bCs/>
              </w:rPr>
              <w:t xml:space="preserve">$981,435</w:t>
            </w:r>
          </w:p>
        </w:tc>
      </w:tr>
      <w:tr>
        <w:tc>
          <w:tcPr/>
          <w:p>
            <w:pPr>
              <w:pStyle w:val="Compact"/>
              <w:jc w:val="left"/>
            </w:pPr>
            <w:r>
              <w:t xml:space="preserve">NovaBridge 60% membership interest</w:t>
            </w:r>
          </w:p>
        </w:tc>
        <w:tc>
          <w:tcPr/>
          <w:p>
            <w:pPr>
              <w:pStyle w:val="Compact"/>
              <w:jc w:val="left"/>
            </w:pPr>
            <w:r>
              <w:t xml:space="preserve">Not valued (appraisal reserved)</w:t>
            </w:r>
          </w:p>
        </w:tc>
      </w:tr>
      <w:tr>
        <w:tc>
          <w:tcPr/>
          <w:p>
            <w:pPr>
              <w:pStyle w:val="Compact"/>
              <w:jc w:val="left"/>
            </w:pPr>
            <w:r>
              <w:t xml:space="preserve">2022 BMW X5 (Darren)</w:t>
            </w:r>
          </w:p>
        </w:tc>
        <w:tc>
          <w:tcPr/>
          <w:p>
            <w:pPr>
              <w:pStyle w:val="Compact"/>
              <w:jc w:val="left"/>
            </w:pPr>
            <w:r>
              <w:t xml:space="preserve">$48,500 value; $22,100 loan; $26,400 equity</w:t>
            </w:r>
          </w:p>
        </w:tc>
      </w:tr>
      <w:tr>
        <w:tc>
          <w:tcPr/>
          <w:p>
            <w:pPr>
              <w:pStyle w:val="Compact"/>
              <w:jc w:val="left"/>
            </w:pPr>
            <w:r>
              <w:t xml:space="preserve">2020 Honda CR-V (Petitioner)</w:t>
            </w:r>
          </w:p>
        </w:tc>
        <w:tc>
          <w:tcPr/>
          <w:p>
            <w:pPr>
              <w:pStyle w:val="Compact"/>
              <w:jc w:val="left"/>
            </w:pPr>
            <w:r>
              <w:t xml:space="preserve">$24,800 value; $0 loan; $24,800 equity</w:t>
            </w:r>
          </w:p>
        </w:tc>
      </w:tr>
      <w:tr>
        <w:tc>
          <w:tcPr/>
          <w:p>
            <w:pPr>
              <w:pStyle w:val="Compact"/>
              <w:jc w:val="left"/>
            </w:pPr>
            <w:r>
              <w:t xml:space="preserve">Household/personal property</w:t>
            </w:r>
          </w:p>
        </w:tc>
        <w:tc>
          <w:tcPr/>
          <w:p>
            <w:pPr>
              <w:pStyle w:val="Compact"/>
              <w:jc w:val="left"/>
            </w:pPr>
            <w:r>
              <w:t xml:space="preserve">~$30,000</w:t>
            </w:r>
          </w:p>
        </w:tc>
      </w:tr>
    </w:tbl>
    <w:bookmarkEnd w:id="24"/>
    <w:bookmarkStart w:id="25" w:name="d.-liabilities-as-reported-in-prod-001"/>
    <w:p>
      <w:pPr>
        <w:pStyle w:val="Heading3"/>
      </w:pPr>
      <w:r>
        <w:t xml:space="preserve">D. Liabilities (as reported in PROD-001)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Liability</w:t>
            </w:r>
          </w:p>
        </w:tc>
        <w:tc>
          <w:tcPr/>
          <w:p>
            <w:pPr>
              <w:pStyle w:val="Compact"/>
              <w:jc w:val="left"/>
            </w:pPr>
            <w:r>
              <w:t xml:space="preserve">Reported Balance</w:t>
            </w:r>
          </w:p>
        </w:tc>
      </w:tr>
      <w:tr>
        <w:tc>
          <w:tcPr/>
          <w:p>
            <w:pPr>
              <w:pStyle w:val="Compact"/>
              <w:jc w:val="left"/>
            </w:pPr>
            <w:r>
              <w:t xml:space="preserve">Mortgage — 418 Birchwood Lane (Meridian)</w:t>
            </w:r>
          </w:p>
        </w:tc>
        <w:tc>
          <w:tcPr/>
          <w:p>
            <w:pPr>
              <w:pStyle w:val="Compact"/>
              <w:jc w:val="left"/>
            </w:pPr>
            <w:r>
              <w:t xml:space="preserve">$218,400</w:t>
            </w:r>
          </w:p>
        </w:tc>
      </w:tr>
      <w:tr>
        <w:tc>
          <w:tcPr/>
          <w:p>
            <w:pPr>
              <w:pStyle w:val="Compact"/>
              <w:jc w:val="left"/>
            </w:pPr>
            <w:r>
              <w:t xml:space="preserve">Auto loan — 2022 BMW X5 (FCB Auto Finance)</w:t>
            </w:r>
          </w:p>
        </w:tc>
        <w:tc>
          <w:tcPr/>
          <w:p>
            <w:pPr>
              <w:pStyle w:val="Compact"/>
              <w:jc w:val="left"/>
            </w:pPr>
            <w:r>
              <w:t xml:space="preserve">$22,100</w:t>
            </w:r>
          </w:p>
        </w:tc>
      </w:tr>
      <w:tr>
        <w:tc>
          <w:tcPr/>
          <w:p>
            <w:pPr>
              <w:pStyle w:val="Compact"/>
              <w:jc w:val="left"/>
            </w:pPr>
            <w:r>
              <w:t xml:space="preserve">Credit card — Platinum Visa (</w:t>
            </w:r>
            <w:r>
              <w:t xml:space="preserve">“</w:t>
            </w:r>
            <w:r>
              <w:t xml:space="preserve">First National Card Services</w:t>
            </w:r>
            <w:r>
              <w:t xml:space="preserve">”</w:t>
            </w:r>
            <w:r>
              <w:t xml:space="preserve">)</w:t>
            </w:r>
          </w:p>
        </w:tc>
        <w:tc>
          <w:tcPr/>
          <w:p>
            <w:pPr>
              <w:pStyle w:val="Compact"/>
              <w:jc w:val="left"/>
            </w:pPr>
            <w:r>
              <w:t xml:space="preserve">~$8,500</w:t>
            </w:r>
          </w:p>
        </w:tc>
      </w:tr>
      <w:tr>
        <w:tc>
          <w:tcPr/>
          <w:p>
            <w:pPr>
              <w:pStyle w:val="Compact"/>
              <w:jc w:val="left"/>
            </w:pPr>
            <w:r>
              <w:rPr>
                <w:b/>
                <w:bCs/>
              </w:rPr>
              <w:t xml:space="preserve">Total Liabilities (per Declaration)</w:t>
            </w:r>
          </w:p>
        </w:tc>
        <w:tc>
          <w:tcPr/>
          <w:p>
            <w:pPr>
              <w:pStyle w:val="Compact"/>
              <w:jc w:val="left"/>
            </w:pPr>
            <w:r>
              <w:rPr>
                <w:b/>
                <w:bCs/>
              </w:rPr>
              <w:t xml:space="preserve">~$249,000</w:t>
            </w:r>
          </w:p>
        </w:tc>
      </w:tr>
      <w:tr>
        <w:tc>
          <w:tcPr/>
          <w:p>
            <w:pPr>
              <w:pStyle w:val="Compact"/>
              <w:jc w:val="left"/>
            </w:pPr>
            <w:r>
              <w:t xml:space="preserve">Lease — 2200 Harbor Point Drive, Unit 14B</w:t>
            </w:r>
          </w:p>
        </w:tc>
        <w:tc>
          <w:tcPr/>
          <w:p>
            <w:pPr>
              <w:pStyle w:val="Compact"/>
              <w:jc w:val="left"/>
            </w:pPr>
            <w:r>
              <w:t xml:space="preserve">$4,750/month (disclosed separately)</w:t>
            </w:r>
          </w:p>
        </w:tc>
      </w:tr>
    </w:tbl>
    <w:bookmarkEnd w:id="25"/>
    <w:bookmarkStart w:id="26" w:name="X6495abdbd762677bc146246270d7faa75352fa1"/>
    <w:p>
      <w:pPr>
        <w:pStyle w:val="Heading3"/>
      </w:pPr>
      <w:r>
        <w:t xml:space="preserve">E. Monthly Expenses (as reported in PROD-001)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Monthly Amount</w:t>
            </w:r>
          </w:p>
        </w:tc>
      </w:tr>
      <w:tr>
        <w:tc>
          <w:tcPr/>
          <w:p>
            <w:pPr>
              <w:pStyle w:val="Compact"/>
              <w:jc w:val="left"/>
            </w:pPr>
            <w:r>
              <w:t xml:space="preserve">Total estimated personal monthly expenses</w:t>
            </w:r>
          </w:p>
        </w:tc>
        <w:tc>
          <w:tcPr/>
          <w:p>
            <w:pPr>
              <w:pStyle w:val="Compact"/>
              <w:jc w:val="left"/>
            </w:pPr>
            <w:r>
              <w:t xml:space="preserve">$8,885</w:t>
            </w:r>
          </w:p>
        </w:tc>
      </w:tr>
      <w:tr>
        <w:tc>
          <w:tcPr/>
          <w:p>
            <w:pPr>
              <w:pStyle w:val="Compact"/>
              <w:jc w:val="left"/>
            </w:pPr>
            <w:r>
              <w:t xml:space="preserve">Voluntary contribution to marital household (since ~June 2024)</w:t>
            </w:r>
          </w:p>
        </w:tc>
        <w:tc>
          <w:tcPr/>
          <w:p>
            <w:pPr>
              <w:pStyle w:val="Compact"/>
              <w:jc w:val="left"/>
            </w:pPr>
            <w:r>
              <w:t xml:space="preserve">$3,500</w:t>
            </w:r>
          </w:p>
        </w:tc>
      </w:tr>
      <w:tr>
        <w:tc>
          <w:tcPr/>
          <w:p>
            <w:pPr>
              <w:pStyle w:val="Compact"/>
              <w:jc w:val="left"/>
            </w:pPr>
            <w:r>
              <w:rPr>
                <w:b/>
                <w:bCs/>
              </w:rPr>
              <w:t xml:space="preserve">Total monthly outlay (per Declaration)</w:t>
            </w:r>
          </w:p>
        </w:tc>
        <w:tc>
          <w:tcPr/>
          <w:p>
            <w:pPr>
              <w:pStyle w:val="Compact"/>
              <w:jc w:val="left"/>
            </w:pPr>
            <w:r>
              <w:rPr>
                <w:b/>
                <w:bCs/>
              </w:rPr>
              <w:t xml:space="preserve">$12,385</w:t>
            </w:r>
          </w:p>
        </w:tc>
      </w:tr>
    </w:tbl>
    <w:bookmarkEnd w:id="26"/>
    <w:bookmarkStart w:id="27" w:name="X161629fa6641f22b966b635311f687cff19bd3b"/>
    <w:p>
      <w:pPr>
        <w:pStyle w:val="Heading3"/>
      </w:pPr>
      <w:r>
        <w:t xml:space="preserve">F. Business — NovaBridge Solutions LLC (per PROD-002 entity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2023</w:t>
            </w:r>
          </w:p>
        </w:tc>
        <w:tc>
          <w:tcPr/>
          <w:p>
            <w:pPr>
              <w:pStyle w:val="Compact"/>
              <w:jc w:val="left"/>
            </w:pPr>
            <w:r>
              <w:t xml:space="preserve">2022</w:t>
            </w:r>
          </w:p>
        </w:tc>
      </w:tr>
      <w:tr>
        <w:tc>
          <w:tcPr/>
          <w:p>
            <w:pPr>
              <w:pStyle w:val="Compact"/>
              <w:jc w:val="left"/>
            </w:pPr>
            <w:r>
              <w:t xml:space="preserve">Gross receipts</w:t>
            </w:r>
          </w:p>
        </w:tc>
        <w:tc>
          <w:tcPr/>
          <w:p>
            <w:pPr>
              <w:pStyle w:val="Compact"/>
              <w:jc w:val="left"/>
            </w:pPr>
            <w:r>
              <w:t xml:space="preserve">$4,280,000</w:t>
            </w:r>
          </w:p>
        </w:tc>
        <w:tc>
          <w:tcPr/>
          <w:p>
            <w:pPr>
              <w:pStyle w:val="Compact"/>
              <w:jc w:val="left"/>
            </w:pPr>
            <w:r>
              <w:t xml:space="preserve">$3,915,000</w:t>
            </w:r>
          </w:p>
        </w:tc>
      </w:tr>
      <w:tr>
        <w:tc>
          <w:tcPr/>
          <w:p>
            <w:pPr>
              <w:pStyle w:val="Compact"/>
              <w:jc w:val="left"/>
            </w:pPr>
            <w:r>
              <w:t xml:space="preserve">Ordinary business income (Form 1065, Line 22)</w:t>
            </w:r>
          </w:p>
        </w:tc>
        <w:tc>
          <w:tcPr/>
          <w:p>
            <w:pPr>
              <w:pStyle w:val="Compact"/>
              <w:jc w:val="left"/>
            </w:pPr>
            <w:r>
              <w:t xml:space="preserve">$612,000</w:t>
            </w:r>
          </w:p>
        </w:tc>
        <w:tc>
          <w:tcPr/>
          <w:p>
            <w:pPr>
              <w:pStyle w:val="Compact"/>
              <w:jc w:val="left"/>
            </w:pPr>
            <w:r>
              <w:t xml:space="preserve">$548,000</w:t>
            </w:r>
          </w:p>
        </w:tc>
      </w:tr>
      <w:tr>
        <w:tc>
          <w:tcPr/>
          <w:p>
            <w:pPr>
              <w:pStyle w:val="Compact"/>
              <w:jc w:val="left"/>
            </w:pPr>
            <w:r>
              <w:t xml:space="preserve">Total distributions to partners</w:t>
            </w:r>
          </w:p>
        </w:tc>
        <w:tc>
          <w:tcPr/>
          <w:p>
            <w:pPr>
              <w:pStyle w:val="Compact"/>
              <w:jc w:val="left"/>
            </w:pPr>
            <w:r>
              <w:t xml:space="preserve">$290,000</w:t>
            </w:r>
          </w:p>
        </w:tc>
        <w:tc>
          <w:tcPr/>
          <w:p>
            <w:pPr>
              <w:pStyle w:val="Compact"/>
              <w:jc w:val="left"/>
            </w:pPr>
            <w:r>
              <w:t xml:space="preserve">$260,000</w:t>
            </w:r>
          </w:p>
        </w:tc>
      </w:tr>
      <w:tr>
        <w:tc>
          <w:tcPr/>
          <w:p>
            <w:pPr>
              <w:pStyle w:val="Compact"/>
              <w:jc w:val="left"/>
            </w:pPr>
            <w:r>
              <w:t xml:space="preserve">Retained at entity level</w:t>
            </w:r>
          </w:p>
        </w:tc>
        <w:tc>
          <w:tcPr/>
          <w:p>
            <w:pPr>
              <w:pStyle w:val="Compact"/>
              <w:jc w:val="left"/>
            </w:pPr>
            <w:r>
              <w:t xml:space="preserve">$322,000</w:t>
            </w:r>
          </w:p>
        </w:tc>
        <w:tc>
          <w:tcPr/>
          <w:p>
            <w:pPr>
              <w:pStyle w:val="Compact"/>
              <w:jc w:val="left"/>
            </w:pPr>
            <w:r>
              <w:t xml:space="preserve">—</w:t>
            </w:r>
          </w:p>
        </w:tc>
      </w:tr>
      <w:tr>
        <w:tc>
          <w:tcPr/>
          <w:p>
            <w:pPr>
              <w:pStyle w:val="Compact"/>
              <w:jc w:val="left"/>
            </w:pPr>
            <w:r>
              <w:t xml:space="preserve">Darren Kwan 60% share of retained earnings</w:t>
            </w:r>
          </w:p>
        </w:tc>
        <w:tc>
          <w:tcPr/>
          <w:p>
            <w:pPr>
              <w:pStyle w:val="Compact"/>
              <w:jc w:val="left"/>
            </w:pPr>
            <w:r>
              <w:t xml:space="preserve">$193,200</w:t>
            </w:r>
          </w:p>
        </w:tc>
        <w:tc>
          <w:tcPr/>
          <w:p>
            <w:pPr>
              <w:pStyle w:val="Compact"/>
              <w:jc w:val="left"/>
            </w:pPr>
            <w:r>
              <w:t xml:space="preserve">—</w:t>
            </w:r>
          </w:p>
        </w:tc>
      </w:tr>
      <w:tr>
        <w:tc>
          <w:tcPr/>
          <w:p>
            <w:pPr>
              <w:pStyle w:val="Compact"/>
              <w:jc w:val="left"/>
            </w:pPr>
            <w:r>
              <w:t xml:space="preserve">Darren Kwan K-1 ending capital account (tax basis)</w:t>
            </w:r>
          </w:p>
        </w:tc>
        <w:tc>
          <w:tcPr/>
          <w:p>
            <w:pPr>
              <w:pStyle w:val="Compact"/>
              <w:jc w:val="left"/>
            </w:pPr>
            <w:r>
              <w:t xml:space="preserve">$675,800</w:t>
            </w:r>
          </w:p>
        </w:tc>
        <w:tc>
          <w:tcPr/>
          <w:p>
            <w:pPr>
              <w:pStyle w:val="Compact"/>
              <w:jc w:val="left"/>
            </w:pPr>
            <w:r>
              <w:t xml:space="preserve">$482,600 (beginning)</w:t>
            </w:r>
          </w:p>
        </w:tc>
      </w:tr>
    </w:tbl>
    <w:bookmarkEnd w:id="27"/>
    <w:bookmarkStart w:id="28" w:name="Xc92b25ff93b5f9a23a8c5b8a56a82fdd2152215"/>
    <w:p>
      <w:pPr>
        <w:pStyle w:val="Heading3"/>
      </w:pPr>
      <w:r>
        <w:t xml:space="preserve">G. Key Figures by Produced Document (PROD-003 through PROD-007)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Key Figures</w:t>
            </w:r>
          </w:p>
        </w:tc>
      </w:tr>
      <w:tr>
        <w:tc>
          <w:tcPr/>
          <w:p>
            <w:pPr>
              <w:pStyle w:val="Compact"/>
              <w:jc w:val="left"/>
            </w:pPr>
            <w:r>
              <w:t xml:space="preserve">PROD-003 (Crestline brokerage 9956)</w:t>
            </w:r>
          </w:p>
        </w:tc>
        <w:tc>
          <w:tcPr/>
          <w:p>
            <w:pPr>
              <w:pStyle w:val="Compact"/>
              <w:jc w:val="left"/>
            </w:pPr>
            <w:r>
              <w:t xml:space="preserve">Opening 1/1/2024 $472,450; 6/1/2024 opening $468,695; 8/1/2024 value $387,450; YTD withdrawals $97,300 (incl. $85,000 wire 6/15/2024 to Harborstone Financial Group acct. 2291; $10,550 IRS est. tax 4/15/2024; advisory fees $1,750); YTD market change +$12,300</w:t>
            </w:r>
          </w:p>
        </w:tc>
      </w:tr>
      <w:tr>
        <w:tc>
          <w:tcPr/>
          <w:p>
            <w:pPr>
              <w:pStyle w:val="Compact"/>
              <w:jc w:val="left"/>
            </w:pPr>
            <w:r>
              <w:t xml:space="preserve">PROD-004 (FCB checking 7703)</w:t>
            </w:r>
          </w:p>
        </w:tc>
        <w:tc>
          <w:tcPr/>
          <w:p>
            <w:pPr>
              <w:pStyle w:val="Compact"/>
              <w:jc w:val="left"/>
            </w:pPr>
            <w:r>
              <w:t xml:space="preserve">Opening 3/1/2024 $12,417.62; 6/1/2024 opening $26,869.56; 8/1/2024 $8,215.00; semi-monthly NovaBridge payroll $7,115.38; monthly tenant rent $2,100; dual Meridian ACH $1,842 + $1,680; monthly 401(k) ACH $1,437.50 (plus $14,644.60 on 8/1/2024); Venmo to</w:t>
            </w:r>
            <w:r>
              <w:t xml:space="preserve"> </w:t>
            </w:r>
            <w:r>
              <w:t xml:space="preserve">“</w:t>
            </w:r>
            <w:r>
              <w:t xml:space="preserve">Kiera M.</w:t>
            </w:r>
            <w:r>
              <w:t xml:space="preserve">”</w:t>
            </w:r>
            <w:r>
              <w:t xml:space="preserve"> </w:t>
            </w:r>
            <w:r>
              <w:t xml:space="preserve">$14,600 (Mar–Jul)</w:t>
            </w:r>
          </w:p>
        </w:tc>
      </w:tr>
      <w:tr>
        <w:tc>
          <w:tcPr/>
          <w:p>
            <w:pPr>
              <w:pStyle w:val="Compact"/>
              <w:jc w:val="left"/>
            </w:pPr>
            <w:r>
              <w:t xml:space="preserve">PROD-004 (FCB savings 7704)</w:t>
            </w:r>
          </w:p>
        </w:tc>
        <w:tc>
          <w:tcPr/>
          <w:p>
            <w:pPr>
              <w:pStyle w:val="Compact"/>
              <w:jc w:val="left"/>
            </w:pPr>
            <w:r>
              <w:t xml:space="preserve">Opening 3/1/2024 $38,450.00; 6/1/2024 $40,547.96; 8/1/2024 $42,680.00; APY 1.00%; two $2,000 transfers from checking (4/20, 6/22)</w:t>
            </w:r>
          </w:p>
        </w:tc>
      </w:tr>
      <w:tr>
        <w:tc>
          <w:tcPr/>
          <w:p>
            <w:pPr>
              <w:pStyle w:val="Compact"/>
              <w:jc w:val="left"/>
            </w:pPr>
            <w:r>
              <w:t xml:space="preserve">PROD-005 (Meridian — 1035 Elm St.)</w:t>
            </w:r>
          </w:p>
        </w:tc>
        <w:tc>
          <w:tcPr/>
          <w:p>
            <w:pPr>
              <w:pStyle w:val="Compact"/>
              <w:jc w:val="left"/>
            </w:pPr>
            <w:r>
              <w:t xml:space="preserve">Original loan $279,000 (10/8/2019); 4.875% fixed; 30-yr; maturity 11/1/2049; PITI $1,680; principal balance 8/1/2024 ~$241,281.19; sole borrower Darren Kwan; YTD interest $6,928.58</w:t>
            </w:r>
          </w:p>
        </w:tc>
      </w:tr>
      <w:tr>
        <w:tc>
          <w:tcPr/>
          <w:p>
            <w:pPr>
              <w:pStyle w:val="Compact"/>
              <w:jc w:val="left"/>
            </w:pPr>
            <w:r>
              <w:t xml:space="preserve">PROD-006 (Platinum Visa 8316)</w:t>
            </w:r>
          </w:p>
        </w:tc>
        <w:tc>
          <w:tcPr/>
          <w:p>
            <w:pPr>
              <w:pStyle w:val="Compact"/>
              <w:jc w:val="left"/>
            </w:pPr>
            <w:r>
              <w:t xml:space="preserve">New charges: May $7,038.45; June $8,124.30; July $12,486.75; Aug $6,418.50 (total $34,068); paid in full monthly; credit limit $50,000; rewards points 69,346 (Aug); address change to Harbor Point effective July cycle</w:t>
            </w:r>
          </w:p>
        </w:tc>
      </w:tr>
      <w:tr>
        <w:tc>
          <w:tcPr/>
          <w:p>
            <w:pPr>
              <w:pStyle w:val="Compact"/>
              <w:jc w:val="left"/>
            </w:pPr>
            <w:r>
              <w:t xml:space="preserve">PROD-007 (NovaBridge expense reports)</w:t>
            </w:r>
          </w:p>
        </w:tc>
        <w:tc>
          <w:tcPr/>
          <w:p>
            <w:pPr>
              <w:pStyle w:val="Compact"/>
              <w:jc w:val="left"/>
            </w:pPr>
            <w:r>
              <w:t xml:space="preserve">Q1 $3,373; Q2 $9,289; YTD $12,662; by category — Client Entertainment $7,752, Travel $2,191, Technology $2,439, Office Supplies $280; self-approved per Operating Agreement §5.3</w:t>
            </w:r>
          </w:p>
        </w:tc>
      </w:tr>
    </w:tbl>
    <w:p>
      <w:r>
        <w:pict>
          <v:rect style="width:0;height:1.5pt" o:hralign="center" o:hrstd="t" o:hr="t"/>
        </w:pict>
      </w:r>
    </w:p>
    <w:bookmarkEnd w:id="28"/>
    <w:bookmarkEnd w:id="29"/>
    <w:bookmarkStart w:id="40" w:name="X2efe0c8403a8222bd6ec5b343d256352d31234d"/>
    <w:p>
      <w:pPr>
        <w:pStyle w:val="Heading2"/>
      </w:pPr>
      <w:r>
        <w:t xml:space="preserve">IV. Flagged Inconsistencies, Omissions, and Red Flags</w:t>
      </w:r>
    </w:p>
    <w:p>
      <w:pPr>
        <w:pStyle w:val="FirstParagraph"/>
      </w:pPr>
      <w:r>
        <w:t xml:space="preserve">The following items are enumerated individually. Each is supported by the cited produced document. Items are grouped by category for ease of reference, but each numbered item is a distinct issue.</w:t>
      </w:r>
    </w:p>
    <w:bookmarkStart w:id="30" w:name="a.-income"/>
    <w:p>
      <w:pPr>
        <w:pStyle w:val="Heading3"/>
      </w:pPr>
      <w:r>
        <w:t xml:space="preserve">A. Income</w:t>
      </w:r>
    </w:p>
    <w:p>
      <w:pPr>
        <w:pStyle w:val="FirstParagraph"/>
      </w:pPr>
      <w:r>
        <w:rPr>
          <w:b/>
          <w:bCs/>
        </w:rPr>
        <w:t xml:space="preserve">1. Material understatement of total income.</w:t>
      </w:r>
      <w:r>
        <w:t xml:space="preserve"> </w:t>
      </w:r>
      <w:r>
        <w:t xml:space="preserve">The Declaration (PROD-001, ¶16) reports total 2023 income of $359,000. The 2023 joint tax return (PROD-002) reflects Respondent’s share of income at approximately $571,740 (W-2 $185,000 + K-1 ordinary business income $367,200 + net rental $2,940 + interest $1,840 + ordinary dividends $6,310 + capital gains $8,450). The Declaration understates Respondent’s 2023 income by approximately</w:t>
      </w:r>
      <w:r>
        <w:t xml:space="preserve"> </w:t>
      </w:r>
      <w:r>
        <w:rPr>
          <w:b/>
          <w:bCs/>
        </w:rPr>
        <w:t xml:space="preserve">$212,740</w:t>
      </w:r>
      <w:r>
        <w:t xml:space="preserve">.</w:t>
      </w:r>
      <w:r>
        <w:t xml:space="preserve"> </w:t>
      </w:r>
      <w:r>
        <w:rPr>
          <w:i/>
          <w:iCs/>
        </w:rPr>
        <w:t xml:space="preserve">Sources: PROD-001 ¶¶15–16; PROD-002 Form 1040 Lines 1a, 2b, 3b, 7, 8; Schedule K-1 Box 1; Schedule E Part I.</w:t>
      </w:r>
    </w:p>
    <w:p>
      <w:pPr>
        <w:pStyle w:val="BodyText"/>
      </w:pPr>
      <w:r>
        <w:rPr>
          <w:b/>
          <w:bCs/>
        </w:rPr>
        <w:t xml:space="preserve">2. Conflation of K-1 distributions with K-1 pass-through income.</w:t>
      </w:r>
      <w:r>
        <w:t xml:space="preserve"> </w:t>
      </w:r>
      <w:r>
        <w:t xml:space="preserve">The Declaration (PROD-001, ¶15) describes</w:t>
      </w:r>
      <w:r>
        <w:t xml:space="preserve"> </w:t>
      </w:r>
      <w:r>
        <w:t xml:space="preserve">“</w:t>
      </w:r>
      <w:r>
        <w:t xml:space="preserve">$174,000</w:t>
      </w:r>
      <w:r>
        <w:t xml:space="preserve">”</w:t>
      </w:r>
      <w:r>
        <w:t xml:space="preserve"> </w:t>
      </w:r>
      <w:r>
        <w:t xml:space="preserve">as</w:t>
      </w:r>
      <w:r>
        <w:t xml:space="preserve"> </w:t>
      </w:r>
      <w:r>
        <w:t xml:space="preserve">“</w:t>
      </w:r>
      <w:r>
        <w:t xml:space="preserve">K-1 Income / Distributions</w:t>
      </w:r>
      <w:r>
        <w:t xml:space="preserve">”</w:t>
      </w:r>
      <w:r>
        <w:t xml:space="preserve"> </w:t>
      </w:r>
      <w:r>
        <w:t xml:space="preserve">and states it is</w:t>
      </w:r>
      <w:r>
        <w:t xml:space="preserve"> </w:t>
      </w:r>
      <w:r>
        <w:t xml:space="preserve">“</w:t>
      </w:r>
      <w:r>
        <w:t xml:space="preserve">reflected on the Schedule K-1.</w:t>
      </w:r>
      <w:r>
        <w:t xml:space="preserve">”</w:t>
      </w:r>
      <w:r>
        <w:t xml:space="preserve"> </w:t>
      </w:r>
      <w:r>
        <w:t xml:space="preserve">The produced K-1 (PROD-002) reports</w:t>
      </w:r>
      <w:r>
        <w:t xml:space="preserve"> </w:t>
      </w:r>
      <w:r>
        <w:rPr>
          <w:b/>
          <w:bCs/>
        </w:rPr>
        <w:t xml:space="preserve">ordinary business income of $367,200 in Box 1</w:t>
      </w:r>
      <w:r>
        <w:t xml:space="preserve"> </w:t>
      </w:r>
      <w:r>
        <w:t xml:space="preserve">(the taxable pass-through income) and</w:t>
      </w:r>
      <w:r>
        <w:t xml:space="preserve"> </w:t>
      </w:r>
      <w:r>
        <w:rPr>
          <w:b/>
          <w:bCs/>
        </w:rPr>
        <w:t xml:space="preserve">cash distributions of $174,000 in Box 19a</w:t>
      </w:r>
      <w:r>
        <w:t xml:space="preserve"> </w:t>
      </w:r>
      <w:r>
        <w:t xml:space="preserve">(a return of capital, not income). The Declaration reports the distribution figure as income, understating taxable K-1 income by</w:t>
      </w:r>
      <w:r>
        <w:t xml:space="preserve"> </w:t>
      </w:r>
      <w:r>
        <w:rPr>
          <w:b/>
          <w:bCs/>
        </w:rPr>
        <w:t xml:space="preserve">$193,200</w:t>
      </w:r>
      <w:r>
        <w:t xml:space="preserve">. For child-support and alimony purposes, the $367,200 pass-through income (not the $174,000 distribution) is the relevant figure.</w:t>
      </w:r>
      <w:r>
        <w:t xml:space="preserve"> </w:t>
      </w:r>
      <w:r>
        <w:rPr>
          <w:i/>
          <w:iCs/>
        </w:rPr>
        <w:t xml:space="preserve">Sources: PROD-001 ¶15, ¶16; PROD-002 Schedule K-1 Boxes 1 and 19a.</w:t>
      </w:r>
    </w:p>
    <w:p>
      <w:pPr>
        <w:pStyle w:val="BodyText"/>
      </w:pPr>
      <w:r>
        <w:rPr>
          <w:b/>
          <w:bCs/>
        </w:rPr>
        <w:t xml:space="preserve">3. False statement that Respondent has</w:t>
      </w:r>
      <w:r>
        <w:rPr>
          <w:b/>
          <w:bCs/>
        </w:rPr>
        <w:t xml:space="preserve"> </w:t>
      </w:r>
      <w:r>
        <w:rPr>
          <w:b/>
          <w:bCs/>
        </w:rPr>
        <w:t xml:space="preserve">“</w:t>
      </w:r>
      <w:r>
        <w:rPr>
          <w:b/>
          <w:bCs/>
        </w:rPr>
        <w:t xml:space="preserve">no other sources of income.</w:t>
      </w:r>
      <w:r>
        <w:rPr>
          <w:b/>
          <w:bCs/>
        </w:rPr>
        <w:t xml:space="preserve">”</w:t>
      </w:r>
      <w:r>
        <w:t xml:space="preserve"> </w:t>
      </w:r>
      <w:r>
        <w:t xml:space="preserve">The Declaration (PROD-001, ¶19) expressly states Respondent has no interest, dividend, rental, royalty, trust, or other investment income (</w:t>
      </w:r>
      <w:r>
        <w:t xml:space="preserve">“</w:t>
      </w:r>
      <w:r>
        <w:t xml:space="preserve">None</w:t>
      </w:r>
      <w:r>
        <w:t xml:space="preserve">”</w:t>
      </w:r>
      <w:r>
        <w:t xml:space="preserve">). The tax return (PROD-002) reports taxable interest ($1,840), ordinary dividends ($6,310), qualified dividends ($4,620), net capital gain ($8,450), and net rental real estate income ($2,940). The Crestline statements (PROD-003) show ongoing reinvested dividends throughout 2024, and the FCB statements (PROD-004) show ongoing $2,100/month tenant rent deposits. The</w:t>
      </w:r>
      <w:r>
        <w:t xml:space="preserve"> </w:t>
      </w:r>
      <w:r>
        <w:t xml:space="preserve">“</w:t>
      </w:r>
      <w:r>
        <w:t xml:space="preserve">None</w:t>
      </w:r>
      <w:r>
        <w:t xml:space="preserve">”</w:t>
      </w:r>
      <w:r>
        <w:t xml:space="preserve"> </w:t>
      </w:r>
      <w:r>
        <w:t xml:space="preserve">representation is directly contradicted by Respondent’s own produced records.</w:t>
      </w:r>
      <w:r>
        <w:t xml:space="preserve"> </w:t>
      </w:r>
      <w:r>
        <w:rPr>
          <w:i/>
          <w:iCs/>
        </w:rPr>
        <w:t xml:space="preserve">Sources: PROD-001 ¶19; PROD-002 Form 1040 Lines 2b, 3a, 3b, 7, 8; PROD-003 (reinvested dividends); PROD-004 (tenant rent deposits).</w:t>
      </w:r>
    </w:p>
    <w:p>
      <w:pPr>
        <w:pStyle w:val="BodyText"/>
      </w:pPr>
      <w:r>
        <w:rPr>
          <w:b/>
          <w:bCs/>
        </w:rPr>
        <w:t xml:space="preserve">4. Omission of rental income from 1035 Elm Street, Unit C.</w:t>
      </w:r>
      <w:r>
        <w:t xml:space="preserve"> </w:t>
      </w:r>
      <w:r>
        <w:t xml:space="preserve">The tax return (PROD-002, Schedule E Part I) reports $25,200 in rents received ($2,100/month × 12) and $2,940 net rental income from 1035 Elm Street, Unit C,</w:t>
      </w:r>
      <w:r>
        <w:t xml:space="preserve"> </w:t>
      </w:r>
      <w:r>
        <w:t xml:space="preserve">“</w:t>
      </w:r>
      <w:r>
        <w:t xml:space="preserve">titled in the name of Darren Kwan.</w:t>
      </w:r>
      <w:r>
        <w:t xml:space="preserve">”</w:t>
      </w:r>
      <w:r>
        <w:t xml:space="preserve"> </w:t>
      </w:r>
      <w:r>
        <w:t xml:space="preserve">The FCB checking statements (PROD-004) confirm $2,100/month</w:t>
      </w:r>
      <w:r>
        <w:t xml:space="preserve"> </w:t>
      </w:r>
      <w:r>
        <w:t xml:space="preserve">“</w:t>
      </w:r>
      <w:r>
        <w:t xml:space="preserve">ACH Deposit — Tenant Rent Payment</w:t>
      </w:r>
      <w:r>
        <w:t xml:space="preserve">”</w:t>
      </w:r>
      <w:r>
        <w:t xml:space="preserve"> </w:t>
      </w:r>
      <w:r>
        <w:t xml:space="preserve">in April, May, June, and July 2024. The Declaration omits this income stream entirely.</w:t>
      </w:r>
      <w:r>
        <w:t xml:space="preserve"> </w:t>
      </w:r>
      <w:r>
        <w:rPr>
          <w:i/>
          <w:iCs/>
        </w:rPr>
        <w:t xml:space="preserve">Sources: PROD-002 Schedule E Part I; PROD-004 (Apr.–Jul. 2024 rent deposits); cf. PROD-001 ¶19.</w:t>
      </w:r>
    </w:p>
    <w:p>
      <w:pPr>
        <w:pStyle w:val="BodyText"/>
      </w:pPr>
      <w:r>
        <w:rPr>
          <w:b/>
          <w:bCs/>
        </w:rPr>
        <w:t xml:space="preserve">5. Omission of the $9,600/year employer vehicle allowance.</w:t>
      </w:r>
      <w:r>
        <w:t xml:space="preserve"> </w:t>
      </w:r>
      <w:r>
        <w:t xml:space="preserve">Respondent’s 2023 W-2 (PROD-002) reports in Box 14 a</w:t>
      </w:r>
      <w:r>
        <w:t xml:space="preserve"> </w:t>
      </w:r>
      <w:r>
        <w:t xml:space="preserve">“</w:t>
      </w:r>
      <w:r>
        <w:t xml:space="preserve">Vehicle allowance</w:t>
      </w:r>
      <w:r>
        <w:t xml:space="preserve">”</w:t>
      </w:r>
      <w:r>
        <w:t xml:space="preserve"> </w:t>
      </w:r>
      <w:r>
        <w:t xml:space="preserve">of $9,600 ($800/month employer-provided vehicle stipend paid by NovaBridge). This compensation/benefit is not disclosed anywhere in the Declaration’s income section (which claims total income of $359,000 and</w:t>
      </w:r>
      <w:r>
        <w:t xml:space="preserve"> </w:t>
      </w:r>
      <w:r>
        <w:t xml:space="preserve">“</w:t>
      </w:r>
      <w:r>
        <w:t xml:space="preserve">no other sources of income</w:t>
      </w:r>
      <w:r>
        <w:t xml:space="preserve">”</w:t>
      </w:r>
      <w:r>
        <w:t xml:space="preserve">). The allowance either constitutes additional income or offsets the auto expenses Respondent claims on his monthly expense schedule.</w:t>
      </w:r>
      <w:r>
        <w:t xml:space="preserve"> </w:t>
      </w:r>
      <w:r>
        <w:rPr>
          <w:i/>
          <w:iCs/>
        </w:rPr>
        <w:t xml:space="preserve">Sources: PROD-002 W-2 #1 Box 14; PROD-001 ¶¶16, 19.</w:t>
      </w:r>
    </w:p>
    <w:p>
      <w:pPr>
        <w:pStyle w:val="BodyText"/>
      </w:pPr>
      <w:r>
        <w:rPr>
          <w:b/>
          <w:bCs/>
        </w:rPr>
        <w:t xml:space="preserve">6. 2024 payroll direct deposits do not reconcile to the declared $185,000 salary.</w:t>
      </w:r>
      <w:r>
        <w:t xml:space="preserve"> </w:t>
      </w:r>
      <w:r>
        <w:t xml:space="preserve">The FCB checking statements (PROD-004) show semi-monthly direct deposits from NovaBridge payroll of $7,115.38 (24 deposits/year = $170,769.12). Even treated as net pay, $7,115.38 is far too high to be the net of a $185,000 gross after the $22,500 401(k) deferral and the $38,220 federal withholding shown on the 2023 W-2 (which would yield roughly $4,650 per check). The deposit level is instead consistent with a gross salary materially higher than $185,000, or with compensation not reflected on the W-2. The Declaration (PROD-001, ¶14) represents that 2024 salary</w:t>
      </w:r>
      <w:r>
        <w:t xml:space="preserve"> </w:t>
      </w:r>
      <w:r>
        <w:t xml:space="preserve">“</w:t>
      </w:r>
      <w:r>
        <w:t xml:space="preserve">remains at the same level</w:t>
      </w:r>
      <w:r>
        <w:t xml:space="preserve">”</w:t>
      </w:r>
      <w:r>
        <w:t xml:space="preserve"> </w:t>
      </w:r>
      <w:r>
        <w:t xml:space="preserve">as 2023 ($185,000).</w:t>
      </w:r>
      <w:r>
        <w:t xml:space="preserve"> </w:t>
      </w:r>
      <w:r>
        <w:rPr>
          <w:i/>
          <w:iCs/>
        </w:rPr>
        <w:t xml:space="preserve">Sources: PROD-004 (Mar.–Aug. 2024 payroll deposits); PROD-001 ¶14; PROD-002 W-2 #1.</w:t>
      </w:r>
    </w:p>
    <w:bookmarkEnd w:id="30"/>
    <w:bookmarkStart w:id="31" w:name="Xa59c41bdfdca831bf7d68926d633ddffd146485"/>
    <w:p>
      <w:pPr>
        <w:pStyle w:val="Heading3"/>
      </w:pPr>
      <w:r>
        <w:t xml:space="preserve">B. Assets — Omission of 1035 Elm Street, Unit C</w:t>
      </w:r>
    </w:p>
    <w:p>
      <w:pPr>
        <w:pStyle w:val="FirstParagraph"/>
      </w:pPr>
      <w:r>
        <w:rPr>
          <w:b/>
          <w:bCs/>
        </w:rPr>
        <w:t xml:space="preserve">7. Complete omission of a separately titled investment property.</w:t>
      </w:r>
      <w:r>
        <w:t xml:space="preserve"> </w:t>
      </w:r>
      <w:r>
        <w:t xml:space="preserve">The Declaration (PROD-001, ¶23) states:</w:t>
      </w:r>
      <w:r>
        <w:t xml:space="preserve"> </w:t>
      </w:r>
      <w:r>
        <w:t xml:space="preserve">“</w:t>
      </w:r>
      <w:r>
        <w:t xml:space="preserve">Respondent does not hold any ownership interest, whether sole or joint, in any other real property</w:t>
      </w:r>
      <w:r>
        <w:t xml:space="preserve">”</w:t>
      </w:r>
      <w:r>
        <w:t xml:space="preserve"> </w:t>
      </w:r>
      <w:r>
        <w:t xml:space="preserve">besides the marital residence. The produced records establish that Respondent owns 1035 Elm Street, Unit C, Fairview, Columbia 20147: (i) the 2023 tax return (PROD-002, Schedule E Part I) lists it as a rental property</w:t>
      </w:r>
      <w:r>
        <w:t xml:space="preserve"> </w:t>
      </w:r>
      <w:r>
        <w:t xml:space="preserve">“</w:t>
      </w:r>
      <w:r>
        <w:t xml:space="preserve">titled in the name of Darren Kwan,</w:t>
      </w:r>
      <w:r>
        <w:t xml:space="preserve">”</w:t>
      </w:r>
      <w:r>
        <w:t xml:space="preserve"> </w:t>
      </w:r>
      <w:r>
        <w:t xml:space="preserve">365 rental days, 0 personal use; (ii) the Meridian mortgage statements (PROD-005) identify Darren Kwan as sole borrower on Loan 7842-0163-ELM for that property; and (iii) the FCB checking statements (PROD-004) show both the $1,680/month Elm Street mortgage payment and the $2,100/month tenant rent. The property was acquired during the marriage (mortgage originated October 8, 2019) and is likely subject to equitable distribution.</w:t>
      </w:r>
      <w:r>
        <w:t xml:space="preserve"> </w:t>
      </w:r>
      <w:r>
        <w:rPr>
          <w:i/>
          <w:iCs/>
        </w:rPr>
        <w:t xml:space="preserve">Sources: PROD-001 ¶23; PROD-002 Schedule E Part I; PROD-005 (all three statements); PROD-004 (Meridian $1,680 ACH and tenant rent deposits).</w:t>
      </w:r>
    </w:p>
    <w:p>
      <w:pPr>
        <w:pStyle w:val="BodyText"/>
      </w:pPr>
      <w:r>
        <w:rPr>
          <w:b/>
          <w:bCs/>
        </w:rPr>
        <w:t xml:space="preserve">8. Omission of the Elm Street mortgage from the liability schedule.</w:t>
      </w:r>
      <w:r>
        <w:t xml:space="preserve"> </w:t>
      </w:r>
      <w:r>
        <w:t xml:space="preserve">The Meridian mortgage statements (PROD-005) show an outstanding principal balance of approximately</w:t>
      </w:r>
      <w:r>
        <w:t xml:space="preserve"> </w:t>
      </w:r>
      <w:r>
        <w:rPr>
          <w:b/>
          <w:bCs/>
        </w:rPr>
        <w:t xml:space="preserve">$241,281.19</w:t>
      </w:r>
      <w:r>
        <w:t xml:space="preserve"> </w:t>
      </w:r>
      <w:r>
        <w:t xml:space="preserve">as of August 1, 2024 (original loan $279,000, 4.875% fixed, maturity Nov. 1, 2049), with $1,680/month PITI. The Declaration (PROD-001, ¶¶43–48) lists only the Birchwood mortgage ($218,400), the BMW auto loan ($22,100), and the credit card (~$8,500), totaling ~$249,000, and states Respondent</w:t>
      </w:r>
      <w:r>
        <w:t xml:space="preserve"> </w:t>
      </w:r>
      <w:r>
        <w:t xml:space="preserve">“</w:t>
      </w:r>
      <w:r>
        <w:t xml:space="preserve">does not have any other outstanding debts.</w:t>
      </w:r>
      <w:r>
        <w:t xml:space="preserve">”</w:t>
      </w:r>
      <w:r>
        <w:t xml:space="preserve"> </w:t>
      </w:r>
      <w:r>
        <w:t xml:space="preserve">Including the Elm Street mortgage, Respondent’s true liabilities approximate</w:t>
      </w:r>
      <w:r>
        <w:t xml:space="preserve"> </w:t>
      </w:r>
      <w:r>
        <w:rPr>
          <w:b/>
          <w:bCs/>
        </w:rPr>
        <w:t xml:space="preserve">$490,000</w:t>
      </w:r>
      <w:r>
        <w:t xml:space="preserve"> </w:t>
      </w:r>
      <w:r>
        <w:t xml:space="preserve">— roughly double the disclosed amount.</w:t>
      </w:r>
      <w:r>
        <w:t xml:space="preserve"> </w:t>
      </w:r>
      <w:r>
        <w:rPr>
          <w:i/>
          <w:iCs/>
        </w:rPr>
        <w:t xml:space="preserve">Sources: PROD-005 (Aug. 1, 2024 statement); PROD-001 ¶¶43, 48.</w:t>
      </w:r>
    </w:p>
    <w:p>
      <w:pPr>
        <w:pStyle w:val="BodyText"/>
      </w:pPr>
      <w:r>
        <w:rPr>
          <w:b/>
          <w:bCs/>
        </w:rPr>
        <w:t xml:space="preserve">9. The one mortgage statement produced is for the undisclosed property, not the disclosed one.</w:t>
      </w:r>
      <w:r>
        <w:t xml:space="preserve"> </w:t>
      </w:r>
      <w:r>
        <w:t xml:space="preserve">The cover letter describes PROD-005 as mortgage statements for</w:t>
      </w:r>
      <w:r>
        <w:t xml:space="preserve"> </w:t>
      </w:r>
      <w:r>
        <w:t xml:space="preserve">“</w:t>
      </w:r>
      <w:r>
        <w:t xml:space="preserve">1035 Elm Street, Unit C</w:t>
      </w:r>
      <w:r>
        <w:t xml:space="preserve">”</w:t>
      </w:r>
      <w:r>
        <w:t xml:space="preserve"> </w:t>
      </w:r>
      <w:r>
        <w:t xml:space="preserve">— the property omitted from the Declaration. No mortgage statement was produced for the marital residence at 418 Birchwood Lane, which is the Declaration’s single largest disclosed liability ($218,400). The Birchwood mortgage balance therefore cannot be verified from the production.</w:t>
      </w:r>
      <w:r>
        <w:t xml:space="preserve"> </w:t>
      </w:r>
      <w:r>
        <w:rPr>
          <w:i/>
          <w:iCs/>
        </w:rPr>
        <w:t xml:space="preserve">Sources: Cover letter (PROD-005 description); PROD-005; PROD-001 ¶¶20–22, 44.</w:t>
      </w:r>
    </w:p>
    <w:p>
      <w:pPr>
        <w:pStyle w:val="BodyText"/>
      </w:pPr>
      <w:r>
        <w:rPr>
          <w:b/>
          <w:bCs/>
        </w:rPr>
        <w:t xml:space="preserve">10. Dual Meridian mortgage payments in the checking account corroborate the undisclosed second mortgage.</w:t>
      </w:r>
      <w:r>
        <w:t xml:space="preserve"> </w:t>
      </w:r>
      <w:r>
        <w:t xml:space="preserve">The individual checking statements (PROD-004) show</w:t>
      </w:r>
      <w:r>
        <w:t xml:space="preserve"> </w:t>
      </w:r>
      <w:r>
        <w:rPr>
          <w:b/>
          <w:bCs/>
        </w:rPr>
        <w:t xml:space="preserve">two separate monthly ACH payments to Meridian Home Lending every month</w:t>
      </w:r>
      <w:r>
        <w:t xml:space="preserve"> </w:t>
      </w:r>
      <w:r>
        <w:t xml:space="preserve">from March through August 2024: $1,842.00 (the Birchwood mortgage, matching PROD-001 ¶22) and $1,680.00 (the Elm Street mortgage, matching PROD-005). The recurring $1,680 debit is direct bank-record evidence that Respondent services a second, undisclosed mortgage from his individual account.</w:t>
      </w:r>
      <w:r>
        <w:t xml:space="preserve"> </w:t>
      </w:r>
      <w:r>
        <w:rPr>
          <w:i/>
          <w:iCs/>
        </w:rPr>
        <w:t xml:space="preserve">Sources: PROD-004 (Mar.–Aug. 2024 Meridian ACH entries); PROD-001 ¶22; PROD-005.</w:t>
      </w:r>
    </w:p>
    <w:p>
      <w:pPr>
        <w:pStyle w:val="BodyText"/>
      </w:pPr>
      <w:r>
        <w:rPr>
          <w:b/>
          <w:bCs/>
        </w:rPr>
        <w:t xml:space="preserve">11. Major asset valuations rest on unverified estimates, with no formal appraisal.</w:t>
      </w:r>
      <w:r>
        <w:t xml:space="preserve"> </w:t>
      </w:r>
      <w:r>
        <w:t xml:space="preserve">The Declaration’s valuations of its largest assets are estimates, not appraisals: the marital residence ($715,000) is based on</w:t>
      </w:r>
      <w:r>
        <w:t xml:space="preserve"> </w:t>
      </w:r>
      <w:r>
        <w:t xml:space="preserve">“</w:t>
      </w:r>
      <w:r>
        <w:t xml:space="preserve">online</w:t>
      </w:r>
      <w:r>
        <w:t xml:space="preserve">”</w:t>
      </w:r>
      <w:r>
        <w:t xml:space="preserve"> </w:t>
      </w:r>
      <w:r>
        <w:t xml:space="preserve">comparable sales (¶21); the BMW ($48,500) and Honda ($24,800) on</w:t>
      </w:r>
      <w:r>
        <w:t xml:space="preserve"> </w:t>
      </w:r>
      <w:r>
        <w:t xml:space="preserve">“</w:t>
      </w:r>
      <w:r>
        <w:t xml:space="preserve">comparable market listings</w:t>
      </w:r>
      <w:r>
        <w:t xml:space="preserve">”</w:t>
      </w:r>
      <w:r>
        <w:t xml:space="preserve"> </w:t>
      </w:r>
      <w:r>
        <w:t xml:space="preserve">(¶¶39–40); household property ($30,000) on estimate (¶41); and the NovaBridge 60% interest is unvalued (¶37). No formal appraisal supports any major asset value, and the Declaration repeatedly</w:t>
      </w:r>
      <w:r>
        <w:t xml:space="preserve"> </w:t>
      </w:r>
      <w:r>
        <w:t xml:space="preserve">“</w:t>
      </w:r>
      <w:r>
        <w:t xml:space="preserve">reserves the right</w:t>
      </w:r>
      <w:r>
        <w:t xml:space="preserve">”</w:t>
      </w:r>
      <w:r>
        <w:t xml:space="preserve"> </w:t>
      </w:r>
      <w:r>
        <w:t xml:space="preserve">to obtain appraisals.</w:t>
      </w:r>
      <w:r>
        <w:t xml:space="preserve"> </w:t>
      </w:r>
      <w:r>
        <w:rPr>
          <w:i/>
          <w:iCs/>
        </w:rPr>
        <w:t xml:space="preserve">Sources: PROD-001 ¶¶21, 37, 39–41.</w:t>
      </w:r>
    </w:p>
    <w:bookmarkEnd w:id="31"/>
    <w:bookmarkStart w:id="32" w:name="Xdd71a51d85ae187352c5a3830943fe5a67024ff"/>
    <w:p>
      <w:pPr>
        <w:pStyle w:val="Heading3"/>
      </w:pPr>
      <w:r>
        <w:t xml:space="preserve">C. Dissipation / Undisclosed Transfers (Post-Separation)</w:t>
      </w:r>
    </w:p>
    <w:p>
      <w:pPr>
        <w:pStyle w:val="FirstParagraph"/>
      </w:pPr>
      <w:r>
        <w:rPr>
          <w:b/>
          <w:bCs/>
        </w:rPr>
        <w:t xml:space="preserve">12. $85,000 outgoing wire transfer to an undisclosed account.</w:t>
      </w:r>
      <w:r>
        <w:t xml:space="preserve"> </w:t>
      </w:r>
      <w:r>
        <w:t xml:space="preserve">The Crestline statements (PROD-003, June 2024) show an outgoing wire transfer of</w:t>
      </w:r>
      <w:r>
        <w:t xml:space="preserve"> </w:t>
      </w:r>
      <w:r>
        <w:rPr>
          <w:b/>
          <w:bCs/>
        </w:rPr>
        <w:t xml:space="preserve">$85,000.00 on June 15, 2024</w:t>
      </w:r>
      <w:r>
        <w:t xml:space="preserve"> </w:t>
      </w:r>
      <w:r>
        <w:t xml:space="preserve">to</w:t>
      </w:r>
      <w:r>
        <w:t xml:space="preserve"> </w:t>
      </w:r>
      <w:r>
        <w:t xml:space="preserve">“</w:t>
      </w:r>
      <w:r>
        <w:t xml:space="preserve">Harborstone Financial Group,</w:t>
      </w:r>
      <w:r>
        <w:t xml:space="preserve">”</w:t>
      </w:r>
      <w:r>
        <w:t xml:space="preserve"> </w:t>
      </w:r>
      <w:r>
        <w:t xml:space="preserve">recipient account ending 2291 (Reference WT-2024-061524-0087), initiated by the account holder with verbal authorization. This transfer occurred two weeks after the Declaration’s stated separation date of June 1, 2024. No account at Harborstone Financial Group is disclosed anywhere in the Declaration (PROD-001, ¶¶24–33 list only FCB, Crestline, and Pinnacle accounts). The Harborstone account is an undisclosed repository of marital funds.</w:t>
      </w:r>
      <w:r>
        <w:t xml:space="preserve"> </w:t>
      </w:r>
      <w:r>
        <w:rPr>
          <w:i/>
          <w:iCs/>
        </w:rPr>
        <w:t xml:space="preserve">Sources: PROD-003 June 2024 statement and YTD summary; PROD-001 ¶¶24–33.</w:t>
      </w:r>
    </w:p>
    <w:p>
      <w:pPr>
        <w:pStyle w:val="BodyText"/>
      </w:pPr>
      <w:r>
        <w:rPr>
          <w:b/>
          <w:bCs/>
        </w:rPr>
        <w:t xml:space="preserve">13. Recurring transfers to an unidentified third party (</w:t>
      </w:r>
      <w:r>
        <w:rPr>
          <w:b/>
          <w:bCs/>
        </w:rPr>
        <w:t xml:space="preserve">“</w:t>
      </w:r>
      <w:r>
        <w:rPr>
          <w:b/>
          <w:bCs/>
        </w:rPr>
        <w:t xml:space="preserve">Kiera M.</w:t>
      </w:r>
      <w:r>
        <w:rPr>
          <w:b/>
          <w:bCs/>
        </w:rPr>
        <w:t xml:space="preserve">”</w:t>
      </w:r>
      <w:r>
        <w:rPr>
          <w:b/>
          <w:bCs/>
        </w:rPr>
        <w:t xml:space="preserve">).</w:t>
      </w:r>
      <w:r>
        <w:t xml:space="preserve"> </w:t>
      </w:r>
      <w:r>
        <w:t xml:space="preserve">The FCB checking statements (PROD-004) show recurring Venmo payments to</w:t>
      </w:r>
      <w:r>
        <w:t xml:space="preserve"> </w:t>
      </w:r>
      <w:r>
        <w:t xml:space="preserve">“</w:t>
      </w:r>
      <w:r>
        <w:t xml:space="preserve">Kiera M.</w:t>
      </w:r>
      <w:r>
        <w:t xml:space="preserve">”</w:t>
      </w:r>
      <w:r>
        <w:t xml:space="preserve"> </w:t>
      </w:r>
      <w:r>
        <w:t xml:space="preserve">totaling</w:t>
      </w:r>
      <w:r>
        <w:t xml:space="preserve"> </w:t>
      </w:r>
      <w:r>
        <w:rPr>
          <w:b/>
          <w:bCs/>
        </w:rPr>
        <w:t xml:space="preserve">$14,600</w:t>
      </w:r>
      <w:r>
        <w:t xml:space="preserve"> </w:t>
      </w:r>
      <w:r>
        <w:t xml:space="preserve">over the produced period: $2,800 (3/15), $3,100 (4/22), $2,500 (5/10), $3,200 (6/18), and $3,000 (7/14). These are sizable, roughly monthly transfers (continuing both before and after the June 1, 2024 separation date) to an unidentified individual, and are not disclosed or explained in the Declaration. The regularity suggests a structured recurring obligation; the identity of</w:t>
      </w:r>
      <w:r>
        <w:t xml:space="preserve"> </w:t>
      </w:r>
      <w:r>
        <w:t xml:space="preserve">“</w:t>
      </w:r>
      <w:r>
        <w:t xml:space="preserve">Kiera M.</w:t>
      </w:r>
      <w:r>
        <w:t xml:space="preserve">”</w:t>
      </w:r>
      <w:r>
        <w:t xml:space="preserve"> </w:t>
      </w:r>
      <w:r>
        <w:t xml:space="preserve">and the purpose of the transfers must be established.</w:t>
      </w:r>
      <w:r>
        <w:t xml:space="preserve"> </w:t>
      </w:r>
      <w:r>
        <w:rPr>
          <w:i/>
          <w:iCs/>
        </w:rPr>
        <w:t xml:space="preserve">Sources: PROD-004 (Mar.–July 2024 Venmo entries).</w:t>
      </w:r>
    </w:p>
    <w:p>
      <w:pPr>
        <w:pStyle w:val="BodyText"/>
      </w:pPr>
      <w:r>
        <w:rPr>
          <w:b/>
          <w:bCs/>
        </w:rPr>
        <w:t xml:space="preserve">14. Large post-separation lump-sum 401(k) contribution.</w:t>
      </w:r>
      <w:r>
        <w:t xml:space="preserve"> </w:t>
      </w:r>
      <w:r>
        <w:t xml:space="preserve">The FCB checking statements (PROD-004) show regular 401(k) ACH transfers to Pinnacle Retirement Services of $1,437.50/month (March–July, on the 28th), followed by an anomalous</w:t>
      </w:r>
      <w:r>
        <w:t xml:space="preserve"> </w:t>
      </w:r>
      <w:r>
        <w:rPr>
          <w:b/>
          <w:bCs/>
        </w:rPr>
        <w:t xml:space="preserve">$14,644.60</w:t>
      </w:r>
      <w:r>
        <w:t xml:space="preserve"> </w:t>
      </w:r>
      <w:r>
        <w:t xml:space="preserve">transfer on August 1, 2024 (</w:t>
      </w:r>
      <w:r>
        <w:t xml:space="preserve">“</w:t>
      </w:r>
      <w:r>
        <w:t xml:space="preserve">Early Month</w:t>
      </w:r>
      <w:r>
        <w:t xml:space="preserve">”</w:t>
      </w:r>
      <w:r>
        <w:t xml:space="preserve">) — roughly ten times the normal monthly amount and occurring post-separation. No 401(k) account statement was produced to verify the declared $412,800 balance (PROD-001, ¶30) or to show the effect of this contribution.</w:t>
      </w:r>
      <w:r>
        <w:t xml:space="preserve"> </w:t>
      </w:r>
      <w:r>
        <w:rPr>
          <w:i/>
          <w:iCs/>
        </w:rPr>
        <w:t xml:space="preserve">Sources: PROD-004 (Mar.–Aug. 2024 Pinnacle 401(k) ACH entries); PROD-001 ¶30.</w:t>
      </w:r>
    </w:p>
    <w:p>
      <w:pPr>
        <w:pStyle w:val="BodyText"/>
      </w:pPr>
      <w:r>
        <w:rPr>
          <w:b/>
          <w:bCs/>
        </w:rPr>
        <w:t xml:space="preserve">15. The 401(k) transfers may exceed the 2024 elective-deferral limit.</w:t>
      </w:r>
      <w:r>
        <w:t xml:space="preserve"> </w:t>
      </w:r>
      <w:r>
        <w:t xml:space="preserve">The regular monthly 401(k) ACH of $1,437.50 annualizes to $17,250; together with the $14,644.60 lump on August 1, 2024, total 2024 year-to-date transfers to the 401(k) reach approximately</w:t>
      </w:r>
      <w:r>
        <w:t xml:space="preserve"> </w:t>
      </w:r>
      <w:r>
        <w:rPr>
          <w:b/>
          <w:bCs/>
        </w:rPr>
        <w:t xml:space="preserve">$31,895</w:t>
      </w:r>
      <w:r>
        <w:t xml:space="preserve"> </w:t>
      </w:r>
      <w:r>
        <w:t xml:space="preserve">— exceeding the 2024 elective-deferral limit of $23,000 for an employee under age 50 (Respondent is 47, per PROD-001 ¶1) by roughly $8,895. This suggests the transfers include components other than elective deferrals (e.g., a 401(k) loan repayment, employer true-up, or rollover), or that Respondent is sheltering funds in a retirement vehicle; the 401(k) statement is required to characterize the transfers.</w:t>
      </w:r>
      <w:r>
        <w:t xml:space="preserve"> </w:t>
      </w:r>
      <w:r>
        <w:rPr>
          <w:i/>
          <w:iCs/>
        </w:rPr>
        <w:t xml:space="preserve">Sources: PROD-004 (401(k) ACH entries); PROD-001 ¶¶1, 30.</w:t>
      </w:r>
    </w:p>
    <w:bookmarkEnd w:id="32"/>
    <w:bookmarkStart w:id="33" w:name="d.-valuation-date-misrepresentation"/>
    <w:p>
      <w:pPr>
        <w:pStyle w:val="Heading3"/>
      </w:pPr>
      <w:r>
        <w:t xml:space="preserve">D. Valuation-Date Misrepresentation</w:t>
      </w:r>
    </w:p>
    <w:p>
      <w:pPr>
        <w:pStyle w:val="FirstParagraph"/>
      </w:pPr>
      <w:r>
        <w:rPr>
          <w:b/>
          <w:bCs/>
        </w:rPr>
        <w:t xml:space="preserve">16. Account balances reported as of August 1, 2024, not the June 1, 2024 separation date.</w:t>
      </w:r>
      <w:r>
        <w:t xml:space="preserve"> </w:t>
      </w:r>
      <w:r>
        <w:t xml:space="preserve">The Declaration (PROD-001, ¶56) represents that</w:t>
      </w:r>
      <w:r>
        <w:t xml:space="preserve"> </w:t>
      </w:r>
      <w:r>
        <w:t xml:space="preserve">“</w:t>
      </w:r>
      <w:r>
        <w:t xml:space="preserve">[a]ll asset values and account balances reflected herein are approximate as of the date of separation, which Respondent identifies as on or about June 1, 2024.</w:t>
      </w:r>
      <w:r>
        <w:t xml:space="preserve">”</w:t>
      </w:r>
      <w:r>
        <w:t xml:space="preserve"> </w:t>
      </w:r>
      <w:r>
        <w:t xml:space="preserve">The produced statements show the reported balances are actually as of</w:t>
      </w:r>
      <w:r>
        <w:t xml:space="preserve"> </w:t>
      </w:r>
      <w:r>
        <w:rPr>
          <w:b/>
          <w:bCs/>
        </w:rPr>
        <w:t xml:space="preserve">August 1, 2024</w:t>
      </w:r>
      <w:r>
        <w:t xml:space="preserve">: individual checking $8,215 (FCB 8/1/2024), individual savings $42,680 (FCB 8/1/2024), and Crestline brokerage $387,450 (Crestline 8/1/2024 valuation).</w:t>
      </w:r>
      <w:r>
        <w:t xml:space="preserve"> </w:t>
      </w:r>
      <w:r>
        <w:rPr>
          <w:i/>
          <w:iCs/>
        </w:rPr>
        <w:t xml:space="preserve">Sources: PROD-001 ¶56; PROD-004 combined summary (8/1/2024); PROD-003 Aug. 1, 2024 valuation.</w:t>
      </w:r>
    </w:p>
    <w:p>
      <w:pPr>
        <w:pStyle w:val="BodyText"/>
      </w:pPr>
      <w:r>
        <w:rPr>
          <w:b/>
          <w:bCs/>
        </w:rPr>
        <w:t xml:space="preserve">17. The reported brokerage balance masks the $85,000 wire.</w:t>
      </w:r>
      <w:r>
        <w:t xml:space="preserve"> </w:t>
      </w:r>
      <w:r>
        <w:t xml:space="preserve">The Crestline account held</w:t>
      </w:r>
      <w:r>
        <w:t xml:space="preserve"> </w:t>
      </w:r>
      <w:r>
        <w:rPr>
          <w:b/>
          <w:bCs/>
        </w:rPr>
        <w:t xml:space="preserve">$468,695</w:t>
      </w:r>
      <w:r>
        <w:t xml:space="preserve"> </w:t>
      </w:r>
      <w:r>
        <w:t xml:space="preserve">as of June 1, 2024 (the stated separation date) but only</w:t>
      </w:r>
      <w:r>
        <w:t xml:space="preserve"> </w:t>
      </w:r>
      <w:r>
        <w:rPr>
          <w:b/>
          <w:bCs/>
        </w:rPr>
        <w:t xml:space="preserve">$387,450</w:t>
      </w:r>
      <w:r>
        <w:t xml:space="preserve"> </w:t>
      </w:r>
      <w:r>
        <w:t xml:space="preserve">as of August 1, 2024 — a decline of $81,245 driven principally by the $85,000 wire on June 15, 2024 (see Item 12). By reporting the post-wire August 1 balance as the</w:t>
      </w:r>
      <w:r>
        <w:t xml:space="preserve"> </w:t>
      </w:r>
      <w:r>
        <w:t xml:space="preserve">“</w:t>
      </w:r>
      <w:r>
        <w:t xml:space="preserve">separation date</w:t>
      </w:r>
      <w:r>
        <w:t xml:space="preserve">”</w:t>
      </w:r>
      <w:r>
        <w:t xml:space="preserve"> </w:t>
      </w:r>
      <w:r>
        <w:t xml:space="preserve">value, the Declaration understates this marital asset by approximately</w:t>
      </w:r>
      <w:r>
        <w:t xml:space="preserve"> </w:t>
      </w:r>
      <w:r>
        <w:rPr>
          <w:b/>
          <w:bCs/>
        </w:rPr>
        <w:t xml:space="preserve">$81,245</w:t>
      </w:r>
      <w:r>
        <w:t xml:space="preserve">.</w:t>
      </w:r>
      <w:r>
        <w:t xml:space="preserve"> </w:t>
      </w:r>
      <w:r>
        <w:rPr>
          <w:i/>
          <w:iCs/>
        </w:rPr>
        <w:t xml:space="preserve">Sources: PROD-003 June 2024 statement (opening $468,695) and Aug. 1, 2024 valuation ($387,450); PROD-001 ¶29.</w:t>
      </w:r>
    </w:p>
    <w:p>
      <w:pPr>
        <w:pStyle w:val="BodyText"/>
      </w:pPr>
      <w:r>
        <w:rPr>
          <w:b/>
          <w:bCs/>
        </w:rPr>
        <w:t xml:space="preserve">18. The reported checking balance masks post-separation outflows.</w:t>
      </w:r>
      <w:r>
        <w:t xml:space="preserve"> </w:t>
      </w:r>
      <w:r>
        <w:t xml:space="preserve">The individual checking account held</w:t>
      </w:r>
      <w:r>
        <w:t xml:space="preserve"> </w:t>
      </w:r>
      <w:r>
        <w:rPr>
          <w:b/>
          <w:bCs/>
        </w:rPr>
        <w:t xml:space="preserve">$26,869.56</w:t>
      </w:r>
      <w:r>
        <w:t xml:space="preserve"> </w:t>
      </w:r>
      <w:r>
        <w:t xml:space="preserve">on June 1, 2024 but only</w:t>
      </w:r>
      <w:r>
        <w:t xml:space="preserve"> </w:t>
      </w:r>
      <w:r>
        <w:rPr>
          <w:b/>
          <w:bCs/>
        </w:rPr>
        <w:t xml:space="preserve">$8,215.00</w:t>
      </w:r>
      <w:r>
        <w:t xml:space="preserve"> </w:t>
      </w:r>
      <w:r>
        <w:t xml:space="preserve">on August 1, 2024, after the $14,644.60 401(k) transfer, rent, and mortgage payments posted on August 1. The Declaration reports the lower August 1 figure.</w:t>
      </w:r>
      <w:r>
        <w:t xml:space="preserve"> </w:t>
      </w:r>
      <w:r>
        <w:rPr>
          <w:i/>
          <w:iCs/>
        </w:rPr>
        <w:t xml:space="preserve">Sources: PROD-004 June 2024 statement (opening $26,869.56) and Aug. 1, 2024 partial statement ($8,215.00); PROD-001 ¶27.</w:t>
      </w:r>
    </w:p>
    <w:p>
      <w:pPr>
        <w:pStyle w:val="BodyText"/>
      </w:pPr>
      <w:r>
        <w:rPr>
          <w:b/>
          <w:bCs/>
        </w:rPr>
        <w:t xml:space="preserve">19. The reported savings balance is inflated by a post-separation transfer.</w:t>
      </w:r>
      <w:r>
        <w:t xml:space="preserve"> </w:t>
      </w:r>
      <w:r>
        <w:t xml:space="preserve">The individual savings account held</w:t>
      </w:r>
      <w:r>
        <w:t xml:space="preserve"> </w:t>
      </w:r>
      <w:r>
        <w:rPr>
          <w:b/>
          <w:bCs/>
        </w:rPr>
        <w:t xml:space="preserve">$40,547.96</w:t>
      </w:r>
      <w:r>
        <w:t xml:space="preserve"> </w:t>
      </w:r>
      <w:r>
        <w:t xml:space="preserve">on June 1, 2024 but</w:t>
      </w:r>
      <w:r>
        <w:t xml:space="preserve"> </w:t>
      </w:r>
      <w:r>
        <w:rPr>
          <w:b/>
          <w:bCs/>
        </w:rPr>
        <w:t xml:space="preserve">$42,680.00</w:t>
      </w:r>
      <w:r>
        <w:t xml:space="preserve"> </w:t>
      </w:r>
      <w:r>
        <w:t xml:space="preserve">on August 1, 2024 — a $2,132.04 increase composed of a $2,000 transfer from checking on June 22, 2024 (post-separation) plus $132.04 of interest. The Declaration (PROD-001, ¶28) reports the higher August 1 figure as the separation-date value, overstating this asset by approximately $2,132.</w:t>
      </w:r>
      <w:r>
        <w:t xml:space="preserve"> </w:t>
      </w:r>
      <w:r>
        <w:rPr>
          <w:i/>
          <w:iCs/>
        </w:rPr>
        <w:t xml:space="preserve">Sources: PROD-004 savings (May 31 closing $40,547.96; June 22 transfer; Aug. 1 balance $42,680.00); PROD-001 ¶28, ¶56.</w:t>
      </w:r>
    </w:p>
    <w:p>
      <w:pPr>
        <w:pStyle w:val="BodyText"/>
      </w:pPr>
      <w:r>
        <w:rPr>
          <w:b/>
          <w:bCs/>
        </w:rPr>
        <w:t xml:space="preserve">20. The Declaration’s claim that differing valuation dates are</w:t>
      </w:r>
      <w:r>
        <w:rPr>
          <w:b/>
          <w:bCs/>
        </w:rPr>
        <w:t xml:space="preserve"> </w:t>
      </w:r>
      <w:r>
        <w:rPr>
          <w:b/>
          <w:bCs/>
        </w:rPr>
        <w:t xml:space="preserve">“</w:t>
      </w:r>
      <w:r>
        <w:rPr>
          <w:b/>
          <w:bCs/>
        </w:rPr>
        <w:t xml:space="preserve">noted</w:t>
      </w:r>
      <w:r>
        <w:rPr>
          <w:b/>
          <w:bCs/>
        </w:rPr>
        <w:t xml:space="preserve">”</w:t>
      </w:r>
      <w:r>
        <w:rPr>
          <w:b/>
          <w:bCs/>
        </w:rPr>
        <w:t xml:space="preserve"> </w:t>
      </w:r>
      <w:r>
        <w:rPr>
          <w:b/>
          <w:bCs/>
        </w:rPr>
        <w:t xml:space="preserve">is itself false.</w:t>
      </w:r>
      <w:r>
        <w:t xml:space="preserve"> </w:t>
      </w:r>
      <w:r>
        <w:t xml:space="preserve">The Declaration (PROD-001, ¶56) states that</w:t>
      </w:r>
      <w:r>
        <w:t xml:space="preserve"> </w:t>
      </w:r>
      <w:r>
        <w:t xml:space="preserve">“</w:t>
      </w:r>
      <w:r>
        <w:t xml:space="preserve">[w]here specific valuation dates differ from this general reference date [June 1, 2024], such differences are noted in the relevant section of this declaration.</w:t>
      </w:r>
      <w:r>
        <w:t xml:space="preserve">”</w:t>
      </w:r>
      <w:r>
        <w:t xml:space="preserve"> </w:t>
      </w:r>
      <w:r>
        <w:t xml:space="preserve">No section of the Declaration notes any different valuation date, yet the account balances are August 1, 2024 values (Items 16–19). The representation that differing dates are disclosed is contradicted by the document itself.</w:t>
      </w:r>
      <w:r>
        <w:t xml:space="preserve"> </w:t>
      </w:r>
      <w:r>
        <w:rPr>
          <w:i/>
          <w:iCs/>
        </w:rPr>
        <w:t xml:space="preserve">Sources: PROD-001 ¶56; PROD-003; PROD-004.</w:t>
      </w:r>
    </w:p>
    <w:bookmarkEnd w:id="33"/>
    <w:bookmarkStart w:id="34" w:name="e.-credit-card"/>
    <w:p>
      <w:pPr>
        <w:pStyle w:val="Heading3"/>
      </w:pPr>
      <w:r>
        <w:t xml:space="preserve">E. Credit Card</w:t>
      </w:r>
    </w:p>
    <w:p>
      <w:pPr>
        <w:pStyle w:val="FirstParagraph"/>
      </w:pPr>
      <w:r>
        <w:rPr>
          <w:b/>
          <w:bCs/>
        </w:rPr>
        <w:t xml:space="preserve">21. Credit-card issuer misidentified in the Declaration.</w:t>
      </w:r>
      <w:r>
        <w:t xml:space="preserve"> </w:t>
      </w:r>
      <w:r>
        <w:t xml:space="preserve">The Declaration (PROD-001, ¶46) lists the credit-card creditor as</w:t>
      </w:r>
      <w:r>
        <w:t xml:space="preserve"> </w:t>
      </w:r>
      <w:r>
        <w:t xml:space="preserve">“</w:t>
      </w:r>
      <w:r>
        <w:t xml:space="preserve">First National Card Services.</w:t>
      </w:r>
      <w:r>
        <w:t xml:space="preserve">”</w:t>
      </w:r>
      <w:r>
        <w:t xml:space="preserve"> </w:t>
      </w:r>
      <w:r>
        <w:t xml:space="preserve">The produced statements (PROD-006) are from</w:t>
      </w:r>
      <w:r>
        <w:t xml:space="preserve"> </w:t>
      </w:r>
      <w:r>
        <w:rPr>
          <w:b/>
          <w:bCs/>
        </w:rPr>
        <w:t xml:space="preserve">Fairview Community Bank</w:t>
      </w:r>
      <w:r>
        <w:t xml:space="preserve"> </w:t>
      </w:r>
      <w:r>
        <w:t xml:space="preserve">(Platinum Visa, account ending 8316). The creditor identified in the sworn Declaration does not match the produced account.</w:t>
      </w:r>
      <w:r>
        <w:t xml:space="preserve"> </w:t>
      </w:r>
      <w:r>
        <w:rPr>
          <w:i/>
          <w:iCs/>
        </w:rPr>
        <w:t xml:space="preserve">Sources: PROD-001 ¶46; PROD-006 (all statements).</w:t>
      </w:r>
    </w:p>
    <w:p>
      <w:pPr>
        <w:pStyle w:val="BodyText"/>
      </w:pPr>
      <w:r>
        <w:rPr>
          <w:b/>
          <w:bCs/>
        </w:rPr>
        <w:t xml:space="preserve">22. Credit-card payment pattern materially misstated.</w:t>
      </w:r>
      <w:r>
        <w:t xml:space="preserve"> </w:t>
      </w:r>
      <w:r>
        <w:t xml:space="preserve">The Declaration (PROD-001, ¶46) states Respondent</w:t>
      </w:r>
      <w:r>
        <w:t xml:space="preserve"> </w:t>
      </w:r>
      <w:r>
        <w:t xml:space="preserve">“</w:t>
      </w:r>
      <w:r>
        <w:t xml:space="preserve">typically pays between $500 and $1,000 per month</w:t>
      </w:r>
      <w:r>
        <w:t xml:space="preserve">”</w:t>
      </w:r>
      <w:r>
        <w:t xml:space="preserve"> </w:t>
      </w:r>
      <w:r>
        <w:t xml:space="preserve">on a revolving balance of ~$8,500. The produced statements (PROD-006) show the card is</w:t>
      </w:r>
      <w:r>
        <w:t xml:space="preserve"> </w:t>
      </w:r>
      <w:r>
        <w:rPr>
          <w:b/>
          <w:bCs/>
        </w:rPr>
        <w:t xml:space="preserve">paid in full each month</w:t>
      </w:r>
      <w:r>
        <w:t xml:space="preserve">: payments of $3,240.18 (received 5/1), $7,038.45 (6/1), $8,124.30 (7/1), and $12,486.75 (8/1). Actual payments are 3–12 times the declared range, and there are no finance charges.</w:t>
      </w:r>
      <w:r>
        <w:t xml:space="preserve"> </w:t>
      </w:r>
      <w:r>
        <w:rPr>
          <w:i/>
          <w:iCs/>
        </w:rPr>
        <w:t xml:space="preserve">Sources: PROD-001 ¶46; PROD-006 (May–Aug. 2024 statements).</w:t>
      </w:r>
    </w:p>
    <w:p>
      <w:pPr>
        <w:pStyle w:val="BodyText"/>
      </w:pPr>
      <w:r>
        <w:rPr>
          <w:b/>
          <w:bCs/>
        </w:rPr>
        <w:t xml:space="preserve">23. Credit-card payments do not reconcile to the produced checking account.</w:t>
      </w:r>
      <w:r>
        <w:t xml:space="preserve"> </w:t>
      </w:r>
      <w:r>
        <w:t xml:space="preserve">The card statements (PROD-006) reflect payments received on the 1st of each month ($3,240.18, $7,038.45, $8,124.30, $12,486.75; total $30,889.68). The FCB individual checking (PROD-004) shows separate</w:t>
      </w:r>
      <w:r>
        <w:t xml:space="preserve"> </w:t>
      </w:r>
      <w:r>
        <w:t xml:space="preserve">“</w:t>
      </w:r>
      <w:r>
        <w:t xml:space="preserve">ACH — Fairview Community Bank Visa</w:t>
      </w:r>
      <w:r>
        <w:t xml:space="preserve">”</w:t>
      </w:r>
      <w:r>
        <w:t xml:space="preserve"> </w:t>
      </w:r>
      <w:r>
        <w:t xml:space="preserve">debits on the 15th/22nd of $1,450 (3/22), $2,230 (4/15), $3,875 (5/15), $4,120 (6/15), and $5,480 (7/15) (total $17,155). The amounts and timing do not match, indicating the Platinum Visa (acct. 8316) is funded from a different, undisclosed account (possibly the joint account 4821 or the Harborstone account).</w:t>
      </w:r>
      <w:r>
        <w:t xml:space="preserve"> </w:t>
      </w:r>
      <w:r>
        <w:rPr>
          <w:i/>
          <w:iCs/>
        </w:rPr>
        <w:t xml:space="preserve">Sources: PROD-006 (payment-received lines); PROD-004 (FCB Visa ACH debits).</w:t>
      </w:r>
    </w:p>
    <w:p>
      <w:pPr>
        <w:pStyle w:val="BodyText"/>
      </w:pPr>
      <w:r>
        <w:rPr>
          <w:b/>
          <w:bCs/>
        </w:rPr>
        <w:t xml:space="preserve">24. Possible second, undisclosed credit card.</w:t>
      </w:r>
      <w:r>
        <w:t xml:space="preserve"> </w:t>
      </w:r>
      <w:r>
        <w:t xml:space="preserve">Because the</w:t>
      </w:r>
      <w:r>
        <w:t xml:space="preserve"> </w:t>
      </w:r>
      <w:r>
        <w:t xml:space="preserve">“</w:t>
      </w:r>
      <w:r>
        <w:t xml:space="preserve">Fairview Community Bank Visa</w:t>
      </w:r>
      <w:r>
        <w:t xml:space="preserve">”</w:t>
      </w:r>
      <w:r>
        <w:t xml:space="preserve"> </w:t>
      </w:r>
      <w:r>
        <w:t xml:space="preserve">payments debited from the individual checking (Item 23) do not correspond to the produced Platinum Visa account 8316, the production may reflect a second FCB Visa card that is neither produced nor disclosed in the Declaration. All credit-card accounts in Respondent’s name should be produced.</w:t>
      </w:r>
      <w:r>
        <w:t xml:space="preserve"> </w:t>
      </w:r>
      <w:r>
        <w:rPr>
          <w:i/>
          <w:iCs/>
        </w:rPr>
        <w:t xml:space="preserve">Sources: PROD-004 (FCB Visa ACH debits); PROD-006 (Platinum Visa 8316); PROD-001 ¶46.</w:t>
      </w:r>
    </w:p>
    <w:p>
      <w:pPr>
        <w:pStyle w:val="BodyText"/>
      </w:pPr>
      <w:r>
        <w:rPr>
          <w:b/>
          <w:bCs/>
        </w:rPr>
        <w:t xml:space="preserve">25. Most recent card balance differs from the declared balance.</w:t>
      </w:r>
      <w:r>
        <w:t xml:space="preserve"> </w:t>
      </w:r>
      <w:r>
        <w:t xml:space="preserve">The August 2024 statement (PROD-006) shows a new balance of</w:t>
      </w:r>
      <w:r>
        <w:t xml:space="preserve"> </w:t>
      </w:r>
      <w:r>
        <w:rPr>
          <w:b/>
          <w:bCs/>
        </w:rPr>
        <w:t xml:space="preserve">$6,418.50</w:t>
      </w:r>
      <w:r>
        <w:t xml:space="preserve"> </w:t>
      </w:r>
      <w:r>
        <w:t xml:space="preserve">(due Sept. 25, 2024), whereas the Declaration (PROD-001, ¶46) reports an approximate revolving balance of</w:t>
      </w:r>
      <w:r>
        <w:t xml:space="preserve"> </w:t>
      </w:r>
      <w:r>
        <w:rPr>
          <w:b/>
          <w:bCs/>
        </w:rPr>
        <w:t xml:space="preserve">$8,500</w:t>
      </w:r>
      <w:r>
        <w:t xml:space="preserve">. The declared figure is not supported by the most recent produced statement.</w:t>
      </w:r>
      <w:r>
        <w:t xml:space="preserve"> </w:t>
      </w:r>
      <w:r>
        <w:rPr>
          <w:i/>
          <w:iCs/>
        </w:rPr>
        <w:t xml:space="preserve">Sources: PROD-006 Aug. 2024 statement; PROD-001 ¶46.</w:t>
      </w:r>
    </w:p>
    <w:p>
      <w:pPr>
        <w:pStyle w:val="BodyText"/>
      </w:pPr>
      <w:r>
        <w:rPr>
          <w:b/>
          <w:bCs/>
        </w:rPr>
        <w:t xml:space="preserve">26. Credit-card rewards points not disclosed as an asset.</w:t>
      </w:r>
      <w:r>
        <w:t xml:space="preserve"> </w:t>
      </w:r>
      <w:r>
        <w:t xml:space="preserve">The card statements (PROD-006) show a Platinum Rewards points balance growing from 42,316 (May) to</w:t>
      </w:r>
      <w:r>
        <w:t xml:space="preserve"> </w:t>
      </w:r>
      <w:r>
        <w:rPr>
          <w:b/>
          <w:bCs/>
        </w:rPr>
        <w:t xml:space="preserve">69,346</w:t>
      </w:r>
      <w:r>
        <w:t xml:space="preserve"> </w:t>
      </w:r>
      <w:r>
        <w:t xml:space="preserve">(August), accruing 7,000–12,000 points/month. These points have monetary/redemption value and are not listed among Respondent’s assets in the Declaration.</w:t>
      </w:r>
      <w:r>
        <w:t xml:space="preserve"> </w:t>
      </w:r>
      <w:r>
        <w:rPr>
          <w:i/>
          <w:iCs/>
        </w:rPr>
        <w:t xml:space="preserve">Sources: PROD-006 (May–Aug. 2024 statements); PROD-001 ¶¶24–42.</w:t>
      </w:r>
    </w:p>
    <w:p>
      <w:pPr>
        <w:pStyle w:val="BodyText"/>
      </w:pPr>
      <w:r>
        <w:rPr>
          <w:b/>
          <w:bCs/>
        </w:rPr>
        <w:t xml:space="preserve">27. Common travel vendor charged to both the personal card and as a business expense (commingling).</w:t>
      </w:r>
      <w:r>
        <w:t xml:space="preserve"> </w:t>
      </w:r>
      <w:r>
        <w:t xml:space="preserve">“</w:t>
      </w:r>
      <w:r>
        <w:t xml:space="preserve">Sapphire Sky Travel</w:t>
      </w:r>
      <w:r>
        <w:t xml:space="preserve">”</w:t>
      </w:r>
      <w:r>
        <w:t xml:space="preserve"> </w:t>
      </w:r>
      <w:r>
        <w:t xml:space="preserve">appears as a</w:t>
      </w:r>
      <w:r>
        <w:t xml:space="preserve"> </w:t>
      </w:r>
      <w:r>
        <w:rPr>
          <w:b/>
          <w:bCs/>
        </w:rPr>
        <w:t xml:space="preserve">personal credit-card charge of $6,200.00 on July 8, 2024</w:t>
      </w:r>
      <w:r>
        <w:t xml:space="preserve"> </w:t>
      </w:r>
      <w:r>
        <w:t xml:space="preserve">(PROD-006) and as a</w:t>
      </w:r>
      <w:r>
        <w:t xml:space="preserve"> </w:t>
      </w:r>
      <w:r>
        <w:rPr>
          <w:b/>
          <w:bCs/>
        </w:rPr>
        <w:t xml:space="preserve">business expense reimbursement of $3,400.00 on April 3, 2024</w:t>
      </w:r>
      <w:r>
        <w:t xml:space="preserve"> </w:t>
      </w:r>
      <w:r>
        <w:t xml:space="preserve">in the NovaBridge expense report (PROD-007, §3, described as</w:t>
      </w:r>
      <w:r>
        <w:t xml:space="preserve"> </w:t>
      </w:r>
      <w:r>
        <w:t xml:space="preserve">“</w:t>
      </w:r>
      <w:r>
        <w:t xml:space="preserve">Travel arrangements — client appreciation event planning</w:t>
      </w:r>
      <w:r>
        <w:t xml:space="preserve">”</w:t>
      </w:r>
      <w:r>
        <w:t xml:space="preserve">). The same vendor is used for both personal and purported business purposes, raising commingling and double-recovery concerns; the $6,200 July charge is also a large post-separation personal expenditure with no corresponding line in the Declaration’s expense schedule.</w:t>
      </w:r>
      <w:r>
        <w:t xml:space="preserve"> </w:t>
      </w:r>
      <w:r>
        <w:rPr>
          <w:i/>
          <w:iCs/>
        </w:rPr>
        <w:t xml:space="preserve">Sources: PROD-006 July 2024 (7/8 Sapphire Sky Travel); PROD-007 §3 (4/3 Sapphire Sky Travel).</w:t>
      </w:r>
    </w:p>
    <w:p>
      <w:pPr>
        <w:pStyle w:val="BodyText"/>
      </w:pPr>
      <w:r>
        <w:rPr>
          <w:b/>
          <w:bCs/>
        </w:rPr>
        <w:t xml:space="preserve">28. Apartment-furnishing charges not reflected in the expense schedule.</w:t>
      </w:r>
      <w:r>
        <w:t xml:space="preserve"> </w:t>
      </w:r>
      <w:r>
        <w:t xml:space="preserve">The credit card (PROD-006) shows charges at</w:t>
      </w:r>
      <w:r>
        <w:t xml:space="preserve"> </w:t>
      </w:r>
      <w:r>
        <w:t xml:space="preserve">“</w:t>
      </w:r>
      <w:r>
        <w:t xml:space="preserve">Harbor Point Luxury Furnishings</w:t>
      </w:r>
      <w:r>
        <w:t xml:space="preserve">”</w:t>
      </w:r>
      <w:r>
        <w:t xml:space="preserve"> </w:t>
      </w:r>
      <w:r>
        <w:t xml:space="preserve">of</w:t>
      </w:r>
      <w:r>
        <w:t xml:space="preserve"> </w:t>
      </w:r>
      <w:r>
        <w:rPr>
          <w:b/>
          <w:bCs/>
        </w:rPr>
        <w:t xml:space="preserve">$2,280.00 on June 18, 2024</w:t>
      </w:r>
      <w:r>
        <w:t xml:space="preserve"> </w:t>
      </w:r>
      <w:r>
        <w:t xml:space="preserve">and</w:t>
      </w:r>
      <w:r>
        <w:t xml:space="preserve"> </w:t>
      </w:r>
      <w:r>
        <w:rPr>
          <w:b/>
          <w:bCs/>
        </w:rPr>
        <w:t xml:space="preserve">$956.00 on August 29, 2024</w:t>
      </w:r>
      <w:r>
        <w:t xml:space="preserve"> </w:t>
      </w:r>
      <w:r>
        <w:t xml:space="preserve">(total $3,236) for furnishing the new Harbor Point residence. The Declaration’s monthly expense schedule (PROD-001, ¶49) contains no furnishings or household-goods category, so this expenditure is unaccounted for in the declared budget.</w:t>
      </w:r>
      <w:r>
        <w:t xml:space="preserve"> </w:t>
      </w:r>
      <w:r>
        <w:rPr>
          <w:i/>
          <w:iCs/>
        </w:rPr>
        <w:t xml:space="preserve">Sources: PROD-006 June and Aug. 2024 (Harbor Point Luxury Furnishings); PROD-001 ¶49.</w:t>
      </w:r>
    </w:p>
    <w:bookmarkEnd w:id="34"/>
    <w:bookmarkStart w:id="35" w:name="f.-monthly-expenses"/>
    <w:p>
      <w:pPr>
        <w:pStyle w:val="Heading3"/>
      </w:pPr>
      <w:r>
        <w:t xml:space="preserve">F. Monthly Expenses</w:t>
      </w:r>
    </w:p>
    <w:p>
      <w:pPr>
        <w:pStyle w:val="FirstParagraph"/>
      </w:pPr>
      <w:r>
        <w:rPr>
          <w:b/>
          <w:bCs/>
        </w:rPr>
        <w:t xml:space="preserve">29. Clothing expense grossly understated.</w:t>
      </w:r>
      <w:r>
        <w:t xml:space="preserve"> </w:t>
      </w:r>
      <w:r>
        <w:t xml:space="preserve">The Declaration (PROD-001, ¶49) budgets $200/month for</w:t>
      </w:r>
      <w:r>
        <w:t xml:space="preserve"> </w:t>
      </w:r>
      <w:r>
        <w:t xml:space="preserve">“</w:t>
      </w:r>
      <w:r>
        <w:t xml:space="preserve">Clothing and apparel.</w:t>
      </w:r>
      <w:r>
        <w:t xml:space="preserve">”</w:t>
      </w:r>
      <w:r>
        <w:t xml:space="preserve"> </w:t>
      </w:r>
      <w:r>
        <w:t xml:space="preserve">The credit-card statements (PROD-006) show charges at Monarch Fine Clothiers of $2,340 (5/22), $1,650 (6/5), $1,890 (7/5), and $1,420 (8/9) —</w:t>
      </w:r>
      <w:r>
        <w:t xml:space="preserve"> </w:t>
      </w:r>
      <w:r>
        <w:rPr>
          <w:b/>
          <w:bCs/>
        </w:rPr>
        <w:t xml:space="preserve">$7,300 in four months (~$1,825/month)</w:t>
      </w:r>
      <w:r>
        <w:t xml:space="preserve">, roughly nine times the declared amount.</w:t>
      </w:r>
      <w:r>
        <w:t xml:space="preserve"> </w:t>
      </w:r>
      <w:r>
        <w:rPr>
          <w:i/>
          <w:iCs/>
        </w:rPr>
        <w:t xml:space="preserve">Sources: PROD-001 ¶49; PROD-006 (May–Aug. 2024 Monarch charges).</w:t>
      </w:r>
    </w:p>
    <w:p>
      <w:pPr>
        <w:pStyle w:val="BodyText"/>
      </w:pPr>
      <w:r>
        <w:rPr>
          <w:b/>
          <w:bCs/>
        </w:rPr>
        <w:t xml:space="preserve">30. Dining/entertainment and personal-care expenses understated; country-club dues undisclosed.</w:t>
      </w:r>
      <w:r>
        <w:t xml:space="preserve"> </w:t>
      </w:r>
      <w:r>
        <w:t xml:space="preserve">The Declaration budgets $600/month for</w:t>
      </w:r>
      <w:r>
        <w:t xml:space="preserve"> </w:t>
      </w:r>
      <w:r>
        <w:t xml:space="preserve">“</w:t>
      </w:r>
      <w:r>
        <w:t xml:space="preserve">Dining out and entertainment</w:t>
      </w:r>
      <w:r>
        <w:t xml:space="preserve">”</w:t>
      </w:r>
      <w:r>
        <w:t xml:space="preserve"> </w:t>
      </w:r>
      <w:r>
        <w:t xml:space="preserve">and $100/month for</w:t>
      </w:r>
      <w:r>
        <w:t xml:space="preserve"> </w:t>
      </w:r>
      <w:r>
        <w:t xml:space="preserve">“</w:t>
      </w:r>
      <w:r>
        <w:t xml:space="preserve">Personal care and grooming</w:t>
      </w:r>
      <w:r>
        <w:t xml:space="preserve">”</w:t>
      </w:r>
      <w:r>
        <w:t xml:space="preserve"> </w:t>
      </w:r>
      <w:r>
        <w:t xml:space="preserve">(PROD-001, ¶49). The card statements (PROD-006) show recurring charges at The Capital Grille, Ridgeline Steakhouse, and Bella Notte Ristorante (hundreds of dollars each, multiple times per month), Aura Salon &amp; Spa ($295–$485/month), and</w:t>
      </w:r>
      <w:r>
        <w:t xml:space="preserve"> </w:t>
      </w:r>
      <w:r>
        <w:rPr>
          <w:b/>
          <w:bCs/>
        </w:rPr>
        <w:t xml:space="preserve">Fairview Country Club monthly dues of $425</w:t>
      </w:r>
      <w:r>
        <w:t xml:space="preserve"> </w:t>
      </w:r>
      <w:r>
        <w:t xml:space="preserve">(May–Aug., $1,700 total) — a recurring obligation absent from the Declaration’s expense schedule.</w:t>
      </w:r>
      <w:r>
        <w:t xml:space="preserve"> </w:t>
      </w:r>
      <w:r>
        <w:rPr>
          <w:i/>
          <w:iCs/>
        </w:rPr>
        <w:t xml:space="preserve">Sources: PROD-001 ¶49; PROD-006 (May–Aug. 2024 restaurant, salon, and country-club charges).</w:t>
      </w:r>
    </w:p>
    <w:p>
      <w:pPr>
        <w:pStyle w:val="BodyText"/>
      </w:pPr>
      <w:r>
        <w:rPr>
          <w:b/>
          <w:bCs/>
        </w:rPr>
        <w:t xml:space="preserve">31. Auto-insurance expense understated.</w:t>
      </w:r>
      <w:r>
        <w:t xml:space="preserve"> </w:t>
      </w:r>
      <w:r>
        <w:t xml:space="preserve">The Declaration (PROD-001, ¶49) budgets $210/month for auto insurance. The FCB checking statements (PROD-004) show Progressive auto-insurance ACH debits of</w:t>
      </w:r>
      <w:r>
        <w:t xml:space="preserve"> </w:t>
      </w:r>
      <w:r>
        <w:rPr>
          <w:b/>
          <w:bCs/>
        </w:rPr>
        <w:t xml:space="preserve">$312/month</w:t>
      </w:r>
      <w:r>
        <w:t xml:space="preserve"> </w:t>
      </w:r>
      <w:r>
        <w:t xml:space="preserve">(March–July), a $102/month discrepancy.</w:t>
      </w:r>
      <w:r>
        <w:t xml:space="preserve"> </w:t>
      </w:r>
      <w:r>
        <w:rPr>
          <w:i/>
          <w:iCs/>
        </w:rPr>
        <w:t xml:space="preserve">Sources: PROD-001 ¶49; PROD-004 (Mar.–July 2024 Progressive ACH).</w:t>
      </w:r>
    </w:p>
    <w:p>
      <w:pPr>
        <w:pStyle w:val="BodyText"/>
      </w:pPr>
      <w:r>
        <w:rPr>
          <w:b/>
          <w:bCs/>
        </w:rPr>
        <w:t xml:space="preserve">32. The declared $3,500/month voluntary household contribution is not traceable in the produced records.</w:t>
      </w:r>
      <w:r>
        <w:t xml:space="preserve"> </w:t>
      </w:r>
      <w:r>
        <w:t xml:space="preserve">The Declaration (PROD-001, ¶51) states Respondent has voluntarily contributed $3,500/month since approximately June 2024</w:t>
      </w:r>
      <w:r>
        <w:t xml:space="preserve"> </w:t>
      </w:r>
      <w:r>
        <w:t xml:space="preserve">“</w:t>
      </w:r>
      <w:r>
        <w:t xml:space="preserve">directly to Petitioner or to the mortgage servicer.</w:t>
      </w:r>
      <w:r>
        <w:t xml:space="preserve">”</w:t>
      </w:r>
      <w:r>
        <w:t xml:space="preserve"> </w:t>
      </w:r>
      <w:r>
        <w:t xml:space="preserve">The produced individual checking (PROD-004) shows the $1,842 Birchwood mortgage payment to Meridian but no corresponding ~$1,658/month transfer to Petitioner that would complete the $3,500, and no $3,500 transfer to Petitioner. The funding source and recipients of the voluntary payments are not documented in the produced individual-account records.</w:t>
      </w:r>
      <w:r>
        <w:t xml:space="preserve"> </w:t>
      </w:r>
      <w:r>
        <w:rPr>
          <w:i/>
          <w:iCs/>
        </w:rPr>
        <w:t xml:space="preserve">Sources: PROD-001 ¶51; PROD-004 (Mar.–Aug. 2024).</w:t>
      </w:r>
    </w:p>
    <w:p>
      <w:pPr>
        <w:pStyle w:val="BodyText"/>
      </w:pPr>
      <w:r>
        <w:rPr>
          <w:b/>
          <w:bCs/>
        </w:rPr>
        <w:t xml:space="preserve">33. Auto-loan payment not shown in the produced checking account.</w:t>
      </w:r>
      <w:r>
        <w:t xml:space="preserve"> </w:t>
      </w:r>
      <w:r>
        <w:t xml:space="preserve">The Declaration (PROD-001, ¶45) states the BMW auto loan ($22,100 balance) is serviced at $425/month through</w:t>
      </w:r>
      <w:r>
        <w:t xml:space="preserve"> </w:t>
      </w:r>
      <w:r>
        <w:t xml:space="preserve">“</w:t>
      </w:r>
      <w:r>
        <w:t xml:space="preserve">Fairview Community Bank Auto Finance.</w:t>
      </w:r>
      <w:r>
        <w:t xml:space="preserve">”</w:t>
      </w:r>
      <w:r>
        <w:t xml:space="preserve"> </w:t>
      </w:r>
      <w:r>
        <w:t xml:space="preserve">No $425 auto-loan debit appears in the individual checking statements (PROD-004) for March–August 2024. The account from which the auto loan is paid is not produced.</w:t>
      </w:r>
      <w:r>
        <w:t xml:space="preserve"> </w:t>
      </w:r>
      <w:r>
        <w:rPr>
          <w:i/>
          <w:iCs/>
        </w:rPr>
        <w:t xml:space="preserve">Sources: PROD-001 ¶45; PROD-004 (no auto-loan debit).</w:t>
      </w:r>
    </w:p>
    <w:bookmarkEnd w:id="35"/>
    <w:bookmarkStart w:id="36" w:name="g.-business-governance"/>
    <w:p>
      <w:pPr>
        <w:pStyle w:val="Heading3"/>
      </w:pPr>
      <w:r>
        <w:t xml:space="preserve">G. Business / Governance</w:t>
      </w:r>
    </w:p>
    <w:p>
      <w:pPr>
        <w:pStyle w:val="FirstParagraph"/>
      </w:pPr>
      <w:r>
        <w:rPr>
          <w:b/>
          <w:bCs/>
        </w:rPr>
        <w:t xml:space="preserve">34. Self-approval of expense reimbursements without co-member oversight.</w:t>
      </w:r>
      <w:r>
        <w:t xml:space="preserve"> </w:t>
      </w:r>
      <w:r>
        <w:t xml:space="preserve">The NovaBridge expense reports (PROD-007, Section 1) state that under Section 5.3 of the Operating Agreement, a Managing Member holding a majority interest (60% or greater) approves his own expense reimbursements</w:t>
      </w:r>
      <w:r>
        <w:t xml:space="preserve"> </w:t>
      </w:r>
      <w:r>
        <w:t xml:space="preserve">“</w:t>
      </w:r>
      <w:r>
        <w:t xml:space="preserve">without requirement of separate board or member approval,</w:t>
      </w:r>
      <w:r>
        <w:t xml:space="preserve">”</w:t>
      </w:r>
      <w:r>
        <w:t xml:space="preserve"> </w:t>
      </w:r>
      <w:r>
        <w:t xml:space="preserve">and that Jared Ostrowski’s co-member review is</w:t>
      </w:r>
      <w:r>
        <w:t xml:space="preserve"> </w:t>
      </w:r>
      <w:r>
        <w:t xml:space="preserve">“</w:t>
      </w:r>
      <w:r>
        <w:t xml:space="preserve">N/A — not required.</w:t>
      </w:r>
      <w:r>
        <w:t xml:space="preserve">”</w:t>
      </w:r>
      <w:r>
        <w:t xml:space="preserve"> </w:t>
      </w:r>
      <w:r>
        <w:t xml:space="preserve">Respondent thus controls his own reimbursement authority, creating a vehicle to convert company funds to personal use disguised as business expenses (and a potential source of undocumented income/distributions).</w:t>
      </w:r>
      <w:r>
        <w:t xml:space="preserve"> </w:t>
      </w:r>
      <w:r>
        <w:rPr>
          <w:i/>
          <w:iCs/>
        </w:rPr>
        <w:t xml:space="preserve">Sources: PROD-007 §1, §5.</w:t>
      </w:r>
    </w:p>
    <w:p>
      <w:pPr>
        <w:pStyle w:val="BodyText"/>
      </w:pPr>
      <w:r>
        <w:rPr>
          <w:b/>
          <w:bCs/>
        </w:rPr>
        <w:t xml:space="preserve">35. The Operating Agreement (referenced in PROD-007) was not produced.</w:t>
      </w:r>
      <w:r>
        <w:t xml:space="preserve"> </w:t>
      </w:r>
      <w:r>
        <w:t xml:space="preserve">Section 5.3 of the NovaBridge Operating Agreement is cited and relied upon in the expense reports, but the Operating Agreement itself was not produced; the cover letter states Request Nos. 16–22 (which include the Operating Agreement and entity-level records) remain outstanding. The agreement’s transfer restrictions, buyout provisions, and compensation/distribution provisions are directly relevant to valuation and dissipation.</w:t>
      </w:r>
      <w:r>
        <w:t xml:space="preserve"> </w:t>
      </w:r>
      <w:r>
        <w:rPr>
          <w:i/>
          <w:iCs/>
        </w:rPr>
        <w:t xml:space="preserve">Sources: PROD-007 §1; Cover letter (RFP Nos. 16–22).</w:t>
      </w:r>
    </w:p>
    <w:p>
      <w:pPr>
        <w:pStyle w:val="BodyText"/>
      </w:pPr>
      <w:r>
        <w:rPr>
          <w:b/>
          <w:bCs/>
        </w:rPr>
        <w:t xml:space="preserve">36. Expense reimbursements do not reconcile to bank deposits.</w:t>
      </w:r>
      <w:r>
        <w:t xml:space="preserve"> </w:t>
      </w:r>
      <w:r>
        <w:t xml:space="preserve">The expense reports (PROD-007) show Q1 $3,373 (approved 4/8) and Q2 $9,289 (approved 7/3), totaling $12,662. The FCB checking (PROD-004) shows only two</w:t>
      </w:r>
      <w:r>
        <w:t xml:space="preserve"> </w:t>
      </w:r>
      <w:r>
        <w:t xml:space="preserve">“</w:t>
      </w:r>
      <w:r>
        <w:t xml:space="preserve">NovaBridge Solutions LLC Expense Reimb.</w:t>
      </w:r>
      <w:r>
        <w:t xml:space="preserve">”</w:t>
      </w:r>
      <w:r>
        <w:t xml:space="preserve"> </w:t>
      </w:r>
      <w:r>
        <w:t xml:space="preserve">deposits: $3,400 (4/10) and $2,150 (5/20), totaling $5,550 — leaving approximately</w:t>
      </w:r>
      <w:r>
        <w:t xml:space="preserve"> </w:t>
      </w:r>
      <w:r>
        <w:rPr>
          <w:b/>
          <w:bCs/>
        </w:rPr>
        <w:t xml:space="preserve">$7,112</w:t>
      </w:r>
      <w:r>
        <w:t xml:space="preserve"> </w:t>
      </w:r>
      <w:r>
        <w:t xml:space="preserve">of reported reimbursements unaccounted for in the produced bank records. Additionally, the 4/10 deposit ($3,400) does not match the Q1 report total ($3,373), a $27 discrepancy, and the 5/20 deposit predates the stated 7/3 Q2 approval, suggesting reimbursements are paid on a different schedule than the report describes. The destination account for the unreconciled $7,112 is undisclosed.</w:t>
      </w:r>
      <w:r>
        <w:t xml:space="preserve"> </w:t>
      </w:r>
      <w:r>
        <w:rPr>
          <w:i/>
          <w:iCs/>
        </w:rPr>
        <w:t xml:space="preserve">Sources: PROD-007 §4; PROD-004 (4/10 and 5/20 reimbursement deposits).</w:t>
      </w:r>
    </w:p>
    <w:p>
      <w:pPr>
        <w:pStyle w:val="BodyText"/>
      </w:pPr>
      <w:r>
        <w:rPr>
          <w:b/>
          <w:bCs/>
        </w:rPr>
        <w:t xml:space="preserve">37. Same-day, near-identical</w:t>
      </w:r>
      <w:r>
        <w:rPr>
          <w:b/>
          <w:bCs/>
        </w:rPr>
        <w:t xml:space="preserve"> </w:t>
      </w:r>
      <w:r>
        <w:rPr>
          <w:b/>
          <w:bCs/>
        </w:rPr>
        <w:t xml:space="preserve">“</w:t>
      </w:r>
      <w:r>
        <w:rPr>
          <w:b/>
          <w:bCs/>
        </w:rPr>
        <w:t xml:space="preserve">personal devices</w:t>
      </w:r>
      <w:r>
        <w:rPr>
          <w:b/>
          <w:bCs/>
        </w:rPr>
        <w:t xml:space="preserve">”</w:t>
      </w:r>
      <w:r>
        <w:rPr>
          <w:b/>
          <w:bCs/>
        </w:rPr>
        <w:t xml:space="preserve"> </w:t>
      </w:r>
      <w:r>
        <w:rPr>
          <w:b/>
          <w:bCs/>
        </w:rPr>
        <w:t xml:space="preserve">purchases on the personal card and as a company reimbursement.</w:t>
      </w:r>
      <w:r>
        <w:t xml:space="preserve"> </w:t>
      </w:r>
      <w:r>
        <w:t xml:space="preserve">On</w:t>
      </w:r>
      <w:r>
        <w:t xml:space="preserve"> </w:t>
      </w:r>
      <w:r>
        <w:rPr>
          <w:b/>
          <w:bCs/>
        </w:rPr>
        <w:t xml:space="preserve">May 17, 2024</w:t>
      </w:r>
      <w:r>
        <w:t xml:space="preserve">, the credit card (PROD-006) shows a $2,149.50 charge at</w:t>
      </w:r>
      <w:r>
        <w:t xml:space="preserve"> </w:t>
      </w:r>
      <w:r>
        <w:t xml:space="preserve">“</w:t>
      </w:r>
      <w:r>
        <w:t xml:space="preserve">Pinnacle Electronics — Personal Devices,</w:t>
      </w:r>
      <w:r>
        <w:t xml:space="preserve">”</w:t>
      </w:r>
      <w:r>
        <w:t xml:space="preserve"> </w:t>
      </w:r>
      <w:r>
        <w:t xml:space="preserve">and the Q2 expense report (PROD-007) shows a $2,150.00 charge on the same date at</w:t>
      </w:r>
      <w:r>
        <w:t xml:space="preserve"> </w:t>
      </w:r>
      <w:r>
        <w:t xml:space="preserve">“</w:t>
      </w:r>
      <w:r>
        <w:t xml:space="preserve">TechVault Solutions</w:t>
      </w:r>
      <w:r>
        <w:t xml:space="preserve">”</w:t>
      </w:r>
      <w:r>
        <w:t xml:space="preserve"> </w:t>
      </w:r>
      <w:r>
        <w:t xml:space="preserve">for</w:t>
      </w:r>
      <w:r>
        <w:t xml:space="preserve"> </w:t>
      </w:r>
      <w:r>
        <w:t xml:space="preserve">“</w:t>
      </w:r>
      <w:r>
        <w:t xml:space="preserve">Technology Equipment — Personal Devices</w:t>
      </w:r>
      <w:r>
        <w:t xml:space="preserve">”</w:t>
      </w:r>
      <w:r>
        <w:t xml:space="preserve"> </w:t>
      </w:r>
      <w:r>
        <w:t xml:space="preserve">(tablet, smartphone, accessories). The same date, near-identical amount, and identical</w:t>
      </w:r>
      <w:r>
        <w:t xml:space="preserve"> </w:t>
      </w:r>
      <w:r>
        <w:t xml:space="preserve">“</w:t>
      </w:r>
      <w:r>
        <w:t xml:space="preserve">personal devices</w:t>
      </w:r>
      <w:r>
        <w:t xml:space="preserve">”</w:t>
      </w:r>
      <w:r>
        <w:t xml:space="preserve"> </w:t>
      </w:r>
      <w:r>
        <w:t xml:space="preserve">description suggest possible double payment or commingling of personal and business purchases; the underlying receipts should be examined.</w:t>
      </w:r>
      <w:r>
        <w:t xml:space="preserve"> </w:t>
      </w:r>
      <w:r>
        <w:rPr>
          <w:i/>
          <w:iCs/>
        </w:rPr>
        <w:t xml:space="preserve">Sources: PROD-006 May 2024 (5/17 Pinnacle Electronics); PROD-007 §3 (5/17 TechVault).</w:t>
      </w:r>
    </w:p>
    <w:p>
      <w:pPr>
        <w:pStyle w:val="BodyText"/>
      </w:pPr>
      <w:r>
        <w:rPr>
          <w:b/>
          <w:bCs/>
        </w:rPr>
        <w:t xml:space="preserve">38. Business interest not valued.</w:t>
      </w:r>
      <w:r>
        <w:t xml:space="preserve"> </w:t>
      </w:r>
      <w:r>
        <w:t xml:space="preserve">The Declaration (PROD-001, ¶37) states the value of Respondent’s 60% NovaBridge interest</w:t>
      </w:r>
      <w:r>
        <w:t xml:space="preserve"> </w:t>
      </w:r>
      <w:r>
        <w:t xml:space="preserve">“</w:t>
      </w:r>
      <w:r>
        <w:t xml:space="preserve">has not been formally appraised</w:t>
      </w:r>
      <w:r>
        <w:t xml:space="preserve">”</w:t>
      </w:r>
      <w:r>
        <w:t xml:space="preserve"> </w:t>
      </w:r>
      <w:r>
        <w:t xml:space="preserve">and reserves the right to engage a valuator. The K-1 (PROD-002) reports an ending tax-basis capital account of $675,800 and recourse liabilities of $36,400, and the entity summary shows $322,000 retained at the entity level (60% share $193,200). No valuation has been provided.</w:t>
      </w:r>
      <w:r>
        <w:t xml:space="preserve"> </w:t>
      </w:r>
      <w:r>
        <w:rPr>
          <w:i/>
          <w:iCs/>
        </w:rPr>
        <w:t xml:space="preserve">Sources: PROD-001 ¶37; PROD-002 Schedule K-1 (capital account, liabilities) and entity summary.</w:t>
      </w:r>
    </w:p>
    <w:bookmarkEnd w:id="36"/>
    <w:bookmarkStart w:id="37" w:name="h.-production-internal-inconsistencies"/>
    <w:p>
      <w:pPr>
        <w:pStyle w:val="Heading3"/>
      </w:pPr>
      <w:r>
        <w:t xml:space="preserve">H. Production / Internal Inconsistencies</w:t>
      </w:r>
    </w:p>
    <w:p>
      <w:pPr>
        <w:pStyle w:val="FirstParagraph"/>
      </w:pPr>
      <w:r>
        <w:rPr>
          <w:b/>
          <w:bCs/>
        </w:rPr>
        <w:t xml:space="preserve">39. Conflicting separation dates.</w:t>
      </w:r>
      <w:r>
        <w:t xml:space="preserve"> </w:t>
      </w:r>
      <w:r>
        <w:t xml:space="preserve">The Declaration (PROD-001, ¶5) states the parties</w:t>
      </w:r>
      <w:r>
        <w:t xml:space="preserve"> </w:t>
      </w:r>
      <w:r>
        <w:t xml:space="preserve">“</w:t>
      </w:r>
      <w:r>
        <w:t xml:space="preserve">effectively separated on or about June 1, 2024.</w:t>
      </w:r>
      <w:r>
        <w:t xml:space="preserve">”</w:t>
      </w:r>
      <w:r>
        <w:t xml:space="preserve"> </w:t>
      </w:r>
      <w:r>
        <w:t xml:space="preserve">The cover letter’s privilege log describes withheld communications</w:t>
      </w:r>
      <w:r>
        <w:t xml:space="preserve"> </w:t>
      </w:r>
      <w:r>
        <w:t xml:space="preserve">“</w:t>
      </w:r>
      <w:r>
        <w:t xml:space="preserve">following the parties’ separation on August 1, 2024</w:t>
      </w:r>
      <w:r>
        <w:t xml:space="preserve">”</w:t>
      </w:r>
      <w:r>
        <w:t xml:space="preserve"> </w:t>
      </w:r>
      <w:r>
        <w:t xml:space="preserve">(PRIV-001) and</w:t>
      </w:r>
      <w:r>
        <w:t xml:space="preserve"> </w:t>
      </w:r>
      <w:r>
        <w:t xml:space="preserve">“</w:t>
      </w:r>
      <w:r>
        <w:t xml:space="preserve">post-separation August 1, 2024</w:t>
      </w:r>
      <w:r>
        <w:t xml:space="preserve">”</w:t>
      </w:r>
      <w:r>
        <w:t xml:space="preserve"> </w:t>
      </w:r>
      <w:r>
        <w:t xml:space="preserve">(PRIV-002). The date of separation is a controlling date for identifying the marital estate and for characterizing the $85,000 wire (Item 12) and other transfers; the discrepancy must be resolved.</w:t>
      </w:r>
      <w:r>
        <w:t xml:space="preserve"> </w:t>
      </w:r>
      <w:r>
        <w:rPr>
          <w:i/>
          <w:iCs/>
        </w:rPr>
        <w:t xml:space="preserve">Sources: PROD-001 ¶5; Cover letter (PRIV-001, PRIV-002).</w:t>
      </w:r>
    </w:p>
    <w:p>
      <w:pPr>
        <w:pStyle w:val="BodyText"/>
      </w:pPr>
      <w:r>
        <w:rPr>
          <w:b/>
          <w:bCs/>
        </w:rPr>
        <w:t xml:space="preserve">40. Conflicting filing date for the Sworn Financial Declaration.</w:t>
      </w:r>
      <w:r>
        <w:t xml:space="preserve"> </w:t>
      </w:r>
      <w:r>
        <w:t xml:space="preserve">The cover letter states the Declaration was</w:t>
      </w:r>
      <w:r>
        <w:t xml:space="preserve"> </w:t>
      </w:r>
      <w:r>
        <w:t xml:space="preserve">“</w:t>
      </w:r>
      <w:r>
        <w:t xml:space="preserve">filed with the Court on or about October 4, 2024,</w:t>
      </w:r>
      <w:r>
        <w:t xml:space="preserve">”</w:t>
      </w:r>
      <w:r>
        <w:t xml:space="preserve"> </w:t>
      </w:r>
      <w:r>
        <w:t xml:space="preserve">while the Declaration itself states</w:t>
      </w:r>
      <w:r>
        <w:t xml:space="preserve"> </w:t>
      </w:r>
      <w:r>
        <w:t xml:space="preserve">“</w:t>
      </w:r>
      <w:r>
        <w:t xml:space="preserve">Filed: September 20, 2024</w:t>
      </w:r>
      <w:r>
        <w:t xml:space="preserve">”</w:t>
      </w:r>
      <w:r>
        <w:t xml:space="preserve"> </w:t>
      </w:r>
      <w:r>
        <w:t xml:space="preserve">and is notarized and certified as served on September 20, 2024.</w:t>
      </w:r>
      <w:r>
        <w:t xml:space="preserve"> </w:t>
      </w:r>
      <w:r>
        <w:rPr>
          <w:i/>
          <w:iCs/>
        </w:rPr>
        <w:t xml:space="preserve">Sources: Cover letter (PROD-001); PROD-001 (Filed line, notarization, certificate of service).</w:t>
      </w:r>
    </w:p>
    <w:p>
      <w:pPr>
        <w:pStyle w:val="BodyText"/>
      </w:pPr>
      <w:r>
        <w:rPr>
          <w:b/>
          <w:bCs/>
        </w:rPr>
        <w:t xml:space="preserve">41. Case-number and court-name error on the FCB production stamp.</w:t>
      </w:r>
      <w:r>
        <w:t xml:space="preserve"> </w:t>
      </w:r>
      <w:r>
        <w:t xml:space="preserve">The FCB statements (PROD-004) bear a production stamp reading</w:t>
      </w:r>
      <w:r>
        <w:t xml:space="preserve"> </w:t>
      </w:r>
      <w:r>
        <w:t xml:space="preserve">“</w:t>
      </w:r>
      <w:r>
        <w:t xml:space="preserve">Case No. 2024-DR-</w:t>
      </w:r>
      <w:r>
        <w:rPr>
          <w:b/>
          <w:bCs/>
        </w:rPr>
        <w:t xml:space="preserve">00847</w:t>
      </w:r>
      <w:r>
        <w:t xml:space="preserve">, Circuit Court of</w:t>
      </w:r>
      <w:r>
        <w:t xml:space="preserve"> </w:t>
      </w:r>
      <w:r>
        <w:rPr>
          <w:b/>
          <w:bCs/>
        </w:rPr>
        <w:t xml:space="preserve">Columbia, Fairview County</w:t>
      </w:r>
      <w:r>
        <w:t xml:space="preserve">.</w:t>
      </w:r>
      <w:r>
        <w:t xml:space="preserve">”</w:t>
      </w:r>
      <w:r>
        <w:t xml:space="preserve"> </w:t>
      </w:r>
      <w:r>
        <w:t xml:space="preserve">The correct caption (cover letter; PROD-001; PROD-007) is Case No. 2024-DR-</w:t>
      </w:r>
      <w:r>
        <w:rPr>
          <w:b/>
          <w:bCs/>
        </w:rPr>
        <w:t xml:space="preserve">01847</w:t>
      </w:r>
      <w:r>
        <w:t xml:space="preserve">, Circuit Court of</w:t>
      </w:r>
      <w:r>
        <w:t xml:space="preserve"> </w:t>
      </w:r>
      <w:r>
        <w:rPr>
          <w:b/>
          <w:bCs/>
        </w:rPr>
        <w:t xml:space="preserve">Fairview County, Columbia</w:t>
      </w:r>
      <w:r>
        <w:t xml:space="preserve">. The bank production misstates both the case number and the court name.</w:t>
      </w:r>
      <w:r>
        <w:t xml:space="preserve"> </w:t>
      </w:r>
      <w:r>
        <w:rPr>
          <w:i/>
          <w:iCs/>
        </w:rPr>
        <w:t xml:space="preserve">Sources: PROD-004 (production stamp); Cover letter; PROD-001; PROD-007.</w:t>
      </w:r>
    </w:p>
    <w:p>
      <w:pPr>
        <w:pStyle w:val="BodyText"/>
      </w:pPr>
      <w:r>
        <w:rPr>
          <w:b/>
          <w:bCs/>
        </w:rPr>
        <w:t xml:space="preserve">42. Inconsistent Bates-numbering schemes.</w:t>
      </w:r>
      <w:r>
        <w:t xml:space="preserve"> </w:t>
      </w:r>
      <w:r>
        <w:t xml:space="preserve">The tax-return excerpts use the prefix</w:t>
      </w:r>
      <w:r>
        <w:t xml:space="preserve"> </w:t>
      </w:r>
      <w:r>
        <w:t xml:space="preserve">“</w:t>
      </w:r>
      <w:r>
        <w:t xml:space="preserve">DK-PROD-</w:t>
      </w:r>
      <w:r>
        <w:t xml:space="preserve">”</w:t>
      </w:r>
      <w:r>
        <w:t xml:space="preserve"> </w:t>
      </w:r>
      <w:r>
        <w:t xml:space="preserve">(DK-PROD-0045 – 0058), while the Crestline, FCB, and NovaBridge productions use</w:t>
      </w:r>
      <w:r>
        <w:t xml:space="preserve"> </w:t>
      </w:r>
      <w:r>
        <w:t xml:space="preserve">“</w:t>
      </w:r>
      <w:r>
        <w:t xml:space="preserve">KWAN_PROD_</w:t>
      </w:r>
      <w:r>
        <w:t xml:space="preserve">”</w:t>
      </w:r>
      <w:r>
        <w:t xml:space="preserve"> </w:t>
      </w:r>
      <w:r>
        <w:t xml:space="preserve">(e.g., KWAN_PROD_00142, 0401, 00187). The mixed prefixes complicate indexing and citation.</w:t>
      </w:r>
      <w:r>
        <w:t xml:space="preserve"> </w:t>
      </w:r>
      <w:r>
        <w:rPr>
          <w:i/>
          <w:iCs/>
        </w:rPr>
        <w:t xml:space="preserve">Sources: PROD-002 (DK-PROD-); PROD-003, PROD-004, PROD-007 (KWAN_PROD_).</w:t>
      </w:r>
    </w:p>
    <w:p>
      <w:pPr>
        <w:pStyle w:val="BodyText"/>
      </w:pPr>
      <w:r>
        <w:rPr>
          <w:b/>
          <w:bCs/>
        </w:rPr>
        <w:t xml:space="preserve">43. Missing Bates ranges on two productions.</w:t>
      </w:r>
      <w:r>
        <w:t xml:space="preserve"> </w:t>
      </w:r>
      <w:r>
        <w:t xml:space="preserve">The credit-card statements (PROD-006) and the Elm Street mortgage statements (PROD-005) do not bear or state any Bates-stamp range, unlike the other five sets.</w:t>
      </w:r>
      <w:r>
        <w:t xml:space="preserve"> </w:t>
      </w:r>
      <w:r>
        <w:rPr>
          <w:i/>
          <w:iCs/>
        </w:rPr>
        <w:t xml:space="preserve">Sources: PROD-005; PROD-006 (no Bates range identified).</w:t>
      </w:r>
    </w:p>
    <w:p>
      <w:pPr>
        <w:pStyle w:val="BodyText"/>
      </w:pPr>
      <w:r>
        <w:rPr>
          <w:b/>
          <w:bCs/>
        </w:rPr>
        <w:t xml:space="preserve">44. Undated cover letter.</w:t>
      </w:r>
      <w:r>
        <w:t xml:space="preserve"> </w:t>
      </w:r>
      <w:r>
        <w:t xml:space="preserve">The transmittal email’s</w:t>
      </w:r>
      <w:r>
        <w:t xml:space="preserve"> </w:t>
      </w:r>
      <w:r>
        <w:t xml:space="preserve">“</w:t>
      </w:r>
      <w:r>
        <w:t xml:space="preserve">Date:</w:t>
      </w:r>
      <w:r>
        <w:t xml:space="preserve">”</w:t>
      </w:r>
      <w:r>
        <w:t xml:space="preserve"> </w:t>
      </w:r>
      <w:r>
        <w:t xml:space="preserve">field is blank; the production cover letter is undated.</w:t>
      </w:r>
      <w:r>
        <w:t xml:space="preserve"> </w:t>
      </w:r>
      <w:r>
        <w:rPr>
          <w:i/>
          <w:iCs/>
        </w:rPr>
        <w:t xml:space="preserve">Source: Cover letter (Date field).</w:t>
      </w:r>
    </w:p>
    <w:p>
      <w:pPr>
        <w:pStyle w:val="BodyText"/>
      </w:pPr>
      <w:r>
        <w:rPr>
          <w:b/>
          <w:bCs/>
        </w:rPr>
        <w:t xml:space="preserve">45. Conflicting contact information for Respondent’s counsel.</w:t>
      </w:r>
      <w:r>
        <w:t xml:space="preserve"> </w:t>
      </w:r>
      <w:r>
        <w:t xml:space="preserve">The Declaration (PROD-001, prepared-by block) lists Raymond Fossett at telephone (571) 555-0184, fax (571) 555-0185, email rfossett@</w:t>
      </w:r>
      <w:r>
        <w:rPr>
          <w:b/>
          <w:bCs/>
        </w:rPr>
        <w:t xml:space="preserve">hfylaw</w:t>
      </w:r>
      <w:r>
        <w:t xml:space="preserve">.com. The cover letter signature block lists the same attorney at telephone (571) 555-4200, fax (571) 555-4201, email rfossett@</w:t>
      </w:r>
      <w:r>
        <w:rPr>
          <w:b/>
          <w:bCs/>
        </w:rPr>
        <w:t xml:space="preserve">hfy-law</w:t>
      </w:r>
      <w:r>
        <w:t xml:space="preserve">.com. The telephone, fax, and email domain all differ.</w:t>
      </w:r>
      <w:r>
        <w:t xml:space="preserve"> </w:t>
      </w:r>
      <w:r>
        <w:rPr>
          <w:i/>
          <w:iCs/>
        </w:rPr>
        <w:t xml:space="preserve">Sources: PROD-001 (prepared-by block); Cover letter (signature block).</w:t>
      </w:r>
    </w:p>
    <w:p>
      <w:pPr>
        <w:pStyle w:val="BodyText"/>
      </w:pPr>
      <w:r>
        <w:rPr>
          <w:b/>
          <w:bCs/>
        </w:rPr>
        <w:t xml:space="preserve">46. Brokerage account tax ID does not match the account holder’s SSN.</w:t>
      </w:r>
      <w:r>
        <w:t xml:space="preserve"> </w:t>
      </w:r>
      <w:r>
        <w:t xml:space="preserve">The Crestline statements (PROD-003) list the account Tax ID as ●●●-●●-</w:t>
      </w:r>
      <w:r>
        <w:rPr>
          <w:b/>
          <w:bCs/>
        </w:rPr>
        <w:t xml:space="preserve">8341</w:t>
      </w:r>
      <w:r>
        <w:t xml:space="preserve">. Respondent’s SSN, per the tax return (PROD-002), ends in</w:t>
      </w:r>
      <w:r>
        <w:t xml:space="preserve"> </w:t>
      </w:r>
      <w:r>
        <w:rPr>
          <w:b/>
          <w:bCs/>
        </w:rPr>
        <w:t xml:space="preserve">4718</w:t>
      </w:r>
      <w:r>
        <w:t xml:space="preserve">; the suffix 8341 instead matches the dependent child Ethan Kwan’s SSN (XXX-XX-8341). The Declaration (PROD-001, ¶29) represents the account is</w:t>
      </w:r>
      <w:r>
        <w:t xml:space="preserve"> </w:t>
      </w:r>
      <w:r>
        <w:t xml:space="preserve">“</w:t>
      </w:r>
      <w:r>
        <w:t xml:space="preserve">held in Respondent’s name alone.</w:t>
      </w:r>
      <w:r>
        <w:t xml:space="preserve">”</w:t>
      </w:r>
      <w:r>
        <w:t xml:space="preserve"> </w:t>
      </w:r>
      <w:r>
        <w:t xml:space="preserve">The mismatch should be reconciled (possible titling/custodial issue or statement error).</w:t>
      </w:r>
      <w:r>
        <w:t xml:space="preserve"> </w:t>
      </w:r>
      <w:r>
        <w:rPr>
          <w:i/>
          <w:iCs/>
        </w:rPr>
        <w:t xml:space="preserve">Sources: PROD-003 (account information, all statements); PROD-002 (SSNs for Darren and Ethan Kwan); PROD-001 ¶29.</w:t>
      </w:r>
    </w:p>
    <w:p>
      <w:pPr>
        <w:pStyle w:val="BodyText"/>
      </w:pPr>
      <w:r>
        <w:rPr>
          <w:b/>
          <w:bCs/>
        </w:rPr>
        <w:t xml:space="preserve">47. Brokerage and bank mailing addresses remained the marital residence through August 2024.</w:t>
      </w:r>
      <w:r>
        <w:t xml:space="preserve"> </w:t>
      </w:r>
      <w:r>
        <w:t xml:space="preserve">Although the Declaration (PROD-001, ¶2) states Respondent moved to 2200 Harbor Point Drive on or about June 1, 2024, the Crestline statements (PROD-003) and FCB statements (PROD-004) continue to show the mailing address as 418 Birchwood Lane through August 1, 2024 (only the credit card, PROD-006, shows an address change to Harbor Point effective the July cycle). The continued use of the marital-residence address for investment and bank mail should be confirmed as merely administrative.</w:t>
      </w:r>
      <w:r>
        <w:t xml:space="preserve"> </w:t>
      </w:r>
      <w:r>
        <w:rPr>
          <w:i/>
          <w:iCs/>
        </w:rPr>
        <w:t xml:space="preserve">Sources: PROD-003 (all statements); PROD-004 (all statements); PROD-006 (July–Aug. address change); PROD-001 ¶2.</w:t>
      </w:r>
    </w:p>
    <w:p>
      <w:pPr>
        <w:pStyle w:val="BodyText"/>
      </w:pPr>
      <w:r>
        <w:rPr>
          <w:b/>
          <w:bCs/>
        </w:rPr>
        <w:t xml:space="preserve">48. No Harbor Point rent payment in June; first rent payment appears in late July — contradicting the claimed June 1 lease/separation date.</w:t>
      </w:r>
      <w:r>
        <w:t xml:space="preserve"> </w:t>
      </w:r>
      <w:r>
        <w:t xml:space="preserve">The Declaration (PROD-001, ¶2) states the Harbor Point lease commenced</w:t>
      </w:r>
      <w:r>
        <w:t xml:space="preserve"> </w:t>
      </w:r>
      <w:r>
        <w:t xml:space="preserve">“</w:t>
      </w:r>
      <w:r>
        <w:t xml:space="preserve">on or about June 1, 2024.</w:t>
      </w:r>
      <w:r>
        <w:t xml:space="preserve">”</w:t>
      </w:r>
      <w:r>
        <w:t xml:space="preserve"> </w:t>
      </w:r>
      <w:r>
        <w:t xml:space="preserve">The FCB checking statements (PROD-004) show</w:t>
      </w:r>
      <w:r>
        <w:t xml:space="preserve"> </w:t>
      </w:r>
      <w:r>
        <w:rPr>
          <w:b/>
          <w:bCs/>
        </w:rPr>
        <w:t xml:space="preserve">no $4,750 rent payment in June 2024</w:t>
      </w:r>
      <w:r>
        <w:t xml:space="preserve">; the first Harbor Point rent payment (Check #4038 to Harbor Point Realty Mgmt, $4,750) appears on</w:t>
      </w:r>
      <w:r>
        <w:t xml:space="preserve"> </w:t>
      </w:r>
      <w:r>
        <w:rPr>
          <w:b/>
          <w:bCs/>
        </w:rPr>
        <w:t xml:space="preserve">July 30, 2024</w:t>
      </w:r>
      <w:r>
        <w:t xml:space="preserve">, with another $4,750 ACH on August 1, 2024. The absence of a June rent payment, together with the credit-card address change effective July (Item 47), suggests Respondent did not actually occupy or pay for the Harbor Point unit until July 2024 — supporting a later separation/move date consistent with the August 1, 2024 date in the privilege log (Item 39).</w:t>
      </w:r>
      <w:r>
        <w:t xml:space="preserve"> </w:t>
      </w:r>
      <w:r>
        <w:rPr>
          <w:i/>
          <w:iCs/>
        </w:rPr>
        <w:t xml:space="preserve">Sources: PROD-004 (June and July 2024 statements); PROD-001 ¶2; Cover letter (PRIV-001, PRIV-002).</w:t>
      </w:r>
    </w:p>
    <w:bookmarkEnd w:id="37"/>
    <w:bookmarkStart w:id="38" w:name="i.-tax-return-technical-items"/>
    <w:p>
      <w:pPr>
        <w:pStyle w:val="Heading3"/>
      </w:pPr>
      <w:r>
        <w:t xml:space="preserve">I. Tax-Return Technical Items</w:t>
      </w:r>
    </w:p>
    <w:p>
      <w:pPr>
        <w:pStyle w:val="FirstParagraph"/>
      </w:pPr>
      <w:r>
        <w:rPr>
          <w:b/>
          <w:bCs/>
        </w:rPr>
        <w:t xml:space="preserve">49. K-1 interest income may not be reflected on Form 1040.</w:t>
      </w:r>
      <w:r>
        <w:t xml:space="preserve"> </w:t>
      </w:r>
      <w:r>
        <w:t xml:space="preserve">The Schedule K-1 (PROD-002) reports $1,240 of interest income in Box 5 (pass-through from NovaBridge). Form 1040 Line 2b reports total taxable interest of $1,840, which Schedule B attributes entirely to</w:t>
      </w:r>
      <w:r>
        <w:t xml:space="preserve"> </w:t>
      </w:r>
      <w:r>
        <w:t xml:space="preserve">“</w:t>
      </w:r>
      <w:r>
        <w:t xml:space="preserve">accounts at Fairview Community Bank.</w:t>
      </w:r>
      <w:r>
        <w:t xml:space="preserve">”</w:t>
      </w:r>
      <w:r>
        <w:t xml:space="preserve"> </w:t>
      </w:r>
      <w:r>
        <w:t xml:space="preserve">The K-1 Box 5 interest does not appear to be included in Line 2b, suggesting possible underreported interest income of $1,240 (or an incomplete Schedule B summary).</w:t>
      </w:r>
      <w:r>
        <w:t xml:space="preserve"> </w:t>
      </w:r>
      <w:r>
        <w:rPr>
          <w:i/>
          <w:iCs/>
        </w:rPr>
        <w:t xml:space="preserve">Sources: PROD-002 Schedule K-1 Box 5; Form 1040 Line 2b; Schedule B summary.</w:t>
      </w:r>
    </w:p>
    <w:p>
      <w:pPr>
        <w:pStyle w:val="BodyText"/>
      </w:pPr>
      <w:r>
        <w:rPr>
          <w:b/>
          <w:bCs/>
        </w:rPr>
        <w:t xml:space="preserve">50. QBI deduction appears to be zero despite Form 8995 being filed.</w:t>
      </w:r>
      <w:r>
        <w:t xml:space="preserve"> </w:t>
      </w:r>
      <w:r>
        <w:t xml:space="preserve">The tax computation (PROD-002) shows taxable income (Line 15, $564,240) equal to AGI ($612,960) less itemized deductions ($48,720) only — i.e., no Qualified Business Income deduction appears on Line 13, even though Form 8995 was filed and NovaBridge generated $367,200 of QBI with substantial W-2 wages. A nonzero QBI deduction might be expected at these facts; Form 8995 was not produced.</w:t>
      </w:r>
      <w:r>
        <w:t xml:space="preserve"> </w:t>
      </w:r>
      <w:r>
        <w:rPr>
          <w:i/>
          <w:iCs/>
        </w:rPr>
        <w:t xml:space="preserve">Sources: PROD-002 Form 1040 Lines 11–15; Schedule K-1 Box 1;</w:t>
      </w:r>
      <w:r>
        <w:rPr>
          <w:i/>
          <w:iCs/>
        </w:rPr>
        <w:t xml:space="preserve"> </w:t>
      </w:r>
      <w:r>
        <w:rPr>
          <w:i/>
          <w:iCs/>
        </w:rPr>
        <w:t xml:space="preserve">“</w:t>
      </w:r>
      <w:r>
        <w:rPr>
          <w:i/>
          <w:iCs/>
        </w:rPr>
        <w:t xml:space="preserve">Additional Schedules</w:t>
      </w:r>
      <w:r>
        <w:rPr>
          <w:i/>
          <w:iCs/>
        </w:rPr>
        <w:t xml:space="preserve">”</w:t>
      </w:r>
      <w:r>
        <w:rPr>
          <w:i/>
          <w:iCs/>
        </w:rPr>
        <w:t xml:space="preserve"> </w:t>
      </w:r>
      <w:r>
        <w:rPr>
          <w:i/>
          <w:iCs/>
        </w:rPr>
        <w:t xml:space="preserve">summary (Form 8995 referenced but not excerpted).</w:t>
      </w:r>
    </w:p>
    <w:p>
      <w:pPr>
        <w:pStyle w:val="BodyText"/>
      </w:pPr>
      <w:r>
        <w:rPr>
          <w:b/>
          <w:bCs/>
        </w:rPr>
        <w:t xml:space="preserve">51. Only excerpts of the 47-page return were produced.</w:t>
      </w:r>
      <w:r>
        <w:t xml:space="preserve"> </w:t>
      </w:r>
      <w:r>
        <w:t xml:space="preserve">The tax-return cover sheet (PROD-002) states the complete return comprises 47 pages and that Schedule A, Schedule B (detail), Schedule D, Schedule SE, and Form 8995 were filed but are</w:t>
      </w:r>
      <w:r>
        <w:t xml:space="preserve"> </w:t>
      </w:r>
      <w:r>
        <w:t xml:space="preserve">“</w:t>
      </w:r>
      <w:r>
        <w:t xml:space="preserve">not produced in these excerpts</w:t>
      </w:r>
      <w:r>
        <w:t xml:space="preserve">”</w:t>
      </w:r>
      <w:r>
        <w:t xml:space="preserve"> </w:t>
      </w:r>
      <w:r>
        <w:t xml:space="preserve">(only summarized). The full return and all schedules should be obtained.</w:t>
      </w:r>
      <w:r>
        <w:t xml:space="preserve"> </w:t>
      </w:r>
      <w:r>
        <w:rPr>
          <w:i/>
          <w:iCs/>
        </w:rPr>
        <w:t xml:space="preserve">Sources: PROD-002 cover sheet and</w:t>
      </w:r>
      <w:r>
        <w:rPr>
          <w:i/>
          <w:iCs/>
        </w:rPr>
        <w:t xml:space="preserve"> </w:t>
      </w:r>
      <w:r>
        <w:rPr>
          <w:i/>
          <w:iCs/>
        </w:rPr>
        <w:t xml:space="preserve">“</w:t>
      </w:r>
      <w:r>
        <w:rPr>
          <w:i/>
          <w:iCs/>
        </w:rPr>
        <w:t xml:space="preserve">Additional Schedules</w:t>
      </w:r>
      <w:r>
        <w:rPr>
          <w:i/>
          <w:iCs/>
        </w:rPr>
        <w:t xml:space="preserve">”</w:t>
      </w:r>
      <w:r>
        <w:rPr>
          <w:i/>
          <w:iCs/>
        </w:rPr>
        <w:t xml:space="preserve"> </w:t>
      </w:r>
      <w:r>
        <w:rPr>
          <w:i/>
          <w:iCs/>
        </w:rPr>
        <w:t xml:space="preserve">summary.</w:t>
      </w:r>
    </w:p>
    <w:bookmarkEnd w:id="38"/>
    <w:bookmarkStart w:id="39" w:name="j.-production-completeness-gaps"/>
    <w:p>
      <w:pPr>
        <w:pStyle w:val="Heading3"/>
      </w:pPr>
      <w:r>
        <w:t xml:space="preserve">J. Production Completeness Gaps</w:t>
      </w:r>
    </w:p>
    <w:p>
      <w:pPr>
        <w:pStyle w:val="FirstParagraph"/>
      </w:pPr>
      <w:r>
        <w:rPr>
          <w:b/>
          <w:bCs/>
        </w:rPr>
        <w:t xml:space="preserve">52. Joint account statements (FCB 4821 and 4822) not produced.</w:t>
      </w:r>
      <w:r>
        <w:t xml:space="preserve"> </w:t>
      </w:r>
      <w:r>
        <w:t xml:space="preserve">The Declaration (PROD-001, ¶¶25–26) discloses a joint checking account (ending 4821, $12,340) and joint savings account (ending 4822, $28,750) held jointly with Petitioner. No statements for either joint account were produced. As a joint account holder, Respondent has possession, custody, or control of these records; the cover letter’s objection to producing</w:t>
      </w:r>
      <w:r>
        <w:t xml:space="preserve"> </w:t>
      </w:r>
      <w:r>
        <w:t xml:space="preserve">“</w:t>
      </w:r>
      <w:r>
        <w:t xml:space="preserve">accounts held solely by Petitioner</w:t>
      </w:r>
      <w:r>
        <w:t xml:space="preserve">”</w:t>
      </w:r>
      <w:r>
        <w:t xml:space="preserve"> </w:t>
      </w:r>
      <w:r>
        <w:t xml:space="preserve">does not extend to joint accounts.</w:t>
      </w:r>
      <w:r>
        <w:t xml:space="preserve"> </w:t>
      </w:r>
      <w:r>
        <w:rPr>
          <w:i/>
          <w:iCs/>
        </w:rPr>
        <w:t xml:space="preserve">Sources: PROD-001 ¶¶25–26, 32; Cover letter (general reservations); PROD-004 (individual accounts only).</w:t>
      </w:r>
    </w:p>
    <w:p>
      <w:pPr>
        <w:pStyle w:val="BodyText"/>
      </w:pPr>
      <w:r>
        <w:rPr>
          <w:b/>
          <w:bCs/>
        </w:rPr>
        <w:t xml:space="preserve">53. 401(k) account statement (Pinnacle Retirement, acct. 3310) not produced.</w:t>
      </w:r>
      <w:r>
        <w:t xml:space="preserve"> </w:t>
      </w:r>
      <w:r>
        <w:t xml:space="preserve">The Declaration (PROD-001, ¶30) reports a 401(k) balance of $412,800. No 401(k) statement was produced, and the FCB records (PROD-004) show ongoing contributions including the anomalous $14,644.60 transfer on 8/1/2024 (Items 14–15).</w:t>
      </w:r>
      <w:r>
        <w:t xml:space="preserve"> </w:t>
      </w:r>
      <w:r>
        <w:rPr>
          <w:i/>
          <w:iCs/>
        </w:rPr>
        <w:t xml:space="preserve">Sources: PROD-001 ¶30; PROD-004 (Pinnacle 401(k) ACH entries).</w:t>
      </w:r>
    </w:p>
    <w:p>
      <w:pPr>
        <w:pStyle w:val="BodyText"/>
      </w:pPr>
      <w:r>
        <w:rPr>
          <w:b/>
          <w:bCs/>
        </w:rPr>
        <w:t xml:space="preserve">54. Marital-residence mortgage statement not produced.</w:t>
      </w:r>
      <w:r>
        <w:t xml:space="preserve"> </w:t>
      </w:r>
      <w:r>
        <w:t xml:space="preserve">No statement for the Birchwood Lane mortgage (the Declaration’s largest disclosed liability, $218,400) was produced; only the Elm Street mortgage was produced (Item 9).</w:t>
      </w:r>
      <w:r>
        <w:t xml:space="preserve"> </w:t>
      </w:r>
      <w:r>
        <w:rPr>
          <w:i/>
          <w:iCs/>
        </w:rPr>
        <w:t xml:space="preserve">Sources: PROD-001 ¶¶20–22, 44; Cover letter (PROD-005 = Elm Street only).</w:t>
      </w:r>
    </w:p>
    <w:p>
      <w:pPr>
        <w:pStyle w:val="BodyText"/>
      </w:pPr>
      <w:r>
        <w:rPr>
          <w:b/>
          <w:bCs/>
        </w:rPr>
        <w:t xml:space="preserve">55. Auto-loan documentation not produced.</w:t>
      </w:r>
      <w:r>
        <w:t xml:space="preserve"> </w:t>
      </w:r>
      <w:r>
        <w:t xml:space="preserve">No statement or loan document for the BMW auto loan ($22,100, FCB Auto Finance) was produced, and the $425/month payment is not visible in the produced checking account (Item 33).</w:t>
      </w:r>
      <w:r>
        <w:t xml:space="preserve"> </w:t>
      </w:r>
      <w:r>
        <w:rPr>
          <w:i/>
          <w:iCs/>
        </w:rPr>
        <w:t xml:space="preserve">Sources: PROD-001 ¶45; PROD-004.</w:t>
      </w:r>
    </w:p>
    <w:p>
      <w:pPr>
        <w:pStyle w:val="BodyText"/>
      </w:pPr>
      <w:r>
        <w:rPr>
          <w:b/>
          <w:bCs/>
        </w:rPr>
        <w:t xml:space="preserve">56. Entity-level NovaBridge records not produced (RFP Nos. 16–22).</w:t>
      </w:r>
      <w:r>
        <w:t xml:space="preserve"> </w:t>
      </w:r>
      <w:r>
        <w:t xml:space="preserve">The cover letter confirms the NovaBridge Operating Agreement, entity-level financial records, Form 1065, and corporate records were not produced and will be</w:t>
      </w:r>
      <w:r>
        <w:t xml:space="preserve"> </w:t>
      </w:r>
      <w:r>
        <w:t xml:space="preserve">“</w:t>
      </w:r>
      <w:r>
        <w:t xml:space="preserve">supplemented.</w:t>
      </w:r>
      <w:r>
        <w:t xml:space="preserve">”</w:t>
      </w:r>
      <w:r>
        <w:t xml:space="preserve"> </w:t>
      </w:r>
      <w:r>
        <w:t xml:space="preserve">These are essential to value the 60% interest, to test the $174,000 distribution against entity cash flow, and to assess whether additional distributions or disguised compensation occurred.</w:t>
      </w:r>
      <w:r>
        <w:t xml:space="preserve"> </w:t>
      </w:r>
      <w:r>
        <w:rPr>
          <w:i/>
          <w:iCs/>
        </w:rPr>
        <w:t xml:space="preserve">Sources: Cover letter (RFP Nos. 16–22); PROD-002 entity summary; PROD-007 §1.</w:t>
      </w:r>
    </w:p>
    <w:p>
      <w:pPr>
        <w:pStyle w:val="BodyText"/>
      </w:pPr>
      <w:r>
        <w:rPr>
          <w:b/>
          <w:bCs/>
        </w:rPr>
        <w:t xml:space="preserve">57. Formal privilege log not yet produced.</w:t>
      </w:r>
      <w:r>
        <w:t xml:space="preserve"> </w:t>
      </w:r>
      <w:r>
        <w:t xml:space="preserve">The cover letter withholds PRIV-001 through PRIV-004 on attorney-client/work-product grounds but states a formal privilege log</w:t>
      </w:r>
      <w:r>
        <w:t xml:space="preserve"> </w:t>
      </w:r>
      <w:r>
        <w:t xml:space="preserve">“</w:t>
      </w:r>
      <w:r>
        <w:t xml:space="preserve">in full compliance with the applicable rules is forthcoming … within ten (10) business days.</w:t>
      </w:r>
      <w:r>
        <w:t xml:space="preserve">”</w:t>
      </w:r>
      <w:r>
        <w:t xml:space="preserve"> </w:t>
      </w:r>
      <w:r>
        <w:t xml:space="preserve">The log had not been served as of this production.</w:t>
      </w:r>
      <w:r>
        <w:t xml:space="preserve"> </w:t>
      </w:r>
      <w:r>
        <w:rPr>
          <w:i/>
          <w:iCs/>
        </w:rPr>
        <w:t xml:space="preserve">Source: Cover letter (Privilege Log section).</w:t>
      </w:r>
    </w:p>
    <w:p>
      <w:pPr>
        <w:pStyle w:val="BodyText"/>
      </w:pPr>
      <w:r>
        <w:rPr>
          <w:b/>
          <w:bCs/>
        </w:rPr>
        <w:t xml:space="preserve">58. Petitioner’s reciprocal production outstanding.</w:t>
      </w:r>
      <w:r>
        <w:t xml:space="preserve"> </w:t>
      </w:r>
      <w:r>
        <w:t xml:space="preserve">The cover letter notes that Respondent’s First Request for Production served on Petitioner (Sept. 18, 2024)</w:t>
      </w:r>
      <w:r>
        <w:t xml:space="preserve"> </w:t>
      </w:r>
      <w:r>
        <w:t xml:space="preserve">“</w:t>
      </w:r>
      <w:r>
        <w:t xml:space="preserve">remains outstanding.</w:t>
      </w:r>
      <w:r>
        <w:t xml:space="preserve">”</w:t>
      </w:r>
      <w:r>
        <w:t xml:space="preserve"> </w:t>
      </w:r>
      <w:r>
        <w:t xml:space="preserve">Petitioner’s production (including her 403(b) statements, her FCB joint-account access, and her employment records) should be pursued.</w:t>
      </w:r>
      <w:r>
        <w:t xml:space="preserve"> </w:t>
      </w:r>
      <w:r>
        <w:rPr>
          <w:i/>
          <w:iCs/>
        </w:rPr>
        <w:t xml:space="preserve">Source: Cover letter (final paragraph).</w:t>
      </w:r>
    </w:p>
    <w:p>
      <w:pPr>
        <w:pStyle w:val="BodyText"/>
      </w:pPr>
      <w:r>
        <w:rPr>
          <w:b/>
          <w:bCs/>
        </w:rPr>
        <w:t xml:space="preserve">59. Q3 2024 NovaBridge expense reports not produced.</w:t>
      </w:r>
      <w:r>
        <w:t xml:space="preserve"> </w:t>
      </w:r>
      <w:r>
        <w:t xml:space="preserve">The expense reports (PROD-007) cover only Q1–Q2 2024 (through June 30, 2024). Q3 2024 (July–September) expense reports — spanning the separation, the $85,000 wire (June 15), and the months immediately preceding the Declaration — were not produced.</w:t>
      </w:r>
      <w:r>
        <w:t xml:space="preserve"> </w:t>
      </w:r>
      <w:r>
        <w:rPr>
          <w:i/>
          <w:iCs/>
        </w:rPr>
        <w:t xml:space="preserve">Sources: PROD-007 (reporting period); Cover letter.</w:t>
      </w:r>
    </w:p>
    <w:p>
      <w:pPr>
        <w:pStyle w:val="BodyText"/>
      </w:pPr>
      <w:r>
        <w:rPr>
          <w:b/>
          <w:bCs/>
        </w:rPr>
        <w:t xml:space="preserve">60. All produced account statements terminate at or near August 2024.</w:t>
      </w:r>
      <w:r>
        <w:t xml:space="preserve"> </w:t>
      </w:r>
      <w:r>
        <w:t xml:space="preserve">The brokerage and bank statements end August 1, 2024 (partial); the credit card ends August 31, 2024. The production thus cuts off at the outset of the dissolution proceeding (Petition filed September 3, 2024; Declaration dated September 20, 2024). Post-August 2024 records, which would show any further dissipation or asset movement, were not produced.</w:t>
      </w:r>
      <w:r>
        <w:t xml:space="preserve"> </w:t>
      </w:r>
      <w:r>
        <w:rPr>
          <w:i/>
          <w:iCs/>
        </w:rPr>
        <w:t xml:space="preserve">Sources: PROD-003, PROD-004, PROD-006; PROD-001 ¶6; Cover letter.</w:t>
      </w:r>
    </w:p>
    <w:p>
      <w:pPr>
        <w:pStyle w:val="BodyText"/>
      </w:pPr>
      <w:r>
        <w:rPr>
          <w:b/>
          <w:bCs/>
        </w:rPr>
        <w:t xml:space="preserve">61. Individual checking statements missing January–February 2024.</w:t>
      </w:r>
      <w:r>
        <w:t xml:space="preserve"> </w:t>
      </w:r>
      <w:r>
        <w:t xml:space="preserve">The FCB individual checking statements (PROD-004) begin March 1, 2024; no January or February 2024 checking statements were produced, leaving early-2024 account activity (including any year-end distributions or transfers) undocumented. (The Crestline brokerage, by contrast, begins January 1, 2024.)</w:t>
      </w:r>
      <w:r>
        <w:t xml:space="preserve"> </w:t>
      </w:r>
      <w:r>
        <w:rPr>
          <w:i/>
          <w:iCs/>
        </w:rPr>
        <w:t xml:space="preserve">Sources: PROD-004 (statement period); PROD-003.</w:t>
      </w:r>
    </w:p>
    <w:p>
      <w:r>
        <w:pict>
          <v:rect style="width:0;height:1.5pt" o:hralign="center" o:hrstd="t" o:hr="t"/>
        </w:pict>
      </w:r>
    </w:p>
    <w:bookmarkEnd w:id="39"/>
    <w:bookmarkEnd w:id="40"/>
    <w:bookmarkStart w:id="45" w:name="v.-recommended-follow-up-discovery"/>
    <w:p>
      <w:pPr>
        <w:pStyle w:val="Heading2"/>
      </w:pPr>
      <w:r>
        <w:t xml:space="preserve">V. Recommended Follow-Up Discovery</w:t>
      </w:r>
    </w:p>
    <w:p>
      <w:pPr>
        <w:pStyle w:val="FirstParagraph"/>
      </w:pPr>
      <w:r>
        <w:t xml:space="preserve">The following discovery steps are recommended, keyed to the issues above.</w:t>
      </w:r>
    </w:p>
    <w:bookmarkStart w:id="41" w:name="Xcb957f61d2fd736c1d58e71c6408dcc1a511a24"/>
    <w:p>
      <w:pPr>
        <w:pStyle w:val="Heading3"/>
      </w:pPr>
      <w:r>
        <w:t xml:space="preserve">A. Document demands / meet-and-confer on the existing production</w:t>
      </w:r>
    </w:p>
    <w:p>
      <w:pPr>
        <w:numPr>
          <w:ilvl w:val="0"/>
          <w:numId w:val="1001"/>
        </w:numPr>
      </w:pPr>
      <w:r>
        <w:rPr>
          <w:b/>
          <w:bCs/>
        </w:rPr>
        <w:t xml:space="preserve">Demand supplementation and correction of the Sworn Financial Declaration (PROD-001)</w:t>
      </w:r>
      <w:r>
        <w:t xml:space="preserve"> </w:t>
      </w:r>
      <w:r>
        <w:t xml:space="preserve">to (i) report K-1 ordinary business income ($367,200) rather than distributions ($174,000); (ii) add the omitted interest, dividend, capital-gain, and rental income; (iii) add the 1035 Elm Street property and its mortgage and rental income; (iv) add the $9,600 vehicle allowance; (v) correct the credit-card creditor to Fairview Community Bank and the payment pattern; (vi) restate all account balances as of the June 1, 2024 separation date (or such other date as the Court fixes); and (vii) disclose the Harborstone Financial Group account (ending 2291). Consider a motion to compel and for sanctions if not corrected.</w:t>
      </w:r>
    </w:p>
    <w:p>
      <w:pPr>
        <w:numPr>
          <w:ilvl w:val="0"/>
          <w:numId w:val="1001"/>
        </w:numPr>
      </w:pPr>
      <w:r>
        <w:rPr>
          <w:b/>
          <w:bCs/>
        </w:rPr>
        <w:t xml:space="preserve">Meet and confer on the separation date</w:t>
      </w:r>
      <w:r>
        <w:t xml:space="preserve"> </w:t>
      </w:r>
      <w:r>
        <w:t xml:space="preserve">(Item 39). The June 1, 2024 vs. August 1, 2024 conflict must be resolved because it controls characterization of the $85,000 wire and other transfers; the absence of a June Harbor Point rent payment (Item 48) bears directly on this issue. Request a sworn statement of the factual basis for each date.</w:t>
      </w:r>
    </w:p>
    <w:p>
      <w:pPr>
        <w:numPr>
          <w:ilvl w:val="0"/>
          <w:numId w:val="1001"/>
        </w:numPr>
      </w:pPr>
      <w:r>
        <w:rPr>
          <w:b/>
          <w:bCs/>
        </w:rPr>
        <w:t xml:space="preserve">Demand production of the joint accounts</w:t>
      </w:r>
      <w:r>
        <w:t xml:space="preserve"> </w:t>
      </w:r>
      <w:r>
        <w:t xml:space="preserve">(FCB 4821 and 4822) (Item 52). Respondent is a joint account holder and the</w:t>
      </w:r>
      <w:r>
        <w:t xml:space="preserve"> </w:t>
      </w:r>
      <w:r>
        <w:t xml:space="preserve">“</w:t>
      </w:r>
      <w:r>
        <w:t xml:space="preserve">solely Petitioner’s accounts</w:t>
      </w:r>
      <w:r>
        <w:t xml:space="preserve">”</w:t>
      </w:r>
      <w:r>
        <w:t xml:space="preserve"> </w:t>
      </w:r>
      <w:r>
        <w:t xml:space="preserve">objection does not apply.</w:t>
      </w:r>
    </w:p>
    <w:p>
      <w:pPr>
        <w:numPr>
          <w:ilvl w:val="0"/>
          <w:numId w:val="1001"/>
        </w:numPr>
      </w:pPr>
      <w:r>
        <w:rPr>
          <w:b/>
          <w:bCs/>
        </w:rPr>
        <w:t xml:space="preserve">Demand the full 47-page 2023 tax return</w:t>
      </w:r>
      <w:r>
        <w:t xml:space="preserve"> </w:t>
      </w:r>
      <w:r>
        <w:t xml:space="preserve">with all schedules (A, B detail, D, SE, Form 8995) and the corresponding 2022 return (Items 49–51). Also demand 2024 quarterly estimated-tax payment records (the $10,550 Q1 estimate paid from Crestline on 4/15/2024).</w:t>
      </w:r>
    </w:p>
    <w:p>
      <w:pPr>
        <w:numPr>
          <w:ilvl w:val="0"/>
          <w:numId w:val="1001"/>
        </w:numPr>
      </w:pPr>
      <w:r>
        <w:rPr>
          <w:b/>
          <w:bCs/>
        </w:rPr>
        <w:t xml:space="preserve">Demand the formal privilege log</w:t>
      </w:r>
      <w:r>
        <w:t xml:space="preserve"> </w:t>
      </w:r>
      <w:r>
        <w:t xml:space="preserve">(Item 57) if not served within the represented ten business days; scrutinize PRIV-003 (</w:t>
      </w:r>
      <w:r>
        <w:t xml:space="preserve">“</w:t>
      </w:r>
      <w:r>
        <w:t xml:space="preserve">Preliminary analysis of marital estate,</w:t>
      </w:r>
      <w:r>
        <w:t xml:space="preserve">”</w:t>
      </w:r>
      <w:r>
        <w:t xml:space="preserve"> </w:t>
      </w:r>
      <w:r>
        <w:t xml:space="preserve">Aug. 20, 2024) for any portion not protected (e.g., factual financial data vs. legal advice).</w:t>
      </w:r>
    </w:p>
    <w:bookmarkEnd w:id="41"/>
    <w:bookmarkStart w:id="42" w:name="Xc7bd7b2c847e609cda79fbb40540b8712a0dac8"/>
    <w:p>
      <w:pPr>
        <w:pStyle w:val="Heading3"/>
      </w:pPr>
      <w:r>
        <w:t xml:space="preserve">B. Targeted document requests / subpoenas to third parties</w:t>
      </w:r>
    </w:p>
    <w:p>
      <w:pPr>
        <w:numPr>
          <w:ilvl w:val="0"/>
          <w:numId w:val="1002"/>
        </w:numPr>
      </w:pPr>
      <w:r>
        <w:rPr>
          <w:b/>
          <w:bCs/>
        </w:rPr>
        <w:t xml:space="preserve">Subpoena Harborstone Financial Group</w:t>
      </w:r>
      <w:r>
        <w:t xml:space="preserve"> </w:t>
      </w:r>
      <w:r>
        <w:t xml:space="preserve">for all records of account ending 2291 (and any other accounts in Respondent’s name or controlled by him) from January 2023 to present (Items 12, 23). This is the single most important follow-up: it will show where the $85,000 went and may reveal the funding source for the credit card and other payments.</w:t>
      </w:r>
    </w:p>
    <w:p>
      <w:pPr>
        <w:numPr>
          <w:ilvl w:val="0"/>
          <w:numId w:val="1002"/>
        </w:numPr>
      </w:pPr>
      <w:r>
        <w:rPr>
          <w:b/>
          <w:bCs/>
        </w:rPr>
        <w:t xml:space="preserve">Subpoena Fairview Community Bank</w:t>
      </w:r>
      <w:r>
        <w:t xml:space="preserve"> </w:t>
      </w:r>
      <w:r>
        <w:t xml:space="preserve">for (i) all accounts in Darren Kwan’s name (including any second Visa card and the auto-loan account) and all joint accounts (4821, 4822) from January 2023 to present — which will also capture the missing January–February 2024 checking statements and any post-August 2024 activity (Items 23, 24, 33, 52, 55, 60, 61); and (ii) the auto-loan (FCB Auto Finance) note and payment history (Items 33, 55).</w:t>
      </w:r>
    </w:p>
    <w:p>
      <w:pPr>
        <w:numPr>
          <w:ilvl w:val="0"/>
          <w:numId w:val="1002"/>
        </w:numPr>
      </w:pPr>
      <w:r>
        <w:rPr>
          <w:b/>
          <w:bCs/>
        </w:rPr>
        <w:t xml:space="preserve">Subpoena Pinnacle Retirement Services</w:t>
      </w:r>
      <w:r>
        <w:t xml:space="preserve"> </w:t>
      </w:r>
      <w:r>
        <w:t xml:space="preserve">for the 401(k) account (ending 3310) statements and transaction history from January 2023 to present, including loan/withdrawal records and characterization of the August 1, 2024 $14,644.60 transaction (Items 14, 15, 53).</w:t>
      </w:r>
    </w:p>
    <w:p>
      <w:pPr>
        <w:numPr>
          <w:ilvl w:val="0"/>
          <w:numId w:val="1002"/>
        </w:numPr>
      </w:pPr>
      <w:r>
        <w:rPr>
          <w:b/>
          <w:bCs/>
        </w:rPr>
        <w:t xml:space="preserve">Subpoena Meridian Home Lending</w:t>
      </w:r>
      <w:r>
        <w:t xml:space="preserve"> </w:t>
      </w:r>
      <w:r>
        <w:t xml:space="preserve">for the</w:t>
      </w:r>
      <w:r>
        <w:t xml:space="preserve"> </w:t>
      </w:r>
      <w:r>
        <w:rPr>
          <w:b/>
          <w:bCs/>
        </w:rPr>
        <w:t xml:space="preserve">418 Birchwood Lane</w:t>
      </w:r>
      <w:r>
        <w:t xml:space="preserve"> </w:t>
      </w:r>
      <w:r>
        <w:t xml:space="preserve">mortgage note, payment history, and current payoff (Item 54), in addition to the Elm Street loan already produced.</w:t>
      </w:r>
    </w:p>
    <w:p>
      <w:pPr>
        <w:numPr>
          <w:ilvl w:val="0"/>
          <w:numId w:val="1002"/>
        </w:numPr>
      </w:pPr>
      <w:r>
        <w:rPr>
          <w:b/>
          <w:bCs/>
        </w:rPr>
        <w:t xml:space="preserve">Subpoena Crestline Wealth Advisors</w:t>
      </w:r>
      <w:r>
        <w:t xml:space="preserve"> </w:t>
      </w:r>
      <w:r>
        <w:t xml:space="preserve">for the complete account history (account 9956) from account inception, all wire/transfer records, the advisory agreement, and confirmation of the account’s tax ID/registration (Items 12, 46, 47).</w:t>
      </w:r>
    </w:p>
    <w:p>
      <w:pPr>
        <w:numPr>
          <w:ilvl w:val="0"/>
          <w:numId w:val="1002"/>
        </w:numPr>
      </w:pPr>
      <w:r>
        <w:rPr>
          <w:b/>
          <w:bCs/>
        </w:rPr>
        <w:t xml:space="preserve">Subpoena NovaBridge Solutions LLC</w:t>
      </w:r>
      <w:r>
        <w:t xml:space="preserve"> </w:t>
      </w:r>
      <w:r>
        <w:t xml:space="preserve">(and serve on Jared Ostrowski) for the Operating Agreement (with all amendments), Form 1065 and full partnership return for 2022 and 2023, entity-level financial statements, bank statements, the general ledger, member capital accounts, distribution registers, and all expense-reimbursement records for both members —</w:t>
      </w:r>
      <w:r>
        <w:t xml:space="preserve"> </w:t>
      </w:r>
      <w:r>
        <w:rPr>
          <w:b/>
          <w:bCs/>
        </w:rPr>
        <w:t xml:space="preserve">including Q3 2024 (July–September)</w:t>
      </w:r>
      <w:r>
        <w:t xml:space="preserve"> </w:t>
      </w:r>
      <w:r>
        <w:t xml:space="preserve">(Items 34, 35, 36, 38, 56, 59).</w:t>
      </w:r>
    </w:p>
    <w:p>
      <w:pPr>
        <w:numPr>
          <w:ilvl w:val="0"/>
          <w:numId w:val="1002"/>
        </w:numPr>
      </w:pPr>
      <w:r>
        <w:rPr>
          <w:b/>
          <w:bCs/>
        </w:rPr>
        <w:t xml:space="preserve">Serve a discovery request / deposition notice on Respondent</w:t>
      </w:r>
      <w:r>
        <w:t xml:space="preserve"> </w:t>
      </w:r>
      <w:r>
        <w:t xml:space="preserve">requiring identification of</w:t>
      </w:r>
      <w:r>
        <w:t xml:space="preserve"> </w:t>
      </w:r>
      <w:r>
        <w:t xml:space="preserve">“</w:t>
      </w:r>
      <w:r>
        <w:t xml:space="preserve">Kiera M.</w:t>
      </w:r>
      <w:r>
        <w:t xml:space="preserve">”</w:t>
      </w:r>
      <w:r>
        <w:t xml:space="preserve"> </w:t>
      </w:r>
      <w:r>
        <w:t xml:space="preserve">and the purpose of the $14,600 in Venmo transfers, and production of all Venmo/Zelle/CashApp and peer-transfer records (Item 13).</w:t>
      </w:r>
    </w:p>
    <w:bookmarkEnd w:id="42"/>
    <w:bookmarkStart w:id="43" w:name="c.-depositions-and-expert-work"/>
    <w:p>
      <w:pPr>
        <w:pStyle w:val="Heading3"/>
      </w:pPr>
      <w:r>
        <w:t xml:space="preserve">C. Depositions and expert work</w:t>
      </w:r>
    </w:p>
    <w:p>
      <w:pPr>
        <w:numPr>
          <w:ilvl w:val="0"/>
          <w:numId w:val="1003"/>
        </w:numPr>
      </w:pPr>
      <w:r>
        <w:rPr>
          <w:b/>
          <w:bCs/>
        </w:rPr>
        <w:t xml:space="preserve">Depose Darren Kwan</w:t>
      </w:r>
      <w:r>
        <w:t xml:space="preserve"> </w:t>
      </w:r>
      <w:r>
        <w:t xml:space="preserve">on the inconsistencies in Items 1–40, with the produced documents marked as exhibits; focus on the Elm Street omission, the $85,000 wire, the</w:t>
      </w:r>
      <w:r>
        <w:t xml:space="preserve"> </w:t>
      </w:r>
      <w:r>
        <w:t xml:space="preserve">“</w:t>
      </w:r>
      <w:r>
        <w:t xml:space="preserve">Kiera M.</w:t>
      </w:r>
      <w:r>
        <w:t xml:space="preserve">”</w:t>
      </w:r>
      <w:r>
        <w:t xml:space="preserve"> </w:t>
      </w:r>
      <w:r>
        <w:t xml:space="preserve">transfers, the self-approved expense reimbursements, the Sapphire Sky Travel and</w:t>
      </w:r>
      <w:r>
        <w:t xml:space="preserve"> </w:t>
      </w:r>
      <w:r>
        <w:t xml:space="preserve">“</w:t>
      </w:r>
      <w:r>
        <w:t xml:space="preserve">personal devices</w:t>
      </w:r>
      <w:r>
        <w:t xml:space="preserve">”</w:t>
      </w:r>
      <w:r>
        <w:t xml:space="preserve"> </w:t>
      </w:r>
      <w:r>
        <w:t xml:space="preserve">commingling, the separation date and rent-payment timing, and the income/distribution distinction.</w:t>
      </w:r>
    </w:p>
    <w:p>
      <w:pPr>
        <w:numPr>
          <w:ilvl w:val="0"/>
          <w:numId w:val="1003"/>
        </w:numPr>
      </w:pPr>
      <w:r>
        <w:rPr>
          <w:b/>
          <w:bCs/>
        </w:rPr>
        <w:t xml:space="preserve">Depose Jared Ostrowski</w:t>
      </w:r>
      <w:r>
        <w:t xml:space="preserve"> </w:t>
      </w:r>
      <w:r>
        <w:t xml:space="preserve">(co-member, 40%) on NovaBridge distributions, compensation, the Operating Agreement, expense-reimbursement practices, and any knowledge of Respondent’s personal financial conduct (Items 34–38, 56).</w:t>
      </w:r>
    </w:p>
    <w:p>
      <w:pPr>
        <w:numPr>
          <w:ilvl w:val="0"/>
          <w:numId w:val="1003"/>
        </w:numPr>
      </w:pPr>
      <w:r>
        <w:rPr>
          <w:b/>
          <w:bCs/>
        </w:rPr>
        <w:t xml:space="preserve">Retain a forensic accountant</w:t>
      </w:r>
      <w:r>
        <w:t xml:space="preserve"> </w:t>
      </w:r>
      <w:r>
        <w:t xml:space="preserve">to (i) reconstruct Respondent’s actual 2023 and 2024 income from the bank, brokerage, and tax records; (ii) trace the $85,000 wire and the</w:t>
      </w:r>
      <w:r>
        <w:t xml:space="preserve"> </w:t>
      </w:r>
      <w:r>
        <w:t xml:space="preserve">“</w:t>
      </w:r>
      <w:r>
        <w:t xml:space="preserve">Kiera M.</w:t>
      </w:r>
      <w:r>
        <w:t xml:space="preserve">”</w:t>
      </w:r>
      <w:r>
        <w:t xml:space="preserve"> </w:t>
      </w:r>
      <w:r>
        <w:t xml:space="preserve">transfers; (iii) reconcile the credit-card and expense-reimbursement flows (including the Sapphire Sky Travel and personal-devices overlaps); (iv) characterize the 401(k) transfers; and (v) value the 60% NovaBridge interest (Items 1, 2, 12, 13, 15, 23, 27, 36, 38).</w:t>
      </w:r>
    </w:p>
    <w:p>
      <w:pPr>
        <w:numPr>
          <w:ilvl w:val="0"/>
          <w:numId w:val="1003"/>
        </w:numPr>
      </w:pPr>
      <w:r>
        <w:rPr>
          <w:b/>
          <w:bCs/>
        </w:rPr>
        <w:t xml:space="preserve">Obtain formal appraisals</w:t>
      </w:r>
      <w:r>
        <w:t xml:space="preserve"> </w:t>
      </w:r>
      <w:r>
        <w:t xml:space="preserve">of the marital residence (418 Birchwood Lane) and the Elm Street condominium (1035 Elm Street, Unit C), and a business valuation of NovaBridge (Items 7, 9, 11, 38).</w:t>
      </w:r>
    </w:p>
    <w:bookmarkEnd w:id="43"/>
    <w:bookmarkStart w:id="44" w:name="d.-motion-practice"/>
    <w:p>
      <w:pPr>
        <w:pStyle w:val="Heading3"/>
      </w:pPr>
      <w:r>
        <w:t xml:space="preserve">D. Motion practice</w:t>
      </w:r>
    </w:p>
    <w:p>
      <w:pPr>
        <w:numPr>
          <w:ilvl w:val="0"/>
          <w:numId w:val="1004"/>
        </w:numPr>
      </w:pPr>
      <w:r>
        <w:rPr>
          <w:b/>
          <w:bCs/>
        </w:rPr>
        <w:t xml:space="preserve">Consider a motion for a preliminary injunction / freezing order</w:t>
      </w:r>
      <w:r>
        <w:t xml:space="preserve"> </w:t>
      </w:r>
      <w:r>
        <w:t xml:space="preserve">or an accounting under the applicable Columbia family-code provisions to prevent further dissipation, given the $85,000 post-separation wire, the escalating credit-card spending, the commingled personal/business travel and devices charges, and the self-approved reimbursement authority (Items 12, 17, 27–30, 34).</w:t>
      </w:r>
    </w:p>
    <w:p>
      <w:pPr>
        <w:numPr>
          <w:ilvl w:val="0"/>
          <w:numId w:val="1004"/>
        </w:numPr>
      </w:pPr>
      <w:r>
        <w:rPr>
          <w:b/>
          <w:bCs/>
        </w:rPr>
        <w:t xml:space="preserve">Consider a motion to compel</w:t>
      </w:r>
      <w:r>
        <w:t xml:space="preserve"> </w:t>
      </w:r>
      <w:r>
        <w:t xml:space="preserve">the RFP Nos. 16–22 productions (Operating Agreement and entity records) on an expedited schedule, and to compel the joint-account and 401(k) statements, the Q3 2024 expense reports, and post-August 2024 account records (Items 52–56, 59–61).</w:t>
      </w:r>
    </w:p>
    <w:p>
      <w:pPr>
        <w:numPr>
          <w:ilvl w:val="0"/>
          <w:numId w:val="1004"/>
        </w:numPr>
      </w:pPr>
      <w:r>
        <w:rPr>
          <w:b/>
          <w:bCs/>
        </w:rPr>
        <w:t xml:space="preserve">Preserve a record for sanctions / adverse inference</w:t>
      </w:r>
      <w:r>
        <w:t xml:space="preserve"> </w:t>
      </w:r>
      <w:r>
        <w:t xml:space="preserve">should Respondent fail to correct the Declaration’s material misstatements and omissions identified in Items 1–11 and 16–20.</w:t>
      </w:r>
    </w:p>
    <w:p>
      <w:r>
        <w:pict>
          <v:rect style="width:0;height:1.5pt" o:hralign="center" o:hrstd="t" o:hr="t"/>
        </w:pict>
      </w:r>
    </w:p>
    <w:bookmarkEnd w:id="44"/>
    <w:bookmarkEnd w:id="45"/>
    <w:bookmarkStart w:id="46" w:name="vi.-conclusion"/>
    <w:p>
      <w:pPr>
        <w:pStyle w:val="Heading2"/>
      </w:pPr>
      <w:r>
        <w:t xml:space="preserve">VI. Conclusion</w:t>
      </w:r>
    </w:p>
    <w:p>
      <w:pPr>
        <w:pStyle w:val="FirstParagraph"/>
      </w:pPr>
      <w:r>
        <w:t xml:space="preserve">The production, while facially responsive to seven categories of requests, is internally contradictory and materially incomplete. Respondent’s own tax return (PROD-002) and bank/brokerage/mortgage records (PROD-003, PROD-004, PROD-005) directly refute core representations in his Sworn Financial Declaration (PROD-001): the Declaration omits a separately titled rental property (1035 Elm Street, Unit C) and its ~$241,000 mortgage and $2,100/month rental income — corroborated by dual Meridian payments debited from his checking account; understates 2023 income by roughly $213,000 by reporting K-1 distributions as income and ignoring investment and rental income; reports post-separation (August 1, 2024) account balances as separation-date values, masking an $85,000 wire to an undisclosed Harborstone Financial Group account and a post-separation savings transfer; and understates monthly expenses and liabilities. The records further reveal recurring transfers to an unidentified</w:t>
      </w:r>
      <w:r>
        <w:t xml:space="preserve"> </w:t>
      </w:r>
      <w:r>
        <w:t xml:space="preserve">“</w:t>
      </w:r>
      <w:r>
        <w:t xml:space="preserve">Kiera M.</w:t>
      </w:r>
      <w:r>
        <w:t xml:space="preserve">”</w:t>
      </w:r>
      <w:r>
        <w:t xml:space="preserve"> </w:t>
      </w:r>
      <w:r>
        <w:t xml:space="preserve">($14,600), commingling of personal and business expenditures through a common travel vendor (Sapphire Sky Travel) and same-day</w:t>
      </w:r>
      <w:r>
        <w:t xml:space="preserve"> </w:t>
      </w:r>
      <w:r>
        <w:t xml:space="preserve">“</w:t>
      </w:r>
      <w:r>
        <w:t xml:space="preserve">personal devices</w:t>
      </w:r>
      <w:r>
        <w:t xml:space="preserve">”</w:t>
      </w:r>
      <w:r>
        <w:t xml:space="preserve"> </w:t>
      </w:r>
      <w:r>
        <w:t xml:space="preserve">purchases, a self-approved business-expense reimbursement structure, a non-reconciling credit-card payment stream that implies an undisclosed funding account, and a 401(k) transfer pattern that may exceed contribution limits. The production also cuts off at August 2024 — the outset of the proceeding — and omits the joint accounts, the 401(k) statement, the marital-residence mortgage, the NovaBridge Operating Agreement and entity records, and Q3 2024 expense reports. Immediate follow-up discovery — particularly a subpoena to Harborstone Financial Group, production of the joint and 401(k) accounts, the NovaBridge Operating Agreement and entity records, and a deposition of Respondent — is warranted, together with a demand that the Sworn Financial Declaration be corrected under oath.</w:t>
      </w:r>
    </w:p>
    <w:p>
      <w:pPr>
        <w:pStyle w:val="BodyText"/>
      </w:pPr>
      <w:r>
        <w:rPr>
          <w:i/>
          <w:iCs/>
        </w:rPr>
        <w:t xml:space="preserve">Prepared for internal use. This memorandum is attorney work product and contains privileged and confidential information.</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2026-06-27T01:14:49Z</dcterms:created>
  <dcterms:modified xsi:type="dcterms:W3CDTF">2026-06-27T01:14:49Z</dcterms:modified>
</cp:coreProperties>
</file>

<file path=docProps/custom.xml><?xml version="1.0" encoding="utf-8"?>
<Properties xmlns="http://schemas.openxmlformats.org/officeDocument/2006/custom-properties" xmlns:vt="http://schemas.openxmlformats.org/officeDocument/2006/docPropsVTypes"/>
</file>