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173CD" w14:textId="77777777" w:rsidR="00C25688" w:rsidRPr="00C25688" w:rsidRDefault="00C25688" w:rsidP="00C25688">
      <w:pPr>
        <w:jc w:val="both"/>
        <w:rPr>
          <w:rFonts w:ascii="Segoe UI" w:hAnsi="Segoe UI" w:cs="Segoe UI"/>
          <w:b/>
          <w:bCs/>
          <w:sz w:val="24"/>
          <w:szCs w:val="24"/>
          <w:lang w:val="es-ES"/>
        </w:rPr>
      </w:pPr>
      <w:r w:rsidRPr="00C25688">
        <w:rPr>
          <w:rFonts w:ascii="Segoe UI Emoji" w:hAnsi="Segoe UI Emoji" w:cs="Segoe UI Emoji"/>
          <w:b/>
          <w:bCs/>
          <w:sz w:val="24"/>
          <w:szCs w:val="24"/>
          <w:lang w:val="en-US"/>
        </w:rPr>
        <w:t>📋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 xml:space="preserve"> </w:t>
      </w:r>
      <w:r w:rsidRPr="00C25688">
        <w:rPr>
          <w:rFonts w:ascii="Segoe UI" w:hAnsi="Segoe UI" w:cs="Segoe UI"/>
          <w:b/>
          <w:bCs/>
          <w:sz w:val="36"/>
          <w:szCs w:val="36"/>
          <w:lang w:val="es-ES"/>
        </w:rPr>
        <w:t>Dictamen de Riesgo Corporativo</w:t>
      </w:r>
    </w:p>
    <w:p w14:paraId="1A9457BE" w14:textId="77777777" w:rsidR="00C25688" w:rsidRPr="00C25688" w:rsidRDefault="00C25688" w:rsidP="00C25688">
      <w:pPr>
        <w:jc w:val="both"/>
        <w:rPr>
          <w:rFonts w:ascii="Segoe UI" w:hAnsi="Segoe UI" w:cs="Segoe UI"/>
          <w:b/>
          <w:bCs/>
          <w:sz w:val="28"/>
          <w:szCs w:val="28"/>
          <w:lang w:val="es-ES"/>
        </w:rPr>
      </w:pPr>
      <w:r w:rsidRPr="00C25688">
        <w:rPr>
          <w:rFonts w:ascii="Segoe UI" w:hAnsi="Segoe UI" w:cs="Segoe UI"/>
          <w:b/>
          <w:bCs/>
          <w:sz w:val="28"/>
          <w:szCs w:val="28"/>
          <w:lang w:val="es-ES"/>
        </w:rPr>
        <w:t>DICTAMEN DE AUDITORÍA Y EVALUACIÓN DE RIESGO FINANCIERO</w:t>
      </w:r>
    </w:p>
    <w:p w14:paraId="67751B94" w14:textId="77777777" w:rsid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A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: Dirección General y Comité de Riesgos de </w:t>
      </w:r>
      <w:proofErr w:type="spellStart"/>
      <w:r w:rsidRPr="00C25688">
        <w:rPr>
          <w:rFonts w:ascii="Segoe UI" w:hAnsi="Segoe UI" w:cs="Segoe UI"/>
          <w:sz w:val="24"/>
          <w:szCs w:val="24"/>
          <w:lang w:val="es-ES"/>
        </w:rPr>
        <w:t>Sabertec</w:t>
      </w:r>
      <w:proofErr w:type="spellEnd"/>
      <w:r w:rsidRPr="00C25688">
        <w:rPr>
          <w:rFonts w:ascii="Segoe UI" w:hAnsi="Segoe UI" w:cs="Segoe UI"/>
          <w:sz w:val="24"/>
          <w:szCs w:val="24"/>
          <w:lang w:val="es-ES"/>
        </w:rPr>
        <w:t xml:space="preserve"> </w:t>
      </w:r>
    </w:p>
    <w:p w14:paraId="0066B75D" w14:textId="77777777" w:rsid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De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: Auditoría Senior Automática de Riesgo Crediticio y Pasarelas </w:t>
      </w:r>
    </w:p>
    <w:p w14:paraId="47F6C673" w14:textId="12AFE166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Asunto</w:t>
      </w:r>
      <w:r w:rsidRPr="00C25688">
        <w:rPr>
          <w:rFonts w:ascii="Segoe UI" w:hAnsi="Segoe UI" w:cs="Segoe UI"/>
          <w:sz w:val="24"/>
          <w:szCs w:val="24"/>
          <w:lang w:val="es-ES"/>
        </w:rPr>
        <w:t>: Dictamen de Mitigación de Contracargos, Discrepancias de Conciliación y Aislamiento de Cuentas Fraudulentas</w:t>
      </w:r>
    </w:p>
    <w:p w14:paraId="61280CFB" w14:textId="77777777" w:rsidR="00C25688" w:rsidRPr="00C25688" w:rsidRDefault="00C25688" w:rsidP="00C25688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Segoe UI" w:hAnsi="Segoe UI" w:cs="Segoe UI"/>
          <w:b/>
          <w:bCs/>
          <w:sz w:val="28"/>
          <w:szCs w:val="28"/>
          <w:lang w:val="en-US"/>
        </w:rPr>
      </w:pPr>
      <w:proofErr w:type="spellStart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Resumen</w:t>
      </w:r>
      <w:proofErr w:type="spellEnd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Ejecutivo</w:t>
      </w:r>
      <w:proofErr w:type="spellEnd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Financiero</w:t>
      </w:r>
      <w:proofErr w:type="spellEnd"/>
    </w:p>
    <w:p w14:paraId="5886E5E7" w14:textId="77777777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sz w:val="24"/>
          <w:szCs w:val="24"/>
          <w:lang w:val="es-ES"/>
        </w:rPr>
        <w:t>Tras efectuar una auditoría integral sobre las operaciones procesadas, el volumen transaccional analizado asciende a 52.475,00 dólares estadounidenses. La evaluación revela una contingencia financiera crítica motivada por una concentración severa de disputas y fallos de conciliación bancaria que comprometen la liquidez y la estabilidad operativa de la institución.</w:t>
      </w:r>
    </w:p>
    <w:p w14:paraId="4A2EBE43" w14:textId="77777777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sz w:val="24"/>
          <w:szCs w:val="24"/>
          <w:lang w:val="es-ES"/>
        </w:rPr>
        <w:t xml:space="preserve">Se ha identificado que un total de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32.500,00 dólares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, equivalente al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61,9%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 del volumen transaccionado total, se encuentra actualmente retenido bajo estatus de disputa financiera sin liquidación bancaria efectiva. Adicionalmente, se detectó una inconsistencia de control interno por un monto de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9.050,00 dólares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 correspondiente a transacciones rechazadas en pasarela que figuran indebidamente como liquidadas en los registros bancarios.</w:t>
      </w:r>
    </w:p>
    <w:p w14:paraId="7E45E707" w14:textId="77777777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sz w:val="24"/>
          <w:szCs w:val="24"/>
          <w:lang w:val="es-ES"/>
        </w:rPr>
        <w:t xml:space="preserve">La exposición total al riesgo operativo y de crédito suma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41.550,00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 dólares estadounidenses, originada principalmente por un segmento específico de clientes categorizados en riesgo alto con alertas previas de fraude activo.</w:t>
      </w:r>
    </w:p>
    <w:p w14:paraId="5ABCFDD0" w14:textId="77777777" w:rsidR="00C25688" w:rsidRPr="00C25688" w:rsidRDefault="00C25688" w:rsidP="00C25688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Segoe UI" w:hAnsi="Segoe UI" w:cs="Segoe UI"/>
          <w:b/>
          <w:bCs/>
          <w:sz w:val="28"/>
          <w:szCs w:val="28"/>
          <w:lang w:val="en-US"/>
        </w:rPr>
      </w:pPr>
      <w:proofErr w:type="spellStart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Análisis</w:t>
      </w:r>
      <w:proofErr w:type="spellEnd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 xml:space="preserve"> de </w:t>
      </w:r>
      <w:proofErr w:type="spellStart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Vulnerabilidades</w:t>
      </w:r>
      <w:proofErr w:type="spellEnd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en</w:t>
      </w:r>
      <w:proofErr w:type="spellEnd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Pasarelas</w:t>
      </w:r>
      <w:proofErr w:type="spellEnd"/>
    </w:p>
    <w:p w14:paraId="1F620196" w14:textId="77777777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sz w:val="24"/>
          <w:szCs w:val="24"/>
          <w:lang w:val="es-ES"/>
        </w:rPr>
        <w:t>El examen detallado por canal de cobro muestra desvíos significativos respecto a las políticas institucionales de tolerancia al riesgo:</w:t>
      </w:r>
    </w:p>
    <w:p w14:paraId="0DE395FC" w14:textId="77777777" w:rsidR="00C25688" w:rsidRPr="00C25688" w:rsidRDefault="00C25688" w:rsidP="00C25688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 xml:space="preserve">Pasarela </w:t>
      </w:r>
      <w:proofErr w:type="spellStart"/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Zelle</w:t>
      </w:r>
      <w:proofErr w:type="spellEnd"/>
      <w:r w:rsidRPr="00C25688">
        <w:rPr>
          <w:rFonts w:ascii="Segoe UI" w:hAnsi="Segoe UI" w:cs="Segoe UI"/>
          <w:sz w:val="24"/>
          <w:szCs w:val="24"/>
          <w:lang w:val="es-ES"/>
        </w:rPr>
        <w:t xml:space="preserve">: Presenta la mayor severidad financiera. Se registran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21.000,00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 dólares en disputas abiertas bajo el código de respuesta por sospecha de fraude. Ninguno de estos fondos ha ingresado a las cuentas concentradoras de la empresa, resultando en un saldo liquidado de cero dólares frente a una alta tasa de reversión.</w:t>
      </w:r>
    </w:p>
    <w:p w14:paraId="6EFDAAC1" w14:textId="77777777" w:rsidR="00C25688" w:rsidRPr="00C25688" w:rsidRDefault="00C25688" w:rsidP="00C25688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Pasarela PayPal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: Registra disputas activas por un valor total de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11.500,00 dólares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 bajo patrones de reincidencia en transacciones de alto monto. Al </w:t>
      </w:r>
      <w:r w:rsidRPr="00C25688">
        <w:rPr>
          <w:rFonts w:ascii="Segoe UI" w:hAnsi="Segoe UI" w:cs="Segoe UI"/>
          <w:sz w:val="24"/>
          <w:szCs w:val="24"/>
          <w:lang w:val="es-ES"/>
        </w:rPr>
        <w:lastRenderedPageBreak/>
        <w:t xml:space="preserve">igual que en </w:t>
      </w:r>
      <w:proofErr w:type="spellStart"/>
      <w:r w:rsidRPr="00C25688">
        <w:rPr>
          <w:rFonts w:ascii="Segoe UI" w:hAnsi="Segoe UI" w:cs="Segoe UI"/>
          <w:sz w:val="24"/>
          <w:szCs w:val="24"/>
          <w:lang w:val="es-ES"/>
        </w:rPr>
        <w:t>Zelle</w:t>
      </w:r>
      <w:proofErr w:type="spellEnd"/>
      <w:r w:rsidRPr="00C25688">
        <w:rPr>
          <w:rFonts w:ascii="Segoe UI" w:hAnsi="Segoe UI" w:cs="Segoe UI"/>
          <w:sz w:val="24"/>
          <w:szCs w:val="24"/>
          <w:lang w:val="es-ES"/>
        </w:rPr>
        <w:t>, la tasa de recuperación de fondos es nula a la fecha de corte del informe.</w:t>
      </w:r>
    </w:p>
    <w:p w14:paraId="148C8F86" w14:textId="77777777" w:rsidR="00C25688" w:rsidRPr="00C25688" w:rsidRDefault="00C25688" w:rsidP="00C25688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 xml:space="preserve">Pasarela </w:t>
      </w:r>
      <w:proofErr w:type="spellStart"/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Stripe</w:t>
      </w:r>
      <w:proofErr w:type="spellEnd"/>
      <w:r w:rsidRPr="00C25688">
        <w:rPr>
          <w:rFonts w:ascii="Segoe UI" w:hAnsi="Segoe UI" w:cs="Segoe UI"/>
          <w:sz w:val="24"/>
          <w:szCs w:val="24"/>
          <w:lang w:val="es-ES"/>
        </w:rPr>
        <w:t xml:space="preserve">: Revela una brecha de control en la conciliación. Transacciones por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9.050,00 dólares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 que fueron declinadas por el procesador debido a errores de autorización figuran registradas en la conciliación bancaria con abonos de capital y cobros de comisión. Esta distorsión genera un riesgo de sobreestimación de tesorería e inconsistencias contables.</w:t>
      </w:r>
    </w:p>
    <w:p w14:paraId="6F6AC03F" w14:textId="77777777" w:rsidR="00C25688" w:rsidRPr="00C25688" w:rsidRDefault="00C25688" w:rsidP="00C25688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Pasarela Pago Móvil</w:t>
      </w:r>
      <w:r w:rsidRPr="00C25688">
        <w:rPr>
          <w:rFonts w:ascii="Segoe UI" w:hAnsi="Segoe UI" w:cs="Segoe UI"/>
          <w:sz w:val="24"/>
          <w:szCs w:val="24"/>
          <w:lang w:val="es-ES"/>
        </w:rPr>
        <w:t>: Mantiene un comportamiento conforme a los parámetros de riesgo aceptables, con operatividad regular y liquidación total de sus transacciones sin registros de disputa.</w:t>
      </w:r>
    </w:p>
    <w:p w14:paraId="6D5E3668" w14:textId="77777777" w:rsidR="00C25688" w:rsidRPr="00C25688" w:rsidRDefault="00C25688" w:rsidP="00C25688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Segoe UI" w:hAnsi="Segoe UI" w:cs="Segoe UI"/>
          <w:b/>
          <w:bCs/>
          <w:sz w:val="28"/>
          <w:szCs w:val="28"/>
          <w:lang w:val="en-US"/>
        </w:rPr>
      </w:pPr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Matriz de Riesgo Crediticio de Usuarios</w:t>
      </w:r>
    </w:p>
    <w:p w14:paraId="525A27FF" w14:textId="77777777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sz w:val="24"/>
          <w:szCs w:val="24"/>
          <w:lang w:val="es-ES"/>
        </w:rPr>
        <w:t>El análisis cruzado entre el comportamiento de pago y el Perfil de Riesgo del Cliente confirma la correlación directa entre puntajes crediticios deficientes y la incidencia de disputas comerciales:</w:t>
      </w:r>
    </w:p>
    <w:p w14:paraId="67BD30FC" w14:textId="77777777" w:rsidR="00C25688" w:rsidRPr="00C25688" w:rsidRDefault="00C25688" w:rsidP="00C25688">
      <w:pPr>
        <w:pStyle w:val="Prrafodelista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Segmento de Alto Riesgo e Incumplimiento</w:t>
      </w:r>
      <w:r w:rsidRPr="00C25688">
        <w:rPr>
          <w:rFonts w:ascii="Segoe UI" w:hAnsi="Segoe UI" w:cs="Segoe UI"/>
          <w:sz w:val="24"/>
          <w:szCs w:val="24"/>
          <w:lang w:val="es-ES"/>
        </w:rPr>
        <w:t>: Se identificaron 15 usuarios que concentran la totalidad de las anomalías financieras y operativas. Todos estos titulares poseen puntajes crediticios deteriorados (entre 350 y 410 puntos), ingresos mensuales limitados (inferiores a 1.200,00 dólares) y banderas rojas activas por antecedentes de fraude.</w:t>
      </w:r>
    </w:p>
    <w:p w14:paraId="352831B0" w14:textId="77777777" w:rsidR="00C25688" w:rsidRDefault="00C25688" w:rsidP="00C25688">
      <w:pPr>
        <w:pStyle w:val="Prrafodelista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 xml:space="preserve">Bloque </w:t>
      </w:r>
      <w:proofErr w:type="spellStart"/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Zelle</w:t>
      </w:r>
      <w:proofErr w:type="spellEnd"/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 xml:space="preserve"> Disputas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: Integrado por los usuarios USR-207, USR-217, USR-227, USR-237 y USR-247 (Puntaje crediticio 390). </w:t>
      </w:r>
    </w:p>
    <w:p w14:paraId="43B86529" w14:textId="77777777" w:rsidR="00C25688" w:rsidRDefault="00C25688" w:rsidP="00C25688">
      <w:pPr>
        <w:pStyle w:val="Prrafodelista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Bloque PayPal Disputas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: Integrado por los usuarios USR-202, USR-212, USR-222, USR-232 y USR-242 (Puntaje crediticio 410). </w:t>
      </w:r>
    </w:p>
    <w:p w14:paraId="600D1B19" w14:textId="62070E31" w:rsidR="00C25688" w:rsidRPr="00C25688" w:rsidRDefault="00C25688" w:rsidP="00C25688">
      <w:pPr>
        <w:pStyle w:val="Prrafodelista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 xml:space="preserve">Bloque </w:t>
      </w:r>
      <w:proofErr w:type="spellStart"/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Stripe</w:t>
      </w:r>
      <w:proofErr w:type="spellEnd"/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 xml:space="preserve"> Inconsistencias</w:t>
      </w:r>
      <w:r w:rsidRPr="00C25688">
        <w:rPr>
          <w:rFonts w:ascii="Segoe UI" w:hAnsi="Segoe UI" w:cs="Segoe UI"/>
          <w:sz w:val="24"/>
          <w:szCs w:val="24"/>
          <w:lang w:val="es-ES"/>
        </w:rPr>
        <w:t>: Integrado por los usuarios USR-204, USR-214, USR-224, USR-234 y USR-244 (Puntaje crediticio 350).</w:t>
      </w:r>
    </w:p>
    <w:p w14:paraId="71D568F8" w14:textId="77777777" w:rsidR="00C25688" w:rsidRPr="00C25688" w:rsidRDefault="00C25688" w:rsidP="00C25688">
      <w:pPr>
        <w:pStyle w:val="Prrafodelista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Segmento de Riesgo Medio y Bajo</w:t>
      </w:r>
      <w:r w:rsidRPr="00C25688">
        <w:rPr>
          <w:rFonts w:ascii="Segoe UI" w:hAnsi="Segoe UI" w:cs="Segoe UI"/>
          <w:sz w:val="24"/>
          <w:szCs w:val="24"/>
          <w:lang w:val="es-ES"/>
        </w:rPr>
        <w:t>: Los clientes con puntajes superiores a 520 puntos e ingresos consolidados no presentan disputas registradas ni banderas de fraude activas, manteniendo una relación de conversión limpia.</w:t>
      </w:r>
    </w:p>
    <w:p w14:paraId="2328D899" w14:textId="77777777" w:rsidR="00C25688" w:rsidRPr="00C25688" w:rsidRDefault="00C25688" w:rsidP="00C25688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Segoe UI" w:hAnsi="Segoe UI" w:cs="Segoe UI"/>
          <w:b/>
          <w:bCs/>
          <w:sz w:val="28"/>
          <w:szCs w:val="28"/>
          <w:lang w:val="en-US"/>
        </w:rPr>
      </w:pPr>
      <w:r w:rsidRPr="00C25688">
        <w:rPr>
          <w:rFonts w:ascii="Segoe UI" w:hAnsi="Segoe UI" w:cs="Segoe UI"/>
          <w:b/>
          <w:bCs/>
          <w:sz w:val="28"/>
          <w:szCs w:val="28"/>
          <w:lang w:val="en-US"/>
        </w:rPr>
        <w:t>Impacto Económico Estimado con Recomendaciones de Bloqueo Inmediato</w:t>
      </w:r>
    </w:p>
    <w:p w14:paraId="710A2BA3" w14:textId="77777777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sz w:val="24"/>
          <w:szCs w:val="24"/>
          <w:lang w:val="es-ES"/>
        </w:rPr>
        <w:t xml:space="preserve">Impacto Financiero Total Estimado: </w:t>
      </w: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41.550,00 dólares</w:t>
      </w:r>
      <w:r w:rsidRPr="00C25688">
        <w:rPr>
          <w:rFonts w:ascii="Segoe UI" w:hAnsi="Segoe UI" w:cs="Segoe UI"/>
          <w:sz w:val="24"/>
          <w:szCs w:val="24"/>
          <w:lang w:val="es-ES"/>
        </w:rPr>
        <w:t xml:space="preserve"> estadounidenses.</w:t>
      </w:r>
    </w:p>
    <w:p w14:paraId="2E39060D" w14:textId="77777777" w:rsidR="00C25688" w:rsidRPr="00C25688" w:rsidRDefault="00C25688" w:rsidP="00C25688">
      <w:pPr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Capital retenido en disputas sin ingreso real</w:t>
      </w:r>
      <w:r w:rsidRPr="00C25688">
        <w:rPr>
          <w:rFonts w:ascii="Segoe UI" w:hAnsi="Segoe UI" w:cs="Segoe UI"/>
          <w:sz w:val="24"/>
          <w:szCs w:val="24"/>
          <w:lang w:val="es-ES"/>
        </w:rPr>
        <w:t>: 32.500,00 dólares.</w:t>
      </w:r>
    </w:p>
    <w:p w14:paraId="5CA9E1AF" w14:textId="77777777" w:rsidR="00C25688" w:rsidRPr="00C25688" w:rsidRDefault="00C25688" w:rsidP="00C25688">
      <w:pPr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4"/>
          <w:szCs w:val="24"/>
          <w:lang w:val="es-ES"/>
        </w:rPr>
        <w:t>Distorsión en libros contables por conciliaciones anómalas</w:t>
      </w:r>
      <w:r w:rsidRPr="00C25688">
        <w:rPr>
          <w:rFonts w:ascii="Segoe UI" w:hAnsi="Segoe UI" w:cs="Segoe UI"/>
          <w:sz w:val="24"/>
          <w:szCs w:val="24"/>
          <w:lang w:val="es-ES"/>
        </w:rPr>
        <w:t>: 9.050,00 dólares.</w:t>
      </w:r>
    </w:p>
    <w:p w14:paraId="40254DF2" w14:textId="77777777" w:rsid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</w:p>
    <w:p w14:paraId="7C43E2EB" w14:textId="1BE520BA" w:rsidR="00C25688" w:rsidRPr="00C25688" w:rsidRDefault="00C25688" w:rsidP="00C25688">
      <w:pPr>
        <w:jc w:val="both"/>
        <w:rPr>
          <w:rFonts w:ascii="Segoe UI" w:hAnsi="Segoe UI" w:cs="Segoe UI"/>
          <w:sz w:val="24"/>
          <w:szCs w:val="24"/>
          <w:lang w:val="es-ES"/>
        </w:rPr>
      </w:pPr>
      <w:r w:rsidRPr="00C25688">
        <w:rPr>
          <w:rFonts w:ascii="Segoe UI" w:hAnsi="Segoe UI" w:cs="Segoe UI"/>
          <w:b/>
          <w:bCs/>
          <w:sz w:val="28"/>
          <w:szCs w:val="28"/>
          <w:lang w:val="es-ES"/>
        </w:rPr>
        <w:t>Recomendaciones Obligatorias de Mitigación</w:t>
      </w:r>
      <w:r w:rsidRPr="00C25688">
        <w:rPr>
          <w:rFonts w:ascii="Segoe UI" w:hAnsi="Segoe UI" w:cs="Segoe UI"/>
          <w:sz w:val="24"/>
          <w:szCs w:val="24"/>
          <w:lang w:val="es-ES"/>
        </w:rPr>
        <w:t>:</w:t>
      </w:r>
    </w:p>
    <w:p w14:paraId="5365443C" w14:textId="77777777" w:rsidR="00C25688" w:rsidRPr="0080110D" w:rsidRDefault="00C25688" w:rsidP="0080110D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80110D">
        <w:rPr>
          <w:rFonts w:ascii="Segoe UI" w:hAnsi="Segoe UI" w:cs="Segoe UI"/>
          <w:b/>
          <w:bCs/>
          <w:sz w:val="24"/>
          <w:szCs w:val="24"/>
          <w:lang w:val="es-ES"/>
        </w:rPr>
        <w:t>Primero</w:t>
      </w:r>
      <w:r w:rsidRPr="0080110D">
        <w:rPr>
          <w:rFonts w:ascii="Segoe UI" w:hAnsi="Segoe UI" w:cs="Segoe UI"/>
          <w:sz w:val="24"/>
          <w:szCs w:val="24"/>
          <w:lang w:val="es-ES"/>
        </w:rPr>
        <w:t>: Aplicación de bloqueo preventivo inmediato e inmovilización de fondos para las 15 cuentas de usuario identificadas en la matriz de alto riesgo (USR-202, USR-204, USR-207, USR-212, USR-214, USR-217, USR-222, USR-224, USR-227, USR-232, USR-234, USR-237, USR-242, USR-244 y USR-247). Esta medida detiene la propagación de nuevos contracargos.</w:t>
      </w:r>
    </w:p>
    <w:p w14:paraId="6EF79D2B" w14:textId="77777777" w:rsidR="00C25688" w:rsidRPr="0080110D" w:rsidRDefault="00C25688" w:rsidP="0080110D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80110D">
        <w:rPr>
          <w:rFonts w:ascii="Segoe UI" w:hAnsi="Segoe UI" w:cs="Segoe UI"/>
          <w:b/>
          <w:bCs/>
          <w:sz w:val="24"/>
          <w:szCs w:val="24"/>
          <w:lang w:val="es-ES"/>
        </w:rPr>
        <w:t>Segundo</w:t>
      </w:r>
      <w:r w:rsidRPr="0080110D">
        <w:rPr>
          <w:rFonts w:ascii="Segoe UI" w:hAnsi="Segoe UI" w:cs="Segoe UI"/>
          <w:sz w:val="24"/>
          <w:szCs w:val="24"/>
          <w:lang w:val="es-ES"/>
        </w:rPr>
        <w:t xml:space="preserve">: Suspensión temporal de los límites operativos para transacciones individuales superiores a 2.000,00 dólares en las pasarelas </w:t>
      </w:r>
      <w:proofErr w:type="spellStart"/>
      <w:r w:rsidRPr="0080110D">
        <w:rPr>
          <w:rFonts w:ascii="Segoe UI" w:hAnsi="Segoe UI" w:cs="Segoe UI"/>
          <w:sz w:val="24"/>
          <w:szCs w:val="24"/>
          <w:lang w:val="es-ES"/>
        </w:rPr>
        <w:t>Zelle</w:t>
      </w:r>
      <w:proofErr w:type="spellEnd"/>
      <w:r w:rsidRPr="0080110D">
        <w:rPr>
          <w:rFonts w:ascii="Segoe UI" w:hAnsi="Segoe UI" w:cs="Segoe UI"/>
          <w:sz w:val="24"/>
          <w:szCs w:val="24"/>
          <w:lang w:val="es-ES"/>
        </w:rPr>
        <w:t xml:space="preserve"> y PayPal, condicionando su reactivación a la aprobación de protocolos reforzados de autenticación e identidad del titular.</w:t>
      </w:r>
    </w:p>
    <w:p w14:paraId="2C555FA0" w14:textId="77777777" w:rsidR="00C25688" w:rsidRPr="0080110D" w:rsidRDefault="00C25688" w:rsidP="0080110D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4"/>
          <w:szCs w:val="24"/>
          <w:lang w:val="es-ES"/>
        </w:rPr>
      </w:pPr>
      <w:r w:rsidRPr="0080110D">
        <w:rPr>
          <w:rFonts w:ascii="Segoe UI" w:hAnsi="Segoe UI" w:cs="Segoe UI"/>
          <w:b/>
          <w:bCs/>
          <w:sz w:val="24"/>
          <w:szCs w:val="24"/>
          <w:lang w:val="es-ES"/>
        </w:rPr>
        <w:t>Tercero</w:t>
      </w:r>
      <w:r w:rsidRPr="0080110D">
        <w:rPr>
          <w:rFonts w:ascii="Segoe UI" w:hAnsi="Segoe UI" w:cs="Segoe UI"/>
          <w:sz w:val="24"/>
          <w:szCs w:val="24"/>
          <w:lang w:val="es-ES"/>
        </w:rPr>
        <w:t xml:space="preserve">: Depuración y ajuste contable en la conciliación bancaria para reajustar los 9.050,00 dólares indebidamente registrados por transacciones rechazadas en </w:t>
      </w:r>
      <w:proofErr w:type="spellStart"/>
      <w:r w:rsidRPr="0080110D">
        <w:rPr>
          <w:rFonts w:ascii="Segoe UI" w:hAnsi="Segoe UI" w:cs="Segoe UI"/>
          <w:sz w:val="24"/>
          <w:szCs w:val="24"/>
          <w:lang w:val="es-ES"/>
        </w:rPr>
        <w:t>Stripe</w:t>
      </w:r>
      <w:proofErr w:type="spellEnd"/>
      <w:r w:rsidRPr="0080110D">
        <w:rPr>
          <w:rFonts w:ascii="Segoe UI" w:hAnsi="Segoe UI" w:cs="Segoe UI"/>
          <w:sz w:val="24"/>
          <w:szCs w:val="24"/>
          <w:lang w:val="es-ES"/>
        </w:rPr>
        <w:t>, eliminando las comisiones cobradas erróneamente y alineando los estados financieros con la liquidez real de la organización.</w:t>
      </w:r>
    </w:p>
    <w:p w14:paraId="6DD17D27" w14:textId="77777777" w:rsidR="00BA6A98" w:rsidRPr="00C25688" w:rsidRDefault="00BA6A98" w:rsidP="00C25688">
      <w:pPr>
        <w:jc w:val="both"/>
        <w:rPr>
          <w:rFonts w:ascii="Segoe UI" w:hAnsi="Segoe UI" w:cs="Segoe UI"/>
          <w:sz w:val="24"/>
          <w:szCs w:val="24"/>
        </w:rPr>
      </w:pPr>
    </w:p>
    <w:sectPr w:rsidR="00BA6A98" w:rsidRPr="00C256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B0158"/>
    <w:multiLevelType w:val="multilevel"/>
    <w:tmpl w:val="881E6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F29D7"/>
    <w:multiLevelType w:val="hybridMultilevel"/>
    <w:tmpl w:val="8C24B34A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82C2C"/>
    <w:multiLevelType w:val="hybridMultilevel"/>
    <w:tmpl w:val="A80070F8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1391B"/>
    <w:multiLevelType w:val="multilevel"/>
    <w:tmpl w:val="12189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87230"/>
    <w:multiLevelType w:val="multilevel"/>
    <w:tmpl w:val="B45EE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9C07B80"/>
    <w:multiLevelType w:val="multilevel"/>
    <w:tmpl w:val="414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81F90"/>
    <w:multiLevelType w:val="multilevel"/>
    <w:tmpl w:val="27428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812BA"/>
    <w:multiLevelType w:val="hybridMultilevel"/>
    <w:tmpl w:val="4F1EC70E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943892">
    <w:abstractNumId w:val="4"/>
  </w:num>
  <w:num w:numId="2" w16cid:durableId="1584796138">
    <w:abstractNumId w:val="3"/>
  </w:num>
  <w:num w:numId="3" w16cid:durableId="1471247925">
    <w:abstractNumId w:val="6"/>
  </w:num>
  <w:num w:numId="4" w16cid:durableId="955256131">
    <w:abstractNumId w:val="0"/>
  </w:num>
  <w:num w:numId="5" w16cid:durableId="757482479">
    <w:abstractNumId w:val="5"/>
  </w:num>
  <w:num w:numId="6" w16cid:durableId="1503399085">
    <w:abstractNumId w:val="7"/>
  </w:num>
  <w:num w:numId="7" w16cid:durableId="465199632">
    <w:abstractNumId w:val="2"/>
  </w:num>
  <w:num w:numId="8" w16cid:durableId="1777868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88"/>
    <w:rsid w:val="000C0D39"/>
    <w:rsid w:val="0080110D"/>
    <w:rsid w:val="00BA6A98"/>
    <w:rsid w:val="00C25688"/>
    <w:rsid w:val="00D2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3276"/>
  <w15:chartTrackingRefBased/>
  <w15:docId w15:val="{400468C2-E9A3-4EE1-A477-CB3ED415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1D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5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6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8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8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8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Glorisol Rosas</dc:creator>
  <cp:keywords/>
  <dc:description/>
  <cp:lastModifiedBy>Glorisol Rosas</cp:lastModifiedBy>
  <cp:revision>1</cp:revision>
  <dcterms:created xsi:type="dcterms:W3CDTF">2026-08-26T19:24:00Z</dcterms:created>
  <dcterms:modified xsi:type="dcterms:W3CDTF">2026-08-26T19:36:00Z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9b4938f0-16e3-4bd3-8dd4-3612baa4d69d</vt:lpwstr>
  </property>
</Properties>
</file>