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05050"/>
          <w:sz w:val="26"/>
        </w:rPr>
        <w:t>Gloucester City Council</w:t>
      </w:r>
    </w:p>
    <w:p>
      <w:pPr>
        <w:spacing w:before="480"/>
        <w:jc w:val="center"/>
      </w:pPr>
      <w:r>
        <w:rPr>
          <w:b/>
          <w:color w:val="0054A4"/>
          <w:sz w:val="56"/>
        </w:rPr>
        <w:t>How to build a council service</w:t>
        <w:br/>
        <w:t>from a content schema</w:t>
      </w:r>
    </w:p>
    <w:p>
      <w:pPr>
        <w:spacing w:before="240"/>
        <w:jc w:val="center"/>
      </w:pPr>
      <w:r>
        <w:rPr>
          <w:color w:val="0A9E9E"/>
          <w:sz w:val="28"/>
        </w:rPr>
        <w:t>Template &amp; Schema Guide — HMO Worked Example</w:t>
      </w:r>
    </w:p>
    <w:p>
      <w:pPr>
        <w:spacing w:before="720"/>
        <w:jc w:val="center"/>
      </w:pPr>
      <w:r>
        <w:rPr>
          <w:color w:val="1A1A1A"/>
          <w:sz w:val="24"/>
        </w:rPr>
        <w:t>A step-by-step guide for content designers and developers:</w:t>
        <w:br/>
        <w:t>how to pick the right template, read a content schema,</w:t>
        <w:br/>
        <w:t>populate pages from authorised data only, and annotate each</w:t>
        <w:br/>
        <w:t>section so content can be traced back to its source.</w:t>
      </w:r>
    </w:p>
    <w:p>
      <w:pPr>
        <w:spacing w:before="960"/>
        <w:jc w:val="center"/>
      </w:pPr>
      <w:r>
        <w:rPr>
          <w:color w:val="505050"/>
          <w:sz w:val="22"/>
        </w:rPr>
        <w:t>May 2026  ·  GCC Digital Team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Contents</w:t>
      </w:r>
    </w:p>
    <w:p>
      <w:pPr>
        <w:tabs>
          <w:tab w:pos="7920" w:val="right"/>
        </w:tabs>
      </w:pPr>
      <w:r>
        <w:rPr>
          <w:color w:val="0054A4"/>
          <w:sz w:val="22"/>
        </w:rPr>
        <w:t>1.  Before you start</w:t>
      </w:r>
    </w:p>
    <w:p>
      <w:pPr>
        <w:tabs>
          <w:tab w:pos="7920" w:val="right"/>
        </w:tabs>
      </w:pPr>
      <w:r>
        <w:rPr>
          <w:color w:val="0054A4"/>
          <w:sz w:val="22"/>
        </w:rPr>
        <w:t>2.  Choose a template</w:t>
      </w:r>
    </w:p>
    <w:p>
      <w:pPr>
        <w:tabs>
          <w:tab w:pos="7920" w:val="right"/>
        </w:tabs>
      </w:pPr>
      <w:r>
        <w:rPr>
          <w:color w:val="0054A4"/>
          <w:sz w:val="22"/>
        </w:rPr>
        <w:t>3.  Read the schema</w:t>
      </w:r>
    </w:p>
    <w:p>
      <w:pPr>
        <w:tabs>
          <w:tab w:pos="7920" w:val="right"/>
        </w:tabs>
      </w:pPr>
      <w:r>
        <w:rPr>
          <w:color w:val="0054A4"/>
          <w:sz w:val="22"/>
        </w:rPr>
        <w:t>4.  Populate the template</w:t>
      </w:r>
    </w:p>
    <w:p>
      <w:pPr>
        <w:tabs>
          <w:tab w:pos="7920" w:val="right"/>
        </w:tabs>
      </w:pPr>
      <w:r>
        <w:rPr>
          <w:color w:val="0054A4"/>
          <w:sz w:val="22"/>
        </w:rPr>
        <w:t>5.  Schema source metadata</w:t>
      </w:r>
    </w:p>
    <w:p>
      <w:pPr>
        <w:tabs>
          <w:tab w:pos="7920" w:val="right"/>
        </w:tabs>
      </w:pPr>
      <w:r>
        <w:rPr>
          <w:color w:val="0054A4"/>
          <w:sz w:val="22"/>
        </w:rPr>
        <w:t>6.  HMO worked example</w:t>
      </w:r>
    </w:p>
    <w:p>
      <w:pPr>
        <w:tabs>
          <w:tab w:pos="7920" w:val="right"/>
        </w:tabs>
      </w:pPr>
      <w:r>
        <w:rPr>
          <w:color w:val="0054A4"/>
          <w:sz w:val="22"/>
        </w:rPr>
        <w:t>7.  Pre-publish checklist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1. Before you start</w:t>
      </w:r>
    </w:p>
    <w:p>
      <w:pPr/>
      <w:r>
        <w:rPr>
          <w:color w:val="1A1A1A"/>
          <w:sz w:val="22"/>
        </w:rPr>
        <w:t>Before you can build any service page you need two things:</w:t>
      </w:r>
    </w:p>
    <w:p>
      <w:pPr>
        <w:pStyle w:val="ListNumber"/>
        <w:ind w:left="432"/>
      </w:pPr>
      <w:r>
        <w:rPr>
          <w:b/>
          <w:sz w:val="22"/>
        </w:rPr>
        <w:t xml:space="preserve">Content schema. </w:t>
      </w:r>
      <w:r>
        <w:rPr>
          <w:color w:val="1A1A1A"/>
          <w:sz w:val="22"/>
        </w:rPr>
        <w:t>A content schema — a JSON file that captures all the authorised content for the service. This is your single source of truth. Every sentence on your pages must trace back to a specific path in the schema. If it is not in the schema, it must not appear on the page.</w:t>
      </w:r>
    </w:p>
    <w:p>
      <w:pPr>
        <w:pStyle w:val="ListNumber"/>
        <w:ind w:left="432"/>
      </w:pPr>
      <w:r>
        <w:rPr>
          <w:b/>
          <w:sz w:val="22"/>
        </w:rPr>
        <w:t xml:space="preserve">HTML template. </w:t>
      </w:r>
      <w:r>
        <w:rPr>
          <w:color w:val="1A1A1A"/>
          <w:sz w:val="22"/>
        </w:rPr>
        <w:t>An HTML template — a blank, accessible page scaffold from the templates/ folder. Copy the right one for the type of page you are building.</w:t>
      </w:r>
    </w:p>
    <w:p>
      <w:pPr>
        <w:spacing w:before="120" w:after="120"/>
        <w:ind w:left="360"/>
        <w:shd w:val="clear" w:color="auto" w:fill="EEF4FB"/>
        <w:pBdr>
          <w:left w:val="single" w:sz="20" w:color="0054a4"/>
        </w:pBdr>
      </w:pPr>
      <w:r>
        <w:rPr>
          <w:b/>
          <w:sz w:val="22"/>
        </w:rPr>
        <w:t xml:space="preserve">Why use a schema? </w:t>
      </w:r>
      <w:r>
        <w:rPr>
          <w:sz w:val="22"/>
        </w:rPr>
        <w:t>A content schema separates the what (authorised information, policy text, contact details) from the how (the HTML layout). It makes it straightforward for a reviewer to check that a page contains only approved content — they can compare the schema against the page section by section without reading HTML.</w:t>
      </w:r>
    </w:p>
    <w:p>
      <w:pPr>
        <w:pStyle w:val="Heading3"/>
      </w:pPr>
      <w:r>
        <w:rPr>
          <w:b/>
          <w:color w:val="0054A4"/>
          <w:sz w:val="26"/>
        </w:rPr>
        <w:t>Where to find the templates</w:t>
      </w:r>
    </w:p>
    <w:p>
      <w:pPr/>
      <w:r>
        <w:rPr>
          <w:color w:val="1A1A1A"/>
          <w:sz w:val="22"/>
        </w:rPr>
        <w:t>Templates live in the templates/ folder at the root of the GCC-Beta-site-v1 repository:</w:t>
      </w:r>
    </w:p>
    <w:p>
      <w:pPr>
        <w:pStyle w:val="ListBullet"/>
        <w:ind w:left="432"/>
      </w:pPr>
      <w:r>
        <w:rPr>
          <w:color w:val="1A1A1A"/>
          <w:sz w:val="22"/>
        </w:rPr>
        <w:t>service-landing.html — Template 1. Hero, service card grid, popular tasks strip.</w:t>
      </w:r>
    </w:p>
    <w:p>
      <w:pPr>
        <w:pStyle w:val="ListBullet"/>
        <w:ind w:left="432"/>
      </w:pPr>
      <w:r>
        <w:rPr>
          <w:color w:val="1A1A1A"/>
          <w:sz w:val="22"/>
        </w:rPr>
        <w:t>transaction.html — Template 2. "Start now" call to action or inline form.</w:t>
      </w:r>
    </w:p>
    <w:p>
      <w:pPr>
        <w:pStyle w:val="ListBullet"/>
        <w:ind w:left="432"/>
      </w:pPr>
      <w:r>
        <w:rPr>
          <w:color w:val="1A1A1A"/>
          <w:sz w:val="22"/>
        </w:rPr>
        <w:t>information.html — Template 3. Two-column layout with on-page navigation and sidebar.</w:t>
      </w:r>
    </w:p>
    <w:p>
      <w:pPr>
        <w:pStyle w:val="ListBullet"/>
        <w:ind w:left="432"/>
      </w:pPr>
      <w:r>
        <w:rPr>
          <w:color w:val="1A1A1A"/>
          <w:sz w:val="22"/>
        </w:rPr>
        <w:t>faq.html — Template 4. Accordion of questions grouped by category.</w:t>
      </w:r>
    </w:p>
    <w:p>
      <w:pPr>
        <w:pStyle w:val="ListBullet"/>
        <w:ind w:left="432"/>
      </w:pPr>
      <w:r>
        <w:rPr>
          <w:color w:val="1A1A1A"/>
          <w:sz w:val="22"/>
        </w:rPr>
        <w:t>assets/ — Shared CSS and JavaScript. Link to these from every page using a relative path.</w:t>
      </w:r>
    </w:p>
    <w:p>
      <w:pPr/>
      <w:r>
        <w:rPr>
          <w:color w:val="1A1A1A"/>
          <w:sz w:val="22"/>
        </w:rPr>
        <w:t>Open templates/index.html in a browser to preview all four templates side by side before choosing one.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2. Choose a template</w:t>
      </w:r>
    </w:p>
    <w:p>
      <w:pPr/>
      <w:r>
        <w:rPr>
          <w:color w:val="1A1A1A"/>
          <w:sz w:val="22"/>
        </w:rPr>
        <w:t>Each template serves a specific purpose. Pick the one that matches what the user is trying to do on that page.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54a4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b/>
                <w:color w:val="FFFFFF"/>
                <w:sz w:val="20"/>
              </w:rPr>
              <w:t>Template</w:t>
            </w:r>
          </w:p>
        </w:tc>
        <w:tc>
          <w:tcPr>
            <w:tcW w:type="dxa" w:w="3010"/>
            <w:shd w:val="clear" w:color="auto" w:fill="0054a4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b/>
                <w:color w:val="FFFFFF"/>
                <w:sz w:val="20"/>
              </w:rPr>
              <w:t>Use it when…</w:t>
            </w:r>
          </w:p>
        </w:tc>
        <w:tc>
          <w:tcPr>
            <w:tcW w:type="dxa" w:w="3010"/>
            <w:shd w:val="clear" w:color="auto" w:fill="0054a4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b/>
                <w:color w:val="FFFFFF"/>
                <w:sz w:val="20"/>
              </w:rPr>
              <w:t>HMO example</w:t>
            </w:r>
          </w:p>
        </w:tc>
      </w:tr>
      <w:tr>
        <w:tc>
          <w:tcPr>
            <w:tcW w:type="dxa" w:w="3010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Service landing</w:t>
            </w:r>
          </w:p>
        </w:tc>
        <w:tc>
          <w:tcPr>
            <w:tcW w:type="dxa" w:w="3010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Introducing a whole service area or user-type hub that fans out to related pages.</w:t>
            </w:r>
          </w:p>
        </w:tc>
        <w:tc>
          <w:tcPr>
            <w:tcW w:type="dxa" w:w="3010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8"/>
              </w:rPr>
              <w:t>HMO/web/index.html</w:t>
              <w:br/>
              <w:t>HMO/web/landlords.html</w:t>
            </w:r>
          </w:p>
        </w:tc>
      </w:tr>
      <w:tr>
        <w:tc>
          <w:tcPr>
            <w:tcW w:type="dxa" w:w="3010"/>
            <w:shd w:val="clear" w:color="auto" w:fill="F0F4F9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Transaction</w:t>
            </w:r>
          </w:p>
        </w:tc>
        <w:tc>
          <w:tcPr>
            <w:tcW w:type="dxa" w:w="3010"/>
            <w:shd w:val="clear" w:color="auto" w:fill="F0F4F9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The user needs to do something — apply, pay, report, register.</w:t>
            </w:r>
          </w:p>
        </w:tc>
        <w:tc>
          <w:tcPr>
            <w:tcW w:type="dxa" w:w="3010"/>
            <w:shd w:val="clear" w:color="auto" w:fill="F0F4F9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8"/>
              </w:rPr>
              <w:t>HMO/web/apply.html</w:t>
            </w:r>
          </w:p>
        </w:tc>
      </w:tr>
      <w:tr>
        <w:tc>
          <w:tcPr>
            <w:tcW w:type="dxa" w:w="3010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Information</w:t>
            </w:r>
          </w:p>
        </w:tc>
        <w:tc>
          <w:tcPr>
            <w:tcW w:type="dxa" w:w="3010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You are explaining something — policy, eligibility, standards, process.</w:t>
            </w:r>
          </w:p>
        </w:tc>
        <w:tc>
          <w:tcPr>
            <w:tcW w:type="dxa" w:w="3010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8"/>
              </w:rPr>
              <w:t>HMO/web/residents.html</w:t>
              <w:br/>
              <w:t>HMO/web/licensing.html</w:t>
              <w:br/>
              <w:t>HMO/web/standards.html</w:t>
              <w:br/>
              <w:t>HMO/web/planning.html</w:t>
            </w:r>
          </w:p>
        </w:tc>
      </w:tr>
      <w:tr>
        <w:tc>
          <w:tcPr>
            <w:tcW w:type="dxa" w:w="3010"/>
            <w:shd w:val="clear" w:color="auto" w:fill="F0F4F9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FAQ</w:t>
            </w:r>
          </w:p>
        </w:tc>
        <w:tc>
          <w:tcPr>
            <w:tcW w:type="dxa" w:w="3010"/>
            <w:shd w:val="clear" w:color="auto" w:fill="F0F4F9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20"/>
              </w:rPr>
              <w:t>You are answering the most common questions for a service area.</w:t>
            </w:r>
          </w:p>
        </w:tc>
        <w:tc>
          <w:tcPr>
            <w:tcW w:type="dxa" w:w="3010"/>
            <w:shd w:val="clear" w:color="auto" w:fill="F0F4F9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8"/>
              </w:rPr>
              <w:t>HMO/web/faq.html</w:t>
            </w:r>
          </w:p>
        </w:tc>
      </w:tr>
    </w:tbl>
    <w:p/>
    <w:p>
      <w:pPr>
        <w:spacing w:before="120" w:after="120"/>
        <w:ind w:left="360"/>
        <w:shd w:val="clear" w:color="auto" w:fill="EEF4FB"/>
        <w:pBdr>
          <w:left w:val="single" w:sz="20" w:color="0054a4"/>
        </w:pBdr>
      </w:pPr>
      <w:r>
        <w:rPr>
          <w:b/>
          <w:sz w:val="22"/>
        </w:rPr>
        <w:t xml:space="preserve">Tip: </w:t>
      </w:r>
      <w:r>
        <w:rPr>
          <w:sz w:val="22"/>
        </w:rPr>
        <w:t>A user journey through a service typically starts at a service-landing page, branches into information pages, and ends at a transaction page. Map your user journeys before you start building so you know how many pages you need and which template each one uses.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3. Read the schema</w:t>
      </w:r>
    </w:p>
    <w:p>
      <w:pPr/>
      <w:r>
        <w:rPr>
          <w:color w:val="1A1A1A"/>
          <w:sz w:val="22"/>
        </w:rPr>
        <w:t>A content schema is a JSON file with a hierarchical structure. Each branch of the tree represents a topic area; each leaf node represents a specific piece of content — typically a verbatim text string, a source reference and a document location.</w:t>
      </w:r>
    </w:p>
    <w:p>
      <w:pPr>
        <w:pStyle w:val="Heading3"/>
      </w:pPr>
      <w:r>
        <w:rPr>
          <w:b/>
          <w:color w:val="0054A4"/>
          <w:sz w:val="26"/>
        </w:rPr>
        <w:t>Schema anatomy</w:t>
      </w:r>
    </w:p>
    <w:p>
      <w:pPr/>
      <w:r>
        <w:rPr>
          <w:color w:val="1A1A1A"/>
          <w:sz w:val="22"/>
        </w:rPr>
        <w:t>A typical leaf node looks like this:</w:t>
      </w:r>
    </w:p>
    <w:p>
      <w:pPr>
        <w:spacing w:after="40"/>
      </w:pPr>
      <w:r>
        <w:rPr>
          <w:b/>
          <w:color w:val="505050"/>
          <w:sz w:val="18"/>
        </w:rPr>
        <w:t>Example: schema leaf node (JSON)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"licensingRequirement": {</w:t>
        <w:br/>
        <w:t xml:space="preserve">  "type": "object",</w:t>
        <w:br/>
        <w:t xml:space="preserve">  "properties": {</w:t>
        <w:br/>
        <w:t xml:space="preserve">    "verbatimText": {</w:t>
        <w:br/>
        <w:t xml:space="preserve">      "type": "string",</w:t>
        <w:br/>
        <w:t xml:space="preserve">      "const": "A licence is required for all HMOs that are\n               occupied by five or more people belonging to\n               2 or more households and who share a facility\n               or amenity."</w:t>
        <w:br/>
        <w:t xml:space="preserve">    },</w:t>
        <w:br/>
        <w:t xml:space="preserve">    "source": { "type": "string", "const": "SRC-02" },</w:t>
        <w:br/>
        <w:t xml:space="preserve">    "documentLocation": {</w:t>
        <w:br/>
        <w:t xml:space="preserve">      "type": "string",</w:t>
        <w:br/>
        <w:t xml:space="preserve">      "const": "Section 2.0 \u2013 HMO Licensing"</w:t>
        <w:br/>
        <w:t xml:space="preserve">    }</w:t>
        <w:br/>
        <w:t xml:space="preserve">  }</w:t>
        <w:br/>
        <w:t>}</w:t>
      </w:r>
    </w:p>
    <w:p>
      <w:pPr/>
      <w:r>
        <w:rPr>
          <w:color w:val="1A1A1A"/>
          <w:sz w:val="22"/>
        </w:rPr>
        <w:t>Three fields appear on nearly every node:</w:t>
      </w:r>
    </w:p>
    <w:p>
      <w:pPr>
        <w:pStyle w:val="ListBullet"/>
        <w:ind w:left="432"/>
      </w:pPr>
      <w:r>
        <w:rPr>
          <w:b/>
          <w:color w:val="1A1A1A"/>
          <w:sz w:val="22"/>
        </w:rPr>
        <w:t>verbatimText</w:t>
      </w:r>
      <w:r>
        <w:rPr>
          <w:color w:val="1A1A1A"/>
          <w:sz w:val="22"/>
        </w:rPr>
        <w:t xml:space="preserve"> — The exact approved wording. Use this text on the page. Do not paraphrase unless the schema explicitly allows it.</w:t>
      </w:r>
    </w:p>
    <w:p>
      <w:pPr>
        <w:pStyle w:val="ListBullet"/>
        <w:ind w:left="432"/>
      </w:pPr>
      <w:r>
        <w:rPr>
          <w:b/>
          <w:color w:val="1A1A1A"/>
          <w:sz w:val="22"/>
        </w:rPr>
        <w:t>source</w:t>
      </w:r>
      <w:r>
        <w:rPr>
          <w:color w:val="1A1A1A"/>
          <w:sz w:val="22"/>
        </w:rPr>
        <w:t xml:space="preserve"> — A short reference code (e.g. SRC-02) identifying which source document the content comes from.</w:t>
      </w:r>
    </w:p>
    <w:p>
      <w:pPr>
        <w:pStyle w:val="ListBullet"/>
        <w:ind w:left="432"/>
      </w:pPr>
      <w:r>
        <w:rPr>
          <w:b/>
          <w:color w:val="1A1A1A"/>
          <w:sz w:val="22"/>
        </w:rPr>
        <w:t>documentLocation</w:t>
      </w:r>
      <w:r>
        <w:rPr>
          <w:color w:val="1A1A1A"/>
          <w:sz w:val="22"/>
        </w:rPr>
        <w:t xml:space="preserve"> — The specific section or page within the source document so the content can be verified.</w:t>
      </w:r>
    </w:p>
    <w:p>
      <w:pPr>
        <w:pStyle w:val="Heading3"/>
      </w:pPr>
      <w:r>
        <w:rPr>
          <w:b/>
          <w:color w:val="0054A4"/>
          <w:sz w:val="26"/>
        </w:rPr>
        <w:t>Navigating the schema tree</w:t>
      </w:r>
    </w:p>
    <w:p>
      <w:pPr/>
      <w:r>
        <w:rPr>
          <w:color w:val="1A1A1A"/>
          <w:sz w:val="22"/>
        </w:rPr>
        <w:t>Large schemas are organised into top-level sections that mirror the content topics. For HMO the top-level sections are:</w:t>
      </w:r>
    </w:p>
    <w:p>
      <w:pPr>
        <w:pStyle w:val="ListBullet"/>
        <w:ind w:left="432"/>
      </w:pPr>
      <w:r>
        <w:rPr>
          <w:b/>
          <w:color w:val="1A1A1A"/>
          <w:sz w:val="22"/>
        </w:rPr>
        <w:t>centralGovernmentLegislationAndGuidance</w:t>
      </w:r>
      <w:r>
        <w:rPr>
          <w:color w:val="1A1A1A"/>
          <w:sz w:val="22"/>
        </w:rPr>
        <w:t xml:space="preserve"> — national law and guidance</w:t>
      </w:r>
    </w:p>
    <w:p>
      <w:pPr>
        <w:pStyle w:val="ListBullet"/>
        <w:ind w:left="432"/>
      </w:pPr>
      <w:r>
        <w:rPr>
          <w:b/>
          <w:color w:val="1A1A1A"/>
          <w:sz w:val="22"/>
        </w:rPr>
        <w:t>councilStrategy</w:t>
      </w:r>
      <w:r>
        <w:rPr>
          <w:color w:val="1A1A1A"/>
          <w:sz w:val="22"/>
        </w:rPr>
        <w:t xml:space="preserve"> — corporate plan commitments</w:t>
      </w:r>
    </w:p>
    <w:p>
      <w:pPr>
        <w:pStyle w:val="ListBullet"/>
        <w:ind w:left="432"/>
      </w:pPr>
      <w:r>
        <w:rPr>
          <w:b/>
          <w:color w:val="1A1A1A"/>
          <w:sz w:val="22"/>
        </w:rPr>
        <w:t>localPolicy</w:t>
      </w:r>
      <w:r>
        <w:rPr>
          <w:color w:val="1A1A1A"/>
          <w:sz w:val="22"/>
        </w:rPr>
        <w:t xml:space="preserve"> — local licensing policy, fire safety, space standards, planning</w:t>
      </w:r>
    </w:p>
    <w:p>
      <w:pPr>
        <w:pStyle w:val="ListBullet"/>
        <w:ind w:left="432"/>
      </w:pPr>
      <w:r>
        <w:rPr>
          <w:b/>
          <w:color w:val="1A1A1A"/>
          <w:sz w:val="22"/>
        </w:rPr>
        <w:t>operationalGuidance</w:t>
      </w:r>
      <w:r>
        <w:rPr>
          <w:color w:val="1A1A1A"/>
          <w:sz w:val="22"/>
        </w:rPr>
        <w:t xml:space="preserve"> — how the council processes applications</w:t>
      </w:r>
    </w:p>
    <w:p>
      <w:pPr>
        <w:pStyle w:val="ListBullet"/>
        <w:ind w:left="432"/>
      </w:pPr>
      <w:r>
        <w:rPr>
          <w:b/>
          <w:color w:val="1A1A1A"/>
          <w:sz w:val="22"/>
        </w:rPr>
        <w:t>valueQualityConsistency</w:t>
      </w:r>
      <w:r>
        <w:rPr>
          <w:color w:val="1A1A1A"/>
          <w:sz w:val="22"/>
        </w:rPr>
        <w:t xml:space="preserve"> — quality assurance framework</w:t>
      </w:r>
    </w:p>
    <w:p>
      <w:pPr/>
      <w:r>
        <w:rPr>
          <w:color w:val="1A1A1A"/>
          <w:sz w:val="22"/>
        </w:rPr>
        <w:t>When building resident-facing pages, most content will come from localPolicy. When building landlord-facing pages you will also draw from centralGovernmentLegislationAndGuidance for legislative references.</w:t>
      </w:r>
    </w:p>
    <w:p>
      <w:pPr>
        <w:spacing w:before="120" w:after="120"/>
        <w:ind w:left="360"/>
        <w:shd w:val="clear" w:color="auto" w:fill="FFF3CD"/>
        <w:pBdr>
          <w:left w:val="single" w:sz="20" w:color="d46000"/>
        </w:pBdr>
      </w:pPr>
      <w:r>
        <w:rPr>
          <w:b/>
          <w:sz w:val="22"/>
        </w:rPr>
        <w:t xml:space="preserve">Important: </w:t>
      </w:r>
      <w:r>
        <w:rPr>
          <w:sz w:val="22"/>
        </w:rPr>
        <w:t>If a schema node is marked "status": "TODO", that content has not yet been captured. Do not fill in the gap with text you have written yourself — leave a visible placeholder or omit the section and note the gap in your implementation log.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4. Populate the template</w:t>
      </w:r>
    </w:p>
    <w:p>
      <w:pPr/>
      <w:r>
        <w:rPr>
          <w:color w:val="1A1A1A"/>
          <w:sz w:val="22"/>
        </w:rPr>
        <w:t>Follow these steps once you have chosen a template and identified the relevant schema sections.</w:t>
      </w:r>
    </w:p>
    <w:p>
      <w:pPr>
        <w:pStyle w:val="Heading3"/>
      </w:pPr>
      <w:r>
        <w:rPr>
          <w:b/>
          <w:color w:val="0054A4"/>
          <w:sz w:val="26"/>
        </w:rPr>
        <w:t>Step 1 — Copy the template file</w:t>
      </w:r>
    </w:p>
    <w:p>
      <w:pPr/>
      <w:r>
        <w:rPr>
          <w:color w:val="1A1A1A"/>
          <w:sz w:val="22"/>
        </w:rPr>
        <w:t>Copy the template you need into your service folder and rename it: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cp templates/information.html HMO/web/licensing.html</w:t>
      </w:r>
    </w:p>
    <w:p>
      <w:pPr/>
      <w:r>
        <w:rPr>
          <w:i/>
          <w:color w:val="1A1A1A"/>
          <w:sz w:val="22"/>
        </w:rPr>
        <w:t>Never edit the original template files — they are the blank scaffolds that future services will also use.</w:t>
      </w:r>
    </w:p>
    <w:p>
      <w:pPr>
        <w:pStyle w:val="Heading3"/>
      </w:pPr>
      <w:r>
        <w:rPr>
          <w:b/>
          <w:color w:val="0054A4"/>
          <w:sz w:val="26"/>
        </w:rPr>
        <w:t>Step 2 — Fix the asset paths</w:t>
      </w:r>
    </w:p>
    <w:p>
      <w:pPr/>
      <w:r>
        <w:rPr>
          <w:color w:val="1A1A1A"/>
          <w:sz w:val="22"/>
        </w:rPr>
        <w:t>The templates link to assets using relative paths. If your page is in a sub-folder, update these to point back to the shared assets: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&lt;link rel="stylesheet" href="../../templates/assets/styles.css"&gt;</w:t>
        <w:br/>
        <w:t>&lt;link rel="stylesheet" href="../../templates/assets/a11y.css"&gt;</w:t>
        <w:br/>
        <w:t>&lt;script src="../../templates/assets/site.js"&gt;&lt;/script&gt;</w:t>
      </w:r>
    </w:p>
    <w:p>
      <w:pPr>
        <w:pStyle w:val="Heading3"/>
      </w:pPr>
      <w:r>
        <w:rPr>
          <w:b/>
          <w:color w:val="0054A4"/>
          <w:sz w:val="26"/>
        </w:rPr>
        <w:t>Step 3 — Search for [PLACEHOLDER] and replace</w:t>
      </w:r>
    </w:p>
    <w:p>
      <w:pPr/>
      <w:r>
        <w:rPr>
          <w:color w:val="1A1A1A"/>
          <w:sz w:val="22"/>
        </w:rPr>
        <w:t>Every bracketed string in the template is a content placeholder. Use your editor's find-and-replace (Ctrl+H / Cmd+H) to work through each one and replace it with text from the schema. Common placeholders in every template: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[Service name]  →  e.g. Houses in Multiple Occupation (HMO)</w:t>
        <w:br/>
        <w:t>[Topic title]   →  e.g. HMO licensing in Gloucester</w:t>
        <w:br/>
        <w:t>[One sentence…] →  used in &lt;meta name="description"&gt;</w:t>
      </w:r>
    </w:p>
    <w:p>
      <w:pPr>
        <w:pStyle w:val="Heading3"/>
      </w:pPr>
      <w:r>
        <w:rPr>
          <w:b/>
          <w:color w:val="0054A4"/>
          <w:sz w:val="26"/>
        </w:rPr>
        <w:t>Step 4 — Map schema sections to page sections</w:t>
      </w:r>
    </w:p>
    <w:p>
      <w:pPr/>
      <w:r>
        <w:rPr>
          <w:color w:val="1A1A1A"/>
          <w:sz w:val="22"/>
        </w:rPr>
        <w:t>Go through the template block by block and identify which schema path provides the content for each block. The information template has four section blocks by default — rename and populate each one with verbatim text from the schema.</w:t>
      </w:r>
    </w:p>
    <w:p>
      <w:pPr>
        <w:pStyle w:val="Heading3"/>
      </w:pPr>
      <w:r>
        <w:rPr>
          <w:b/>
          <w:color w:val="0054A4"/>
          <w:sz w:val="26"/>
        </w:rPr>
        <w:t>Step 5 — Delete blocks you do not need</w:t>
      </w:r>
    </w:p>
    <w:p>
      <w:pPr/>
      <w:r>
        <w:rPr>
          <w:color w:val="1A1A1A"/>
          <w:sz w:val="22"/>
        </w:rPr>
        <w:t>The templates include more building blocks than most pages will use. Once you have populated what you need, delete any remaining empty blocks.</w:t>
      </w:r>
    </w:p>
    <w:p>
      <w:pPr>
        <w:pStyle w:val="Heading3"/>
      </w:pPr>
      <w:r>
        <w:rPr>
          <w:b/>
          <w:color w:val="0054A4"/>
          <w:sz w:val="26"/>
        </w:rPr>
        <w:t>Step 6 — Update the breadcrumb and navigation</w:t>
      </w:r>
    </w:p>
    <w:p>
      <w:pPr/>
      <w:r>
        <w:rPr>
          <w:color w:val="1A1A1A"/>
          <w:sz w:val="22"/>
        </w:rPr>
        <w:t>Update the breadcrumb so the final item matches the page &lt;h1&gt; and carries aria-current="page". Update the sidebar "On this page" list to match the actual section headings used.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5. Schema source metadata</w:t>
      </w:r>
    </w:p>
    <w:p>
      <w:pPr/>
      <w:r>
        <w:rPr>
          <w:color w:val="1A1A1A"/>
          <w:sz w:val="22"/>
        </w:rPr>
        <w:t>Every content block on a page must be annotated with the schema path that provided its content. This creates a traceable link between the page and its authorised source, so editors and reviewers can verify content without reading HTML.</w:t>
      </w:r>
    </w:p>
    <w:p>
      <w:pPr>
        <w:pStyle w:val="Heading3"/>
      </w:pPr>
      <w:r>
        <w:rPr>
          <w:b/>
          <w:color w:val="0054A4"/>
          <w:sz w:val="26"/>
        </w:rPr>
        <w:t>The two-part annotation pattern</w:t>
      </w:r>
    </w:p>
    <w:p>
      <w:pPr/>
      <w:r>
        <w:rPr>
          <w:color w:val="1A1A1A"/>
          <w:sz w:val="22"/>
        </w:rPr>
        <w:t>Use both an HTML attribute and an HTML comment on every block:</w:t>
      </w:r>
    </w:p>
    <w:p>
      <w:pPr>
        <w:spacing w:after="40"/>
      </w:pPr>
      <w:r>
        <w:rPr>
          <w:b/>
          <w:color w:val="505050"/>
          <w:sz w:val="18"/>
        </w:rPr>
        <w:t>Annotation pattern example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&lt;!-- schema-source: localPolicy.licensingPolicy.licensingRequirement | SRC-02 --&gt;</w:t>
        <w:br/>
        <w:t>&lt;section id="do-you-need"</w:t>
        <w:br/>
        <w:t xml:space="preserve">         data-schema-source="localPolicy.licensingPolicy.licensingRequirement"&gt;</w:t>
        <w:br/>
        <w:t xml:space="preserve">  &lt;h2&gt;Do you need a licence?&lt;/h2&gt;</w:t>
        <w:br/>
        <w:t xml:space="preserve">  &lt;p&gt;A licence is required for all HMOs that are occupied by</w:t>
        <w:br/>
        <w:t xml:space="preserve">     five or more people belonging to 2 or more households</w:t>
        <w:br/>
        <w:t xml:space="preserve">     and who share a facility or amenity.&lt;/p&gt;</w:t>
        <w:br/>
        <w:t>&lt;/section&gt;</w:t>
      </w:r>
    </w:p>
    <w:p>
      <w:pPr/>
      <w:r>
        <w:rPr>
          <w:color w:val="1A1A1A"/>
          <w:sz w:val="22"/>
        </w:rPr>
        <w:t>The two parts serve different audiences:</w:t>
      </w:r>
    </w:p>
    <w:p>
      <w:pPr>
        <w:pStyle w:val="ListBullet"/>
        <w:ind w:left="432"/>
      </w:pPr>
      <w:r>
        <w:rPr>
          <w:b/>
          <w:color w:val="1A1A1A"/>
          <w:sz w:val="22"/>
        </w:rPr>
        <w:t>data-schema-source attribute</w:t>
      </w:r>
      <w:r>
        <w:rPr>
          <w:color w:val="1A1A1A"/>
          <w:sz w:val="22"/>
        </w:rPr>
        <w:t xml:space="preserve"> — Machine-readable. Can be queried by scripts to audit page coverage, or by browser DevTools to inspect content traceability. The value is the dot-notation path to the schema node.</w:t>
      </w:r>
    </w:p>
    <w:p>
      <w:pPr>
        <w:pStyle w:val="ListBullet"/>
        <w:ind w:left="432"/>
      </w:pPr>
      <w:r>
        <w:rPr>
          <w:b/>
          <w:color w:val="1A1A1A"/>
          <w:sz w:val="22"/>
        </w:rPr>
        <w:t>HTML comment</w:t>
      </w:r>
      <w:r>
        <w:rPr>
          <w:color w:val="1A1A1A"/>
          <w:sz w:val="22"/>
        </w:rPr>
        <w:t xml:space="preserve"> — Human-readable in the source code. Includes both the schema path and the original source document reference code, making it easy for a developer to see where content came from without opening the schema.</w:t>
      </w:r>
    </w:p>
    <w:p>
      <w:pPr>
        <w:pStyle w:val="Heading3"/>
      </w:pPr>
      <w:r>
        <w:rPr>
          <w:b/>
          <w:color w:val="0054A4"/>
          <w:sz w:val="26"/>
        </w:rPr>
        <w:t>Annotation granularity</w:t>
      </w:r>
    </w:p>
    <w:p>
      <w:pPr/>
      <w:r>
        <w:rPr>
          <w:color w:val="1A1A1A"/>
          <w:sz w:val="22"/>
        </w:rPr>
        <w:t>Annotate at the block level — each &lt;section&gt;, &lt;div&gt; or &lt;table&gt; that contains schema-driven content should carry the attribute. You do not need to annotate individual &lt;p&gt; or &lt;li&gt; elements unless a single block draws from two different schema paths, in which case annotate the inner elements separately.</w:t>
      </w:r>
    </w:p>
    <w:p>
      <w:pPr>
        <w:spacing w:after="40"/>
      </w:pPr>
      <w:r>
        <w:rPr>
          <w:b/>
          <w:color w:val="505050"/>
          <w:sz w:val="18"/>
        </w:rPr>
        <w:t>Nested annotation example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&lt;!-- schema-source: localPolicy.licensingPolicy.preGrantConditions | SRC-02 --&gt;</w:t>
        <w:br/>
        <w:t>&lt;section id="what-council-checks"</w:t>
        <w:br/>
        <w:t xml:space="preserve">         data-schema-source="localPolicy.licensingPolicy.preGrantConditions"&gt;</w:t>
        <w:br/>
        <w:t xml:space="preserve">  &lt;h2&gt;What the council checks&lt;/h2&gt;</w:t>
        <w:br/>
        <w:t xml:space="preserve">  &lt;p&gt;Before granting a licence the Council will determine...&lt;/p&gt;</w:t>
        <w:br/>
        <w:br/>
        <w:t xml:space="preserve">  &lt;!-- schema-source: localPolicy.licensingPolicy</w:t>
        <w:br/>
        <w:t xml:space="preserve">                      .licenceApplicationGuidanceNotes</w:t>
        <w:br/>
        <w:t xml:space="preserve">                      .namedPersonRequirement | SRC-05 --&gt;</w:t>
        <w:br/>
        <w:t xml:space="preserve">  &lt;div data-schema-source="localPolicy.licensingPolicy</w:t>
        <w:br/>
        <w:t xml:space="preserve">                           .licenceApplicationGuidanceNotes</w:t>
        <w:br/>
        <w:t xml:space="preserve">                           .namedPersonRequirement"&gt;</w:t>
        <w:br/>
        <w:t xml:space="preserve">    &lt;p&gt;Gloucester City Council will only accept licence</w:t>
        <w:br/>
        <w:t xml:space="preserve">       applications with a named person...&lt;/p&gt;</w:t>
        <w:br/>
        <w:t xml:space="preserve">  &lt;/div&gt;</w:t>
        <w:br/>
        <w:t>&lt;/section&gt;</w:t>
      </w:r>
    </w:p>
    <w:p>
      <w:pPr>
        <w:pStyle w:val="Heading3"/>
      </w:pPr>
      <w:r>
        <w:rPr>
          <w:b/>
          <w:color w:val="0054A4"/>
          <w:sz w:val="26"/>
        </w:rPr>
        <w:t>What does not need annotation</w:t>
      </w:r>
    </w:p>
    <w:p>
      <w:pPr/>
      <w:r>
        <w:rPr>
          <w:color w:val="1A1A1A"/>
          <w:sz w:val="22"/>
        </w:rPr>
        <w:t>Navigation elements, breadcrumbs, footers, and boilerplate UI text (button labels, skip links) do not originate from a content schema and need no annotation. If you find yourself writing content text that has no schema source, stop — either find the correct schema node or add the content to the schema first.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6. HMO worked example</w:t>
      </w:r>
    </w:p>
    <w:p>
      <w:pPr/>
      <w:r>
        <w:rPr>
          <w:color w:val="1A1A1A"/>
          <w:sz w:val="22"/>
        </w:rPr>
        <w:t>The HMO (Houses in Multiple Occupation) service demonstrates this workflow end-to-end. All eight pages in HMO/web/ were built directly from HMO/hmo_master_schema_v1.json. No content was written by hand — every sentence, fee, standard and policy reference is traceable to a schema node.</w:t>
      </w:r>
    </w:p>
    <w:p>
      <w:pPr>
        <w:spacing w:before="120" w:after="120"/>
        <w:ind w:left="360"/>
        <w:shd w:val="clear" w:color="auto" w:fill="EEF4FB"/>
        <w:pBdr>
          <w:left w:val="single" w:sz="20" w:color="0054a4"/>
        </w:pBdr>
      </w:pPr>
      <w:r>
        <w:rPr>
          <w:b/>
          <w:sz w:val="22"/>
        </w:rPr>
        <w:t xml:space="preserve">Schema used: </w:t>
      </w:r>
      <w:r>
        <w:rPr>
          <w:sz w:val="22"/>
        </w:rPr>
        <w:t>Schema file: HMO/hmo_master_schema_v1.json</w:t>
        <w:br/>
        <w:br/>
        <w:t>This is the master schema — a 383 KB JSON file that aggregates five constituent sub-schemas (central government legislation, council strategy, local policy, operational guidance and value/quality/consistency). Each top-level section maps to a different layer of authoritative content.</w:t>
      </w:r>
    </w:p>
    <w:p>
      <w:pPr>
        <w:pStyle w:val="Heading3"/>
      </w:pPr>
      <w:r>
        <w:rPr>
          <w:b/>
          <w:color w:val="0054A4"/>
          <w:sz w:val="26"/>
        </w:rPr>
        <w:t>The two user journeys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4EDDA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b/>
                <w:color w:val="004000"/>
                <w:sz w:val="20"/>
              </w:rPr>
              <w:t>RESIDENT JOURNEY</w:t>
              <w:br/>
            </w:r>
            <w:r>
              <w:rPr>
                <w:sz w:val="20"/>
              </w:rPr>
              <w:t>Users who already live in an HMO or are considering renting one. Their needs: understand what an HMO is, know their rights, find out if their property should be licensed, and report a problem.</w:t>
            </w:r>
          </w:p>
        </w:tc>
        <w:tc>
          <w:tcPr>
            <w:tcW w:type="dxa" w:w="4514"/>
            <w:shd w:val="clear" w:color="auto" w:fill="CCE5FF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b/>
                <w:color w:val="004085"/>
                <w:sz w:val="20"/>
              </w:rPr>
              <w:t>LANDLORD JOURNEY</w:t>
              <w:br/>
            </w:r>
            <w:r>
              <w:rPr>
                <w:sz w:val="20"/>
              </w:rPr>
              <w:t>Property owners and managers who run or want to run an HMO. Their needs: find out if they need a licence, understand what standards apply, know the planning rules, and submit an application.</w:t>
            </w:r>
          </w:p>
        </w:tc>
      </w:tr>
      <w:tr>
        <w:tc>
          <w:tcPr>
            <w:tcW w:type="dxa" w:w="4514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/>
        </w:tc>
        <w:tc>
          <w:tcPr>
            <w:tcW w:type="dxa" w:w="4514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/>
        </w:tc>
      </w:tr>
    </w:tbl>
    <w:p/>
    <w:p>
      <w:pPr>
        <w:pStyle w:val="Heading3"/>
      </w:pPr>
      <w:r>
        <w:rPr>
          <w:b/>
          <w:color w:val="0054A4"/>
          <w:sz w:val="26"/>
        </w:rPr>
        <w:t>Page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0054a4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0054a4"/>
          </w:tcPr>
          <w:p>
            <w:r>
              <w:rPr>
                <w:b/>
                <w:color w:val="FFFFFF"/>
                <w:sz w:val="18"/>
              </w:rPr>
              <w:t>Template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0054a4"/>
          </w:tcPr>
          <w:p>
            <w:r>
              <w:rPr>
                <w:b/>
                <w:color w:val="FFFFFF"/>
                <w:sz w:val="18"/>
              </w:rPr>
              <w:t>Journey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0054a4"/>
          </w:tcPr>
          <w:p>
            <w:r>
              <w:rPr>
                <w:b/>
                <w:color w:val="FFFFFF"/>
                <w:sz w:val="18"/>
              </w:rPr>
              <w:t>Primary schema section(s)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service-landing.html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localPolicy.hmoDefinitions.generalDefinition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residents.html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information.html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Resident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localPolicy.tenantEnforcementContact</w:t>
              <w:br/>
              <w:t>localPolicy.licensingPolicy.tenantLicensingStatement</w:t>
              <w:br/>
              <w:t>localPolicy.managementRegulationsPolicy.tenantDuties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landlords.html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service-landing.html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localPolicy.licensingPolicy.planningAndLicensingDistinction</w:t>
              <w:br/>
              <w:t>localPolicy.licensingPolicy.fees.feesFrom1April2026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licensing.html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information.html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localPolicy.licensingPolicy.licensingRequirement</w:t>
              <w:br/>
              <w:t>localPolicy.licensingPolicy.preGrantConditions</w:t>
              <w:br/>
              <w:t>localPolicy.licensingPolicy.fees</w:t>
              <w:br/>
              <w:t>localPolicy.licensingPolicy.licenceConditionsStatement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standards.html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information.html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localPolicy.fireSafetyPolicy</w:t>
              <w:br/>
              <w:t>localPolicy.spaceStandards</w:t>
              <w:br/>
              <w:t>localPolicy.hhsrsPolicy</w:t>
              <w:br/>
              <w:t>localPolicy.managementRegulationsPolicy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planning.html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information.html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localPolicy.planningPolicy.policyA2</w:t>
              <w:br/>
              <w:t>localPolicy.planningPolicy.policyA1</w:t>
              <w:br/>
              <w:t>localPolicy.licensingPolicy.planningAndLicensingDistinction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faq.html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faq.html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sz w:val="18"/>
              </w:rPr>
              <w:t>Both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</w:tcPr>
          <w:p>
            <w:r>
              <w:rPr>
                <w:rFonts w:ascii="Courier New" w:hAnsi="Courier New"/>
                <w:color w:val="003A70"/>
                <w:sz w:val="16"/>
              </w:rPr>
              <w:t>localPolicy.licensingPolicy</w:t>
              <w:br/>
              <w:t>localPolicy.fireSafetyPolicy</w:t>
              <w:br/>
              <w:t>localPolicy.tenantEnforcementContact</w:t>
            </w:r>
          </w:p>
        </w:tc>
      </w:tr>
      <w:tr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apply.html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transaction.html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sz w:val="18"/>
              </w:rPr>
              <w:t>Landlord</w:t>
            </w:r>
          </w:p>
        </w:tc>
        <w:tc>
          <w:tcPr>
            <w:tcW w:type="dxa" w:w="2257"/>
            <w:tcBorders>
              <w:top w:val="single" w:sz="4" w:color="0054a4"/>
              <w:left w:val="single" w:sz="4" w:color="0054a4"/>
              <w:bottom w:val="single" w:sz="4" w:color="0054a4"/>
              <w:right w:val="single" w:sz="4" w:color="0054a4"/>
            </w:tcBorders>
            <w:shd w:val="clear" w:color="auto" w:fill="F0F4F9"/>
          </w:tcPr>
          <w:p>
            <w:r>
              <w:rPr>
                <w:rFonts w:ascii="Courier New" w:hAnsi="Courier New"/>
                <w:color w:val="003A70"/>
                <w:sz w:val="16"/>
              </w:rPr>
              <w:t>operationalGuidance.applicationReceiptAndTriage</w:t>
              <w:br/>
              <w:t>localPolicy.licensingPolicy.fees</w:t>
            </w:r>
          </w:p>
        </w:tc>
      </w:tr>
    </w:tbl>
    <w:p/>
    <w:p>
      <w:pPr>
        <w:pStyle w:val="Heading3"/>
      </w:pPr>
      <w:r>
        <w:rPr>
          <w:b/>
          <w:color w:val="0054A4"/>
          <w:sz w:val="26"/>
        </w:rPr>
        <w:t>Step-by-step trace: how the fee table was built</w:t>
      </w:r>
    </w:p>
    <w:p>
      <w:pPr/>
      <w:r>
        <w:rPr>
          <w:color w:val="1A1A1A"/>
          <w:sz w:val="22"/>
        </w:rPr>
        <w:t>The following example traces exactly how the fee table in licensing.html was built from the schema.</w:t>
      </w:r>
    </w:p>
    <w:p>
      <w:pPr>
        <w:pStyle w:val="Heading4"/>
      </w:pPr>
      <w:r>
        <w:rPr>
          <w:color w:val="0054A4"/>
        </w:rPr>
        <w:t>Step 1 — Find the schema node for fees</w:t>
      </w:r>
    </w:p>
    <w:p>
      <w:pPr/>
      <w:r>
        <w:rPr>
          <w:color w:val="1A1A1A"/>
          <w:sz w:val="22"/>
        </w:rPr>
        <w:t>Navigate to: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properties</w:t>
        <w:br/>
        <w:t xml:space="preserve">  → localPolicy</w:t>
        <w:br/>
        <w:t xml:space="preserve">    → properties</w:t>
        <w:br/>
        <w:t xml:space="preserve">      → licensingPolicy</w:t>
        <w:br/>
        <w:t xml:space="preserve">        → properties</w:t>
        <w:br/>
        <w:t xml:space="preserve">          → fees</w:t>
        <w:br/>
        <w:t xml:space="preserve">            → properties</w:t>
        <w:br/>
        <w:t xml:space="preserve">              → feesFrom1April2026</w:t>
      </w:r>
    </w:p>
    <w:p>
      <w:pPr/>
      <w:r>
        <w:rPr>
          <w:color w:val="1A1A1A"/>
          <w:sz w:val="22"/>
        </w:rPr>
        <w:t>The node contains a default array with two rows:</w:t>
      </w:r>
    </w:p>
    <w:p>
      <w:pPr>
        <w:spacing w:after="40"/>
      </w:pPr>
      <w:r>
        <w:rPr>
          <w:b/>
          <w:color w:val="505050"/>
          <w:sz w:val="18"/>
        </w:rPr>
        <w:t>Schema node: feesFrom1April2026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"feesFrom1April2026": {</w:t>
        <w:br/>
        <w:t xml:space="preserve">  "type": "array",</w:t>
        <w:br/>
        <w:t xml:space="preserve">  "description": "Fees effective from 1 April 2026 as published on SRC-01",</w:t>
        <w:br/>
        <w:t xml:space="preserve">  "default": [</w:t>
        <w:br/>
        <w:t xml:space="preserve">    { "type": "New",     "duration": "up to 5 years", "fee": "£1260.00" },</w:t>
        <w:br/>
        <w:t xml:space="preserve">    { "type": "Renewal", "duration": "up to 5 years", "fee": "£900.00"  }</w:t>
        <w:br/>
        <w:t xml:space="preserve">  ],</w:t>
        <w:br/>
        <w:t xml:space="preserve">  "source": "SRC-01",</w:t>
        <w:br/>
        <w:t xml:space="preserve">  "documentLocation": "Section: HMO Licensing Fees - table effective from 1 April 2026"</w:t>
        <w:br/>
        <w:t>}</w:t>
      </w:r>
    </w:p>
    <w:p>
      <w:pPr>
        <w:pStyle w:val="Heading4"/>
      </w:pPr>
      <w:r>
        <w:rPr>
          <w:color w:val="0054A4"/>
        </w:rPr>
        <w:t>Step 2 — Choose the right template block</w:t>
      </w:r>
    </w:p>
    <w:p>
      <w:pPr/>
      <w:r>
        <w:rPr>
          <w:color w:val="1A1A1A"/>
          <w:sz w:val="22"/>
        </w:rPr>
        <w:t>Tabular data maps to the &lt;table class="gov-table"&gt; block in information.html. The table needs a caption (from the schema's description field), column headers (from the default array's property names) and rows (one per array entry).</w:t>
      </w:r>
    </w:p>
    <w:p>
      <w:pPr>
        <w:pStyle w:val="Heading4"/>
      </w:pPr>
      <w:r>
        <w:rPr>
          <w:color w:val="0054A4"/>
        </w:rPr>
        <w:t>Step 3 — Write the HTML and annotate it</w:t>
      </w:r>
    </w:p>
    <w:p>
      <w:pPr>
        <w:spacing w:after="40"/>
      </w:pPr>
      <w:r>
        <w:rPr>
          <w:b/>
          <w:color w:val="505050"/>
          <w:sz w:val="18"/>
        </w:rPr>
        <w:t>Resulting HTML</w:t>
      </w:r>
    </w:p>
    <w:p>
      <w:pPr>
        <w:spacing w:before="80" w:after="80"/>
        <w:ind w:left="288" w:right="288"/>
        <w:shd w:val="clear" w:color="auto" w:fill="F4F6F8"/>
      </w:pPr>
      <w:r>
        <w:rPr>
          <w:rFonts w:ascii="Courier New" w:hAnsi="Courier New"/>
          <w:color w:val="1A1A3A"/>
          <w:sz w:val="18"/>
        </w:rPr>
        <w:t>&lt;!-- schema-source: localPolicy.licensingPolicy.fees | SRC-01 --&gt;</w:t>
        <w:br/>
        <w:t>&lt;section id="fees" data-schema-source="localPolicy.licensingPolicy.fees"&gt;</w:t>
        <w:br/>
        <w:t xml:space="preserve">  &lt;h2&gt;Fees&lt;/h2&gt;</w:t>
        <w:br/>
        <w:t xml:space="preserve">  &lt;table class="gov-table"&gt;</w:t>
        <w:br/>
        <w:t xml:space="preserve">    &lt;caption&gt;HMO licence fees from 1 April 2026&lt;/caption&gt;</w:t>
        <w:br/>
        <w:t xml:space="preserve">    &lt;thead&gt;</w:t>
        <w:br/>
        <w:t xml:space="preserve">      &lt;tr&gt;</w:t>
        <w:br/>
        <w:t xml:space="preserve">        &lt;th scope="col"&gt;Licence type&lt;/th&gt;</w:t>
        <w:br/>
        <w:t xml:space="preserve">        &lt;th scope="col"&gt;Duration&lt;/th&gt;</w:t>
        <w:br/>
        <w:t xml:space="preserve">        &lt;th scope="col" class="num"&gt;Fee&lt;/th&gt;</w:t>
        <w:br/>
        <w:t xml:space="preserve">      &lt;/tr&gt;</w:t>
        <w:br/>
        <w:t xml:space="preserve">    &lt;/thead&gt;</w:t>
        <w:br/>
        <w:t xml:space="preserve">    &lt;tbody&gt;</w:t>
        <w:br/>
        <w:t xml:space="preserve">      &lt;tr&gt;</w:t>
        <w:br/>
        <w:t xml:space="preserve">        &lt;th scope="row"&gt;New licence&lt;/th&gt;</w:t>
        <w:br/>
        <w:t xml:space="preserve">        &lt;td&gt;Up to 5 years&lt;/td&gt;</w:t>
        <w:br/>
        <w:t xml:space="preserve">        &lt;td class="num"&gt;£1,260.00&lt;/td&gt;</w:t>
        <w:br/>
        <w:t xml:space="preserve">      &lt;/tr&gt;</w:t>
        <w:br/>
        <w:t xml:space="preserve">      &lt;tr&gt;</w:t>
        <w:br/>
        <w:t xml:space="preserve">        &lt;th scope="row"&gt;Renewal&lt;/th&gt;</w:t>
        <w:br/>
        <w:t xml:space="preserve">        &lt;td&gt;Up to 5 years&lt;/td&gt;</w:t>
        <w:br/>
        <w:t xml:space="preserve">        &lt;td class="num"&gt;£900.00&lt;/td&gt;</w:t>
        <w:br/>
        <w:t xml:space="preserve">      &lt;/tr&gt;</w:t>
        <w:br/>
        <w:t xml:space="preserve">    &lt;/tbody&gt;</w:t>
        <w:br/>
        <w:t xml:space="preserve">  &lt;/table&gt;</w:t>
        <w:br/>
        <w:t>&lt;/section&gt;</w:t>
      </w:r>
    </w:p>
    <w:p>
      <w:pPr/>
      <w:r>
        <w:rPr>
          <w:color w:val="1A1A1A"/>
          <w:sz w:val="22"/>
        </w:rPr>
        <w:t>This pattern — find schema node → identify template block → write HTML → add annotation — is repeated for every section of every page.</w:t>
      </w:r>
    </w:p>
    <w:p>
      <w:pPr>
        <w:pStyle w:val="Heading3"/>
      </w:pPr>
      <w:r>
        <w:rPr>
          <w:b/>
          <w:color w:val="0054A4"/>
          <w:sz w:val="26"/>
        </w:rPr>
        <w:t>Resident vs landlord: splitting the same schema into two journeys</w:t>
      </w:r>
    </w:p>
    <w:p>
      <w:pPr/>
      <w:r>
        <w:rPr>
          <w:color w:val="1A1A1A"/>
          <w:sz w:val="22"/>
        </w:rPr>
        <w:t>The HMO schema contains information relevant to both residents and landlords. Content was sorted into three buckets:</w:t>
      </w:r>
    </w:p>
    <w:p>
      <w:pPr>
        <w:pStyle w:val="ListBullet"/>
        <w:ind w:left="432"/>
      </w:pPr>
      <w:r>
        <w:rPr>
          <w:b/>
          <w:color w:val="1A1A1A"/>
          <w:sz w:val="22"/>
        </w:rPr>
        <w:t>Resident-only</w:t>
      </w:r>
      <w:r>
        <w:rPr>
          <w:color w:val="1A1A1A"/>
          <w:sz w:val="22"/>
        </w:rPr>
        <w:t xml:space="preserve"> — rights as a tenant, how to report problems, what your landlord must do. Drawn from localPolicy.tenantEnforcementContact and localPolicy.licensingPolicy.tenantLicensingStatement.</w:t>
      </w:r>
    </w:p>
    <w:p>
      <w:pPr>
        <w:pStyle w:val="ListBullet"/>
        <w:ind w:left="432"/>
      </w:pPr>
      <w:r>
        <w:rPr>
          <w:b/>
          <w:color w:val="1A1A1A"/>
          <w:sz w:val="22"/>
        </w:rPr>
        <w:t>Landlord-only</w:t>
      </w:r>
      <w:r>
        <w:rPr>
          <w:color w:val="1A1A1A"/>
          <w:sz w:val="22"/>
        </w:rPr>
        <w:t xml:space="preserve"> — how to apply, fees, fit-and-proper person test, planning requirements. Drawn from localPolicy.licensingPolicy, localPolicy.planningPolicy and operationalGuidance.applicationReceiptAndTriage.</w:t>
      </w:r>
    </w:p>
    <w:p>
      <w:pPr>
        <w:pStyle w:val="ListBullet"/>
        <w:ind w:left="432"/>
      </w:pPr>
      <w:r>
        <w:rPr>
          <w:b/>
          <w:color w:val="1A1A1A"/>
          <w:sz w:val="22"/>
        </w:rPr>
        <w:t>Shared</w:t>
      </w:r>
      <w:r>
        <w:rPr>
          <w:color w:val="1A1A1A"/>
          <w:sz w:val="22"/>
        </w:rPr>
        <w:t xml:space="preserve"> — what an HMO is, safety standards, FAQ. These appear on pages accessible from both journeys.</w:t>
      </w:r>
    </w:p>
    <w:p>
      <w:pPr/>
      <w:r>
        <w:rPr>
          <w:color w:val="1A1A1A"/>
          <w:sz w:val="22"/>
        </w:rPr>
        <w:t>The service landing page (index.html) presents two clear entry points — "I'm a resident" and "I'm a landlord" — so the user self-selects into the right journey from the start.</w:t>
      </w:r>
    </w:p>
    <w:p>
      <w:r>
        <w:br w:type="page"/>
      </w:r>
    </w:p>
    <w:p>
      <w:pPr>
        <w:pStyle w:val="Heading1"/>
      </w:pPr>
      <w:r>
        <w:rPr>
          <w:b/>
          <w:color w:val="0054A4"/>
          <w:sz w:val="44"/>
        </w:rPr>
        <w:t>7. Pre-publish checklist</w:t>
      </w:r>
    </w:p>
    <w:p>
      <w:pPr/>
      <w:r>
        <w:rPr>
          <w:color w:val="1A1A1A"/>
          <w:sz w:val="22"/>
        </w:rPr>
        <w:t>Run through this list before merging or publishing any schema-driven page.</w:t>
      </w:r>
    </w:p>
    <w:p>
      <w:pPr>
        <w:pStyle w:val="Heading3"/>
      </w:pPr>
      <w:r>
        <w:rPr>
          <w:b/>
          <w:color w:val="0054A4"/>
          <w:sz w:val="26"/>
        </w:rPr>
        <w:t>Content</w:t>
      </w:r>
    </w:p>
    <w:p>
      <w:pPr>
        <w:pStyle w:val="ListBullet"/>
        <w:ind w:left="432"/>
      </w:pPr>
      <w:r>
        <w:rPr>
          <w:color w:val="1A1A1A"/>
          <w:sz w:val="22"/>
        </w:rPr>
        <w:t>Every piece of body text traces back to a verbatimText or default value in the schema.</w:t>
      </w:r>
    </w:p>
    <w:p>
      <w:pPr>
        <w:pStyle w:val="ListBullet"/>
        <w:ind w:left="432"/>
      </w:pPr>
      <w:r>
        <w:rPr>
          <w:color w:val="1A1A1A"/>
          <w:sz w:val="22"/>
        </w:rPr>
        <w:t>No content has been written that does not appear in the schema — no paraphrasing, no invented examples, no bridging sentences drawn from general knowledge.</w:t>
      </w:r>
    </w:p>
    <w:p>
      <w:pPr>
        <w:pStyle w:val="ListBullet"/>
        <w:ind w:left="432"/>
      </w:pPr>
      <w:r>
        <w:rPr>
          <w:color w:val="1A1A1A"/>
          <w:sz w:val="22"/>
        </w:rPr>
        <w:t>Any TODO nodes in the schema are either omitted from the page or flagged with a visible placeholder.</w:t>
      </w:r>
    </w:p>
    <w:p>
      <w:pPr>
        <w:pStyle w:val="ListBullet"/>
        <w:ind w:left="432"/>
      </w:pPr>
      <w:r>
        <w:rPr>
          <w:color w:val="1A1A1A"/>
          <w:sz w:val="22"/>
        </w:rPr>
        <w:t>Contact details (phone, email, opening hours) match the values in localPolicy.tenantEnforcementContact exactly.</w:t>
      </w:r>
    </w:p>
    <w:p>
      <w:pPr>
        <w:pStyle w:val="ListBullet"/>
        <w:ind w:left="432"/>
      </w:pPr>
      <w:r>
        <w:rPr>
          <w:color w:val="1A1A1A"/>
          <w:sz w:val="22"/>
        </w:rPr>
        <w:t>Fees match the correct year's fee table in the schema — check which feesFrom… node is current.</w:t>
      </w:r>
    </w:p>
    <w:p>
      <w:pPr>
        <w:pStyle w:val="Heading3"/>
      </w:pPr>
      <w:r>
        <w:rPr>
          <w:b/>
          <w:color w:val="0054A4"/>
          <w:sz w:val="26"/>
        </w:rPr>
        <w:t>Schema source annotations</w:t>
      </w:r>
    </w:p>
    <w:p>
      <w:pPr>
        <w:pStyle w:val="ListBullet"/>
        <w:ind w:left="432"/>
      </w:pPr>
      <w:r>
        <w:rPr>
          <w:color w:val="1A1A1A"/>
          <w:sz w:val="22"/>
        </w:rPr>
        <w:t>Every content block has a data-schema-source attribute with a dot-notation path to the schema node.</w:t>
      </w:r>
    </w:p>
    <w:p>
      <w:pPr>
        <w:pStyle w:val="ListBullet"/>
        <w:ind w:left="432"/>
      </w:pPr>
      <w:r>
        <w:rPr>
          <w:color w:val="1A1A1A"/>
          <w:sz w:val="22"/>
        </w:rPr>
        <w:t>Every content block has a corresponding &lt;!-- schema-source: … | SOURCE-REF --&gt; HTML comment above it.</w:t>
      </w:r>
    </w:p>
    <w:p>
      <w:pPr>
        <w:pStyle w:val="ListBullet"/>
        <w:ind w:left="432"/>
      </w:pPr>
      <w:r>
        <w:rPr>
          <w:color w:val="1A1A1A"/>
          <w:sz w:val="22"/>
        </w:rPr>
        <w:t>Navigation, footer, breadcrumb and UI chrome have no data-schema-source annotation (correct — they are structural, not content).</w:t>
      </w:r>
    </w:p>
    <w:p>
      <w:pPr>
        <w:pStyle w:val="Heading3"/>
      </w:pPr>
      <w:r>
        <w:rPr>
          <w:b/>
          <w:color w:val="0054A4"/>
          <w:sz w:val="26"/>
        </w:rPr>
        <w:t>Template requirements</w:t>
      </w:r>
    </w:p>
    <w:p>
      <w:pPr>
        <w:pStyle w:val="ListBullet"/>
        <w:ind w:left="432"/>
      </w:pPr>
      <w:r>
        <w:rPr>
          <w:color w:val="1A1A1A"/>
          <w:sz w:val="22"/>
        </w:rPr>
        <w:t>No [PLACEHOLDER] strings remain anywhere in the file.</w:t>
      </w:r>
    </w:p>
    <w:p>
      <w:pPr>
        <w:pStyle w:val="ListBullet"/>
        <w:ind w:left="432"/>
      </w:pPr>
      <w:r>
        <w:rPr>
          <w:color w:val="1A1A1A"/>
          <w:sz w:val="22"/>
        </w:rPr>
        <w:t>The &lt;title&gt; is under 60 characters and follows the pattern: Page title — Gloucester City Council.</w:t>
      </w:r>
    </w:p>
    <w:p>
      <w:pPr>
        <w:pStyle w:val="ListBullet"/>
        <w:ind w:left="432"/>
      </w:pPr>
      <w:r>
        <w:rPr>
          <w:color w:val="1A1A1A"/>
          <w:sz w:val="22"/>
        </w:rPr>
        <w:t>The &lt;meta name="description"&gt; is under 160 characters.</w:t>
      </w:r>
    </w:p>
    <w:p>
      <w:pPr>
        <w:pStyle w:val="ListBullet"/>
        <w:ind w:left="432"/>
      </w:pPr>
      <w:r>
        <w:rPr>
          <w:color w:val="1A1A1A"/>
          <w:sz w:val="22"/>
        </w:rPr>
        <w:t>The breadcrumb's last item carries aria-current="page" and matches the &lt;h1&gt;.</w:t>
      </w:r>
    </w:p>
    <w:p>
      <w:pPr>
        <w:pStyle w:val="ListBullet"/>
        <w:ind w:left="432"/>
      </w:pPr>
      <w:r>
        <w:rPr>
          <w:color w:val="1A1A1A"/>
          <w:sz w:val="22"/>
        </w:rPr>
        <w:t>Asset paths point to ../../templates/assets/ (or the correct relative path for the file's location).</w:t>
      </w:r>
    </w:p>
    <w:p>
      <w:pPr>
        <w:pStyle w:val="Heading3"/>
      </w:pPr>
      <w:r>
        <w:rPr>
          <w:b/>
          <w:color w:val="0054A4"/>
          <w:sz w:val="26"/>
        </w:rPr>
        <w:t>Accessibility</w:t>
      </w:r>
    </w:p>
    <w:p>
      <w:pPr>
        <w:pStyle w:val="ListBullet"/>
        <w:ind w:left="432"/>
      </w:pPr>
      <w:r>
        <w:rPr>
          <w:color w:val="1A1A1A"/>
          <w:sz w:val="22"/>
        </w:rPr>
        <w:t>Tab through the page — every interactive element shows a visible focus ring.</w:t>
      </w:r>
    </w:p>
    <w:p>
      <w:pPr>
        <w:pStyle w:val="ListBullet"/>
        <w:ind w:left="432"/>
      </w:pPr>
      <w:r>
        <w:rPr>
          <w:color w:val="1A1A1A"/>
          <w:sz w:val="22"/>
        </w:rPr>
        <w:t>There is exactly one &lt;h1&gt; on the page and headings do not skip levels.</w:t>
      </w:r>
    </w:p>
    <w:p>
      <w:pPr>
        <w:pStyle w:val="ListBullet"/>
        <w:ind w:left="432"/>
      </w:pPr>
      <w:r>
        <w:rPr>
          <w:color w:val="1A1A1A"/>
          <w:sz w:val="22"/>
        </w:rPr>
        <w:t>Every &lt;table&gt; has a &lt;caption&gt; and all header cells use scope="col" or scope="row".</w:t>
      </w:r>
    </w:p>
    <w:p>
      <w:pPr>
        <w:pStyle w:val="ListBullet"/>
        <w:ind w:left="432"/>
      </w:pPr>
      <w:r>
        <w:rPr>
          <w:color w:val="1A1A1A"/>
          <w:sz w:val="22"/>
        </w:rPr>
        <w:t>All images have meaningful alt text; decorative images use alt="".</w:t>
      </w:r>
    </w:p>
    <w:p>
      <w:pPr>
        <w:pStyle w:val="ListBullet"/>
        <w:ind w:left="432"/>
      </w:pPr>
      <w:r>
        <w:rPr>
          <w:color w:val="1A1A1A"/>
          <w:sz w:val="22"/>
        </w:rPr>
        <w:t>The page is readable at 320 px wide with no horizontal scrolling.</w:t>
      </w:r>
    </w:p>
    <w:p>
      <w:pPr>
        <w:pStyle w:val="ListBullet"/>
        <w:ind w:left="432"/>
      </w:pPr>
      <w:r>
        <w:rPr>
          <w:color w:val="1A1A1A"/>
          <w:sz w:val="22"/>
        </w:rPr>
        <w:t>Run an automated check using axe DevTools, Lighthouse or WAVE.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