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24D7" w14:textId="77777777" w:rsidR="00003A80" w:rsidRPr="005C681C" w:rsidRDefault="00000000" w:rsidP="005C681C">
      <w:pPr>
        <w:pStyle w:val="Ttulo1"/>
        <w:jc w:val="both"/>
        <w:rPr>
          <w:rFonts w:cstheme="majorHAnsi"/>
        </w:rPr>
      </w:pPr>
      <w:r w:rsidRPr="005C681C">
        <w:rPr>
          <w:rFonts w:cstheme="majorHAnsi"/>
        </w:rPr>
        <w:t>Sumário Executivo — Quinta do Visconde de Salreu</w:t>
      </w:r>
    </w:p>
    <w:p w14:paraId="3518377B" w14:textId="77777777" w:rsidR="00003A80" w:rsidRPr="005C681C" w:rsidRDefault="00000000" w:rsidP="005C681C">
      <w:pPr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  <w:b/>
        </w:rPr>
        <w:t>Projeto de Restauro, Formação e Turismo Cultural</w:t>
      </w:r>
    </w:p>
    <w:p w14:paraId="7D152852" w14:textId="77777777" w:rsidR="00003A80" w:rsidRPr="005C681C" w:rsidRDefault="00000000" w:rsidP="005C681C">
      <w:pPr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  <w:b/>
        </w:rPr>
        <w:t>Investimento:</w:t>
      </w:r>
      <w:r w:rsidRPr="005C681C">
        <w:rPr>
          <w:rFonts w:asciiTheme="majorHAnsi" w:hAnsiTheme="majorHAnsi" w:cstheme="majorHAnsi"/>
        </w:rPr>
        <w:t xml:space="preserve"> €2.070.000 | </w:t>
      </w:r>
      <w:r w:rsidRPr="005C681C">
        <w:rPr>
          <w:rFonts w:asciiTheme="majorHAnsi" w:hAnsiTheme="majorHAnsi" w:cstheme="majorHAnsi"/>
          <w:b/>
        </w:rPr>
        <w:t>Duração:</w:t>
      </w:r>
      <w:r w:rsidRPr="005C681C">
        <w:rPr>
          <w:rFonts w:asciiTheme="majorHAnsi" w:hAnsiTheme="majorHAnsi" w:cstheme="majorHAnsi"/>
        </w:rPr>
        <w:t xml:space="preserve"> 30 meses | </w:t>
      </w:r>
      <w:r w:rsidRPr="005C681C">
        <w:rPr>
          <w:rFonts w:asciiTheme="majorHAnsi" w:hAnsiTheme="majorHAnsi" w:cstheme="majorHAnsi"/>
          <w:b/>
        </w:rPr>
        <w:t>Localização:</w:t>
      </w:r>
      <w:r w:rsidRPr="005C681C">
        <w:rPr>
          <w:rFonts w:asciiTheme="majorHAnsi" w:hAnsiTheme="majorHAnsi" w:cstheme="majorHAnsi"/>
        </w:rPr>
        <w:t xml:space="preserve"> Salreu, Estarreja, Aveiro</w:t>
      </w:r>
    </w:p>
    <w:p w14:paraId="2FB8CC4C" w14:textId="77777777" w:rsidR="00003A80" w:rsidRPr="005C681C" w:rsidRDefault="00000000" w:rsidP="005C681C">
      <w:pPr>
        <w:spacing w:before="120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F8258D9" w14:textId="77777777" w:rsidR="00003A80" w:rsidRPr="005C681C" w:rsidRDefault="00000000" w:rsidP="005C681C">
      <w:pPr>
        <w:pStyle w:val="Ttulo2"/>
        <w:jc w:val="both"/>
        <w:rPr>
          <w:rFonts w:cstheme="majorHAnsi"/>
          <w:szCs w:val="28"/>
        </w:rPr>
      </w:pPr>
      <w:r w:rsidRPr="005C681C">
        <w:rPr>
          <w:rFonts w:cstheme="majorHAnsi"/>
          <w:szCs w:val="28"/>
        </w:rPr>
        <w:t>Visão do Projeto</w:t>
      </w:r>
    </w:p>
    <w:p w14:paraId="2697637C" w14:textId="77777777" w:rsidR="00003A80" w:rsidRPr="005C681C" w:rsidRDefault="00000000" w:rsidP="005C681C">
      <w:pPr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>A Quinta do Visconde de Salreu é um conjunto patrimonial de elevado valor histórico e paisagístico, situado na freguesia de Salreu, concelho de Estarreja, distrito de Aveiro. A propriedade inclui um solar senhorial, jardins históricos com sistema hidráulico por gravidade, e edifícios agrícolas tradicionais. O projeto visa transformar este património num polo de formação profissional em artes e ofícios tradicionais, turismo cultural e inclusão social, gerando emprego, preservando saberes ancestrais e dinamizando a economia local.</w:t>
      </w:r>
    </w:p>
    <w:p w14:paraId="18D0600B" w14:textId="77777777" w:rsidR="00003A80" w:rsidRPr="005C681C" w:rsidRDefault="00000000" w:rsidP="005C681C">
      <w:pPr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 xml:space="preserve">A iniciativa é promovida pela </w:t>
      </w:r>
      <w:r w:rsidRPr="005C681C">
        <w:rPr>
          <w:rFonts w:asciiTheme="majorHAnsi" w:hAnsiTheme="majorHAnsi" w:cstheme="majorHAnsi"/>
          <w:b/>
        </w:rPr>
        <w:t>Associação para a Preservação e Valorização da Quinta do Visconde de Salreu</w:t>
      </w:r>
      <w:r w:rsidRPr="005C681C">
        <w:rPr>
          <w:rFonts w:asciiTheme="majorHAnsi" w:hAnsiTheme="majorHAnsi" w:cstheme="majorHAnsi"/>
        </w:rPr>
        <w:t xml:space="preserve">, uma IPSS constituída especificamente para este fim, com assessoria estratégica do </w:t>
      </w:r>
      <w:r w:rsidRPr="005C681C">
        <w:rPr>
          <w:rFonts w:asciiTheme="majorHAnsi" w:hAnsiTheme="majorHAnsi" w:cstheme="majorHAnsi"/>
          <w:b/>
        </w:rPr>
        <w:t>Instituto Português de Negócios Sociais (IPNS)</w:t>
      </w:r>
      <w:r w:rsidRPr="005C681C">
        <w:rPr>
          <w:rFonts w:asciiTheme="majorHAnsi" w:hAnsiTheme="majorHAnsi" w:cstheme="majorHAnsi"/>
        </w:rPr>
        <w:t xml:space="preserve"> e parceria cultural da centenária </w:t>
      </w:r>
      <w:r w:rsidRPr="005C681C">
        <w:rPr>
          <w:rFonts w:asciiTheme="majorHAnsi" w:hAnsiTheme="majorHAnsi" w:cstheme="majorHAnsi"/>
          <w:b/>
        </w:rPr>
        <w:t>Banda Visconde de Salreu</w:t>
      </w:r>
      <w:r w:rsidRPr="005C681C">
        <w:rPr>
          <w:rFonts w:asciiTheme="majorHAnsi" w:hAnsiTheme="majorHAnsi" w:cstheme="majorHAnsi"/>
        </w:rPr>
        <w:t xml:space="preserve"> (fundada em 1925).</w:t>
      </w:r>
    </w:p>
    <w:p w14:paraId="0D01513A" w14:textId="77777777" w:rsidR="00003A80" w:rsidRPr="005C681C" w:rsidRDefault="00000000" w:rsidP="005C681C">
      <w:pPr>
        <w:spacing w:before="120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695DFA3" w14:textId="77777777" w:rsidR="00003A80" w:rsidRPr="005C681C" w:rsidRDefault="00000000" w:rsidP="005C681C">
      <w:pPr>
        <w:pStyle w:val="Ttulo2"/>
        <w:jc w:val="both"/>
        <w:rPr>
          <w:rFonts w:cstheme="majorHAnsi"/>
          <w:szCs w:val="28"/>
        </w:rPr>
      </w:pPr>
      <w:r w:rsidRPr="005C681C">
        <w:rPr>
          <w:rFonts w:cstheme="majorHAnsi"/>
          <w:szCs w:val="28"/>
        </w:rPr>
        <w:t>Investimento e Orçamento</w:t>
      </w:r>
    </w:p>
    <w:p w14:paraId="3EB12138" w14:textId="77777777" w:rsidR="00003A80" w:rsidRPr="005C681C" w:rsidRDefault="00000000" w:rsidP="005C681C">
      <w:pPr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 xml:space="preserve">O investimento total de </w:t>
      </w:r>
      <w:r w:rsidRPr="005C681C">
        <w:rPr>
          <w:rFonts w:asciiTheme="majorHAnsi" w:hAnsiTheme="majorHAnsi" w:cstheme="majorHAnsi"/>
          <w:b/>
        </w:rPr>
        <w:t>€2.070.000</w:t>
      </w:r>
      <w:r w:rsidRPr="005C681C">
        <w:rPr>
          <w:rFonts w:asciiTheme="majorHAnsi" w:hAnsiTheme="majorHAnsi" w:cstheme="majorHAnsi"/>
        </w:rPr>
        <w:t xml:space="preserve"> está distribuído por seis rubricas principais, com valores validados por pesquisa de mercado extensiva baseada em custos reais de restauro patrimonial em Portugal (2025-2026) [1] [2].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03A80" w:rsidRPr="005C681C" w14:paraId="2032E607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2C54333E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color w:val="FFFFFF"/>
                <w:sz w:val="20"/>
              </w:rPr>
              <w:t>Rubrica</w:t>
            </w:r>
          </w:p>
        </w:tc>
        <w:tc>
          <w:tcPr>
            <w:tcW w:w="3135" w:type="dxa"/>
            <w:shd w:val="clear" w:color="auto" w:fill="1A1A1A"/>
          </w:tcPr>
          <w:p w14:paraId="353E9975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color w:val="FFFFFF"/>
                <w:sz w:val="20"/>
              </w:rPr>
              <w:t>Valor</w:t>
            </w:r>
          </w:p>
        </w:tc>
        <w:tc>
          <w:tcPr>
            <w:tcW w:w="3135" w:type="dxa"/>
            <w:shd w:val="clear" w:color="auto" w:fill="1A1A1A"/>
          </w:tcPr>
          <w:p w14:paraId="3D91DF5E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color w:val="FFFFFF"/>
                <w:sz w:val="20"/>
              </w:rPr>
              <w:t>% do Total</w:t>
            </w:r>
          </w:p>
        </w:tc>
      </w:tr>
      <w:tr w:rsidR="00003A80" w:rsidRPr="005C681C" w14:paraId="051EEF7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BAF5BF4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Restauro do Solar (600 m²)</w:t>
            </w:r>
          </w:p>
        </w:tc>
        <w:tc>
          <w:tcPr>
            <w:tcW w:w="3135" w:type="dxa"/>
            <w:shd w:val="clear" w:color="auto" w:fill="F5F5F5"/>
          </w:tcPr>
          <w:p w14:paraId="71678F6E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€900.000</w:t>
            </w:r>
          </w:p>
        </w:tc>
        <w:tc>
          <w:tcPr>
            <w:tcW w:w="3135" w:type="dxa"/>
            <w:shd w:val="clear" w:color="auto" w:fill="F5F5F5"/>
          </w:tcPr>
          <w:p w14:paraId="2CF66F77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43,5%</w:t>
            </w:r>
          </w:p>
        </w:tc>
      </w:tr>
      <w:tr w:rsidR="00003A80" w:rsidRPr="005C681C" w14:paraId="57E999E2" w14:textId="77777777">
        <w:trPr>
          <w:jc w:val="center"/>
        </w:trPr>
        <w:tc>
          <w:tcPr>
            <w:tcW w:w="3135" w:type="dxa"/>
          </w:tcPr>
          <w:p w14:paraId="0ED65E49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Jardim Histórico e Sistema Hidráulico</w:t>
            </w:r>
          </w:p>
        </w:tc>
        <w:tc>
          <w:tcPr>
            <w:tcW w:w="3135" w:type="dxa"/>
          </w:tcPr>
          <w:p w14:paraId="50EBE21F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€350.000</w:t>
            </w:r>
          </w:p>
        </w:tc>
        <w:tc>
          <w:tcPr>
            <w:tcW w:w="3135" w:type="dxa"/>
          </w:tcPr>
          <w:p w14:paraId="044EA3AB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16,9%</w:t>
            </w:r>
          </w:p>
        </w:tc>
      </w:tr>
      <w:tr w:rsidR="00003A80" w:rsidRPr="005C681C" w14:paraId="1C8DA3E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7C146DF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14 Unidades de Alojamento Turístico</w:t>
            </w:r>
          </w:p>
        </w:tc>
        <w:tc>
          <w:tcPr>
            <w:tcW w:w="3135" w:type="dxa"/>
            <w:shd w:val="clear" w:color="auto" w:fill="F5F5F5"/>
          </w:tcPr>
          <w:p w14:paraId="0CC8B5B4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€400.000</w:t>
            </w:r>
          </w:p>
        </w:tc>
        <w:tc>
          <w:tcPr>
            <w:tcW w:w="3135" w:type="dxa"/>
            <w:shd w:val="clear" w:color="auto" w:fill="F5F5F5"/>
          </w:tcPr>
          <w:p w14:paraId="0AEF61F5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19,3%</w:t>
            </w:r>
          </w:p>
        </w:tc>
      </w:tr>
      <w:tr w:rsidR="00003A80" w:rsidRPr="005C681C" w14:paraId="651430E7" w14:textId="77777777">
        <w:trPr>
          <w:jc w:val="center"/>
        </w:trPr>
        <w:tc>
          <w:tcPr>
            <w:tcW w:w="3135" w:type="dxa"/>
          </w:tcPr>
          <w:p w14:paraId="00D4F191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Centro de Formação</w:t>
            </w:r>
          </w:p>
        </w:tc>
        <w:tc>
          <w:tcPr>
            <w:tcW w:w="3135" w:type="dxa"/>
          </w:tcPr>
          <w:p w14:paraId="044400B3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€160.000</w:t>
            </w:r>
          </w:p>
        </w:tc>
        <w:tc>
          <w:tcPr>
            <w:tcW w:w="3135" w:type="dxa"/>
          </w:tcPr>
          <w:p w14:paraId="3FDB8F45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7,7%</w:t>
            </w:r>
          </w:p>
        </w:tc>
      </w:tr>
      <w:tr w:rsidR="00003A80" w:rsidRPr="005C681C" w14:paraId="30E015B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2A5068D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Projetos, Licenciamento e Imprevistos</w:t>
            </w:r>
          </w:p>
        </w:tc>
        <w:tc>
          <w:tcPr>
            <w:tcW w:w="3135" w:type="dxa"/>
            <w:shd w:val="clear" w:color="auto" w:fill="F5F5F5"/>
          </w:tcPr>
          <w:p w14:paraId="1FF939FF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€260.000</w:t>
            </w:r>
          </w:p>
        </w:tc>
        <w:tc>
          <w:tcPr>
            <w:tcW w:w="3135" w:type="dxa"/>
            <w:shd w:val="clear" w:color="auto" w:fill="F5F5F5"/>
          </w:tcPr>
          <w:p w14:paraId="3732BF42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12,6%</w:t>
            </w:r>
          </w:p>
        </w:tc>
      </w:tr>
      <w:tr w:rsidR="00003A80" w:rsidRPr="005C681C" w14:paraId="7A26ADB6" w14:textId="77777777">
        <w:trPr>
          <w:jc w:val="center"/>
        </w:trPr>
        <w:tc>
          <w:tcPr>
            <w:tcW w:w="3135" w:type="dxa"/>
          </w:tcPr>
          <w:p w14:paraId="1FAE56BD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sz w:val="20"/>
              </w:rPr>
              <w:t>TOTAL</w:t>
            </w:r>
          </w:p>
        </w:tc>
        <w:tc>
          <w:tcPr>
            <w:tcW w:w="3135" w:type="dxa"/>
          </w:tcPr>
          <w:p w14:paraId="7E426626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sz w:val="20"/>
              </w:rPr>
              <w:t>€2.070.000</w:t>
            </w:r>
          </w:p>
        </w:tc>
        <w:tc>
          <w:tcPr>
            <w:tcW w:w="3135" w:type="dxa"/>
          </w:tcPr>
          <w:p w14:paraId="5455C9AC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sz w:val="20"/>
              </w:rPr>
              <w:t>100%</w:t>
            </w:r>
          </w:p>
        </w:tc>
      </w:tr>
    </w:tbl>
    <w:p w14:paraId="38E32457" w14:textId="77777777" w:rsidR="00003A80" w:rsidRPr="005C681C" w:rsidRDefault="00003A80" w:rsidP="005C681C">
      <w:pPr>
        <w:jc w:val="both"/>
        <w:rPr>
          <w:rFonts w:asciiTheme="majorHAnsi" w:hAnsiTheme="majorHAnsi" w:cstheme="majorHAnsi"/>
        </w:rPr>
      </w:pPr>
    </w:p>
    <w:p w14:paraId="7CF5F5CB" w14:textId="77777777" w:rsidR="00003A80" w:rsidRPr="005C681C" w:rsidRDefault="00000000" w:rsidP="005C681C">
      <w:pPr>
        <w:spacing w:before="120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2E364EF" w14:textId="77777777" w:rsidR="00003A80" w:rsidRPr="005C681C" w:rsidRDefault="00000000" w:rsidP="005C681C">
      <w:pPr>
        <w:pStyle w:val="Ttulo2"/>
        <w:jc w:val="both"/>
        <w:rPr>
          <w:rFonts w:cstheme="majorHAnsi"/>
          <w:szCs w:val="28"/>
        </w:rPr>
      </w:pPr>
      <w:r w:rsidRPr="005C681C">
        <w:rPr>
          <w:rFonts w:cstheme="majorHAnsi"/>
          <w:szCs w:val="28"/>
        </w:rPr>
        <w:lastRenderedPageBreak/>
        <w:t>Programa de Formação</w:t>
      </w:r>
    </w:p>
    <w:p w14:paraId="68A3E5C9" w14:textId="77777777" w:rsidR="00003A80" w:rsidRPr="005C681C" w:rsidRDefault="00000000" w:rsidP="005C681C">
      <w:pPr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 xml:space="preserve">O programa contempla </w:t>
      </w:r>
      <w:r w:rsidRPr="005C681C">
        <w:rPr>
          <w:rFonts w:asciiTheme="majorHAnsi" w:hAnsiTheme="majorHAnsi" w:cstheme="majorHAnsi"/>
          <w:b/>
        </w:rPr>
        <w:t>5 áreas de formação</w:t>
      </w:r>
      <w:r w:rsidRPr="005C681C">
        <w:rPr>
          <w:rFonts w:asciiTheme="majorHAnsi" w:hAnsiTheme="majorHAnsi" w:cstheme="majorHAnsi"/>
        </w:rPr>
        <w:t xml:space="preserve"> em artes e ofícios tradicionais, com 10 cursos longos (4-6 meses) e 16 workshops anuais, capacitando </w:t>
      </w:r>
      <w:r w:rsidRPr="005C681C">
        <w:rPr>
          <w:rFonts w:asciiTheme="majorHAnsi" w:hAnsiTheme="majorHAnsi" w:cstheme="majorHAnsi"/>
          <w:b/>
        </w:rPr>
        <w:t>40-60 formandos por ano</w:t>
      </w:r>
      <w:r w:rsidRPr="005C681C">
        <w:rPr>
          <w:rFonts w:asciiTheme="majorHAnsi" w:hAnsiTheme="majorHAnsi" w:cstheme="majorHAnsi"/>
        </w:rPr>
        <w:t xml:space="preserve"> em regime certificado pelo IEFP.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03A80" w:rsidRPr="005C681C" w14:paraId="1AEE79E7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72B33C5E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color w:val="FFFFFF"/>
                <w:sz w:val="20"/>
              </w:rPr>
              <w:t>Área</w:t>
            </w:r>
          </w:p>
        </w:tc>
        <w:tc>
          <w:tcPr>
            <w:tcW w:w="4703" w:type="dxa"/>
            <w:shd w:val="clear" w:color="auto" w:fill="1A1A1A"/>
          </w:tcPr>
          <w:p w14:paraId="611FC5A7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color w:val="FFFFFF"/>
                <w:sz w:val="20"/>
              </w:rPr>
              <w:t>Parceiro Estratégico</w:t>
            </w:r>
          </w:p>
        </w:tc>
      </w:tr>
      <w:tr w:rsidR="00003A80" w:rsidRPr="005C681C" w14:paraId="3D0C19D9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49C74B6A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Culinária Tradicional Portuguesa</w:t>
            </w:r>
          </w:p>
        </w:tc>
        <w:tc>
          <w:tcPr>
            <w:tcW w:w="4703" w:type="dxa"/>
            <w:shd w:val="clear" w:color="auto" w:fill="F5F5F5"/>
          </w:tcPr>
          <w:p w14:paraId="7DA4F9B2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Chefs e produtores locais</w:t>
            </w:r>
          </w:p>
        </w:tc>
      </w:tr>
      <w:tr w:rsidR="00003A80" w:rsidRPr="005C681C" w14:paraId="72F3CF3D" w14:textId="77777777">
        <w:trPr>
          <w:jc w:val="center"/>
        </w:trPr>
        <w:tc>
          <w:tcPr>
            <w:tcW w:w="4703" w:type="dxa"/>
          </w:tcPr>
          <w:p w14:paraId="14488129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Jardinismo e Botânica Histórica</w:t>
            </w:r>
          </w:p>
        </w:tc>
        <w:tc>
          <w:tcPr>
            <w:tcW w:w="4703" w:type="dxa"/>
          </w:tcPr>
          <w:p w14:paraId="3C8FC7E1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Especialistas em jardins históricos</w:t>
            </w:r>
          </w:p>
        </w:tc>
      </w:tr>
      <w:tr w:rsidR="00003A80" w:rsidRPr="005C681C" w14:paraId="0C306667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0E624276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Música e Artes Performativas</w:t>
            </w:r>
          </w:p>
        </w:tc>
        <w:tc>
          <w:tcPr>
            <w:tcW w:w="4703" w:type="dxa"/>
            <w:shd w:val="clear" w:color="auto" w:fill="F5F5F5"/>
          </w:tcPr>
          <w:p w14:paraId="6A9C6089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Banda Visconde de Salreu</w:t>
            </w:r>
          </w:p>
        </w:tc>
      </w:tr>
      <w:tr w:rsidR="00003A80" w:rsidRPr="005C681C" w14:paraId="7D523734" w14:textId="77777777">
        <w:trPr>
          <w:jc w:val="center"/>
        </w:trPr>
        <w:tc>
          <w:tcPr>
            <w:tcW w:w="4703" w:type="dxa"/>
          </w:tcPr>
          <w:p w14:paraId="37D52FD8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Bordados e Rendas Tradicionais</w:t>
            </w:r>
          </w:p>
        </w:tc>
        <w:tc>
          <w:tcPr>
            <w:tcW w:w="4703" w:type="dxa"/>
          </w:tcPr>
          <w:p w14:paraId="089954AD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Escola de Laceiras</w:t>
            </w:r>
          </w:p>
        </w:tc>
      </w:tr>
      <w:tr w:rsidR="00003A80" w:rsidRPr="005C681C" w14:paraId="08B0BC52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61CB53C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Decoração e Artes Aplicadas</w:t>
            </w:r>
          </w:p>
        </w:tc>
        <w:tc>
          <w:tcPr>
            <w:tcW w:w="4703" w:type="dxa"/>
            <w:shd w:val="clear" w:color="auto" w:fill="F5F5F5"/>
          </w:tcPr>
          <w:p w14:paraId="2661957E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Artesãos certificados</w:t>
            </w:r>
          </w:p>
        </w:tc>
      </w:tr>
    </w:tbl>
    <w:p w14:paraId="7F355C71" w14:textId="77777777" w:rsidR="00003A80" w:rsidRPr="005C681C" w:rsidRDefault="00003A80" w:rsidP="005C681C">
      <w:pPr>
        <w:jc w:val="both"/>
        <w:rPr>
          <w:rFonts w:asciiTheme="majorHAnsi" w:hAnsiTheme="majorHAnsi" w:cstheme="majorHAnsi"/>
        </w:rPr>
      </w:pPr>
    </w:p>
    <w:p w14:paraId="3D286645" w14:textId="77777777" w:rsidR="00003A80" w:rsidRPr="005C681C" w:rsidRDefault="00000000" w:rsidP="005C681C">
      <w:pPr>
        <w:spacing w:before="120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1E82B46" w14:textId="77777777" w:rsidR="00003A80" w:rsidRPr="005C681C" w:rsidRDefault="00000000" w:rsidP="005C681C">
      <w:pPr>
        <w:pStyle w:val="Ttulo2"/>
        <w:jc w:val="both"/>
        <w:rPr>
          <w:rFonts w:cstheme="majorHAnsi"/>
          <w:szCs w:val="28"/>
        </w:rPr>
      </w:pPr>
      <w:r w:rsidRPr="005C681C">
        <w:rPr>
          <w:rFonts w:cstheme="majorHAnsi"/>
          <w:szCs w:val="28"/>
        </w:rPr>
        <w:t>Programa Turístico</w:t>
      </w:r>
    </w:p>
    <w:p w14:paraId="52D0FDD6" w14:textId="77777777" w:rsidR="00003A80" w:rsidRPr="005C681C" w:rsidRDefault="00000000" w:rsidP="005C681C">
      <w:pPr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 xml:space="preserve">O projeto prevê </w:t>
      </w:r>
      <w:r w:rsidRPr="005C681C">
        <w:rPr>
          <w:rFonts w:asciiTheme="majorHAnsi" w:hAnsiTheme="majorHAnsi" w:cstheme="majorHAnsi"/>
          <w:b/>
        </w:rPr>
        <w:t>14 unidades de alojamento</w:t>
      </w:r>
      <w:r w:rsidRPr="005C681C">
        <w:rPr>
          <w:rFonts w:asciiTheme="majorHAnsi" w:hAnsiTheme="majorHAnsi" w:cstheme="majorHAnsi"/>
        </w:rPr>
        <w:t xml:space="preserve"> em modelo Airbnb/turismo rural, com tarifa média de €85/noite e taxa de ocupação estimada de 45% no Ano 3. Complementarmente, serão oferecidos 5 pacotes de experiência turística, visitas guiadas aos jardins e loja de artesanato.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03A80" w:rsidRPr="005C681C" w14:paraId="75E9046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36A6D9AD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color w:val="FFFFFF"/>
                <w:sz w:val="20"/>
              </w:rPr>
              <w:t>Indicador</w:t>
            </w:r>
          </w:p>
        </w:tc>
        <w:tc>
          <w:tcPr>
            <w:tcW w:w="2351" w:type="dxa"/>
            <w:shd w:val="clear" w:color="auto" w:fill="1A1A1A"/>
          </w:tcPr>
          <w:p w14:paraId="39F9A102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color w:val="FFFFFF"/>
                <w:sz w:val="20"/>
              </w:rPr>
              <w:t>Ano 1</w:t>
            </w:r>
          </w:p>
        </w:tc>
        <w:tc>
          <w:tcPr>
            <w:tcW w:w="2351" w:type="dxa"/>
            <w:shd w:val="clear" w:color="auto" w:fill="1A1A1A"/>
          </w:tcPr>
          <w:p w14:paraId="38A2976E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color w:val="FFFFFF"/>
                <w:sz w:val="20"/>
              </w:rPr>
              <w:t>Ano 2</w:t>
            </w:r>
          </w:p>
        </w:tc>
        <w:tc>
          <w:tcPr>
            <w:tcW w:w="2351" w:type="dxa"/>
            <w:shd w:val="clear" w:color="auto" w:fill="1A1A1A"/>
          </w:tcPr>
          <w:p w14:paraId="5098184C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color w:val="FFFFFF"/>
                <w:sz w:val="20"/>
              </w:rPr>
              <w:t>Ano 3</w:t>
            </w:r>
          </w:p>
        </w:tc>
      </w:tr>
      <w:tr w:rsidR="00003A80" w:rsidRPr="005C681C" w14:paraId="3155E9C2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75BF496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Taxa de ocupação</w:t>
            </w:r>
          </w:p>
        </w:tc>
        <w:tc>
          <w:tcPr>
            <w:tcW w:w="2351" w:type="dxa"/>
            <w:shd w:val="clear" w:color="auto" w:fill="F5F5F5"/>
          </w:tcPr>
          <w:p w14:paraId="6DC2E54C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25%</w:t>
            </w:r>
          </w:p>
        </w:tc>
        <w:tc>
          <w:tcPr>
            <w:tcW w:w="2351" w:type="dxa"/>
            <w:shd w:val="clear" w:color="auto" w:fill="F5F5F5"/>
          </w:tcPr>
          <w:p w14:paraId="68E38766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35%</w:t>
            </w:r>
          </w:p>
        </w:tc>
        <w:tc>
          <w:tcPr>
            <w:tcW w:w="2351" w:type="dxa"/>
            <w:shd w:val="clear" w:color="auto" w:fill="F5F5F5"/>
          </w:tcPr>
          <w:p w14:paraId="7BCE3861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45%</w:t>
            </w:r>
          </w:p>
        </w:tc>
      </w:tr>
      <w:tr w:rsidR="00003A80" w:rsidRPr="005C681C" w14:paraId="6B91A93B" w14:textId="77777777">
        <w:trPr>
          <w:jc w:val="center"/>
        </w:trPr>
        <w:tc>
          <w:tcPr>
            <w:tcW w:w="2351" w:type="dxa"/>
          </w:tcPr>
          <w:p w14:paraId="47F58F5E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Receita de alojamento</w:t>
            </w:r>
          </w:p>
        </w:tc>
        <w:tc>
          <w:tcPr>
            <w:tcW w:w="2351" w:type="dxa"/>
          </w:tcPr>
          <w:p w14:paraId="3289E576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€109.000</w:t>
            </w:r>
          </w:p>
        </w:tc>
        <w:tc>
          <w:tcPr>
            <w:tcW w:w="2351" w:type="dxa"/>
          </w:tcPr>
          <w:p w14:paraId="6F34B150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€153.000</w:t>
            </w:r>
          </w:p>
        </w:tc>
        <w:tc>
          <w:tcPr>
            <w:tcW w:w="2351" w:type="dxa"/>
          </w:tcPr>
          <w:p w14:paraId="538334E9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€199.000</w:t>
            </w:r>
          </w:p>
        </w:tc>
      </w:tr>
      <w:tr w:rsidR="00003A80" w:rsidRPr="005C681C" w14:paraId="3F369CD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E162D6D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Visitantes/ano</w:t>
            </w:r>
          </w:p>
        </w:tc>
        <w:tc>
          <w:tcPr>
            <w:tcW w:w="2351" w:type="dxa"/>
            <w:shd w:val="clear" w:color="auto" w:fill="F5F5F5"/>
          </w:tcPr>
          <w:p w14:paraId="43D98524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2.000</w:t>
            </w:r>
          </w:p>
        </w:tc>
        <w:tc>
          <w:tcPr>
            <w:tcW w:w="2351" w:type="dxa"/>
            <w:shd w:val="clear" w:color="auto" w:fill="F5F5F5"/>
          </w:tcPr>
          <w:p w14:paraId="0AD5880E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4.000</w:t>
            </w:r>
          </w:p>
        </w:tc>
        <w:tc>
          <w:tcPr>
            <w:tcW w:w="2351" w:type="dxa"/>
            <w:shd w:val="clear" w:color="auto" w:fill="F5F5F5"/>
          </w:tcPr>
          <w:p w14:paraId="3CD1299F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6.000</w:t>
            </w:r>
          </w:p>
        </w:tc>
      </w:tr>
    </w:tbl>
    <w:p w14:paraId="2D2CBDE7" w14:textId="77777777" w:rsidR="00003A80" w:rsidRPr="005C681C" w:rsidRDefault="00003A80" w:rsidP="005C681C">
      <w:pPr>
        <w:jc w:val="both"/>
        <w:rPr>
          <w:rFonts w:asciiTheme="majorHAnsi" w:hAnsiTheme="majorHAnsi" w:cstheme="majorHAnsi"/>
        </w:rPr>
      </w:pPr>
    </w:p>
    <w:p w14:paraId="287E04CF" w14:textId="77777777" w:rsidR="00003A80" w:rsidRPr="005C681C" w:rsidRDefault="00000000" w:rsidP="005C681C">
      <w:pPr>
        <w:spacing w:before="120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58B5464" w14:textId="77777777" w:rsidR="00003A80" w:rsidRPr="005C681C" w:rsidRDefault="00000000" w:rsidP="005C681C">
      <w:pPr>
        <w:pStyle w:val="Ttulo2"/>
        <w:jc w:val="both"/>
        <w:rPr>
          <w:rFonts w:cstheme="majorHAnsi"/>
          <w:szCs w:val="28"/>
        </w:rPr>
      </w:pPr>
      <w:r w:rsidRPr="005C681C">
        <w:rPr>
          <w:rFonts w:cstheme="majorHAnsi"/>
          <w:szCs w:val="28"/>
        </w:rPr>
        <w:t>Sustentabilidade Financeira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03A80" w:rsidRPr="005C681C" w14:paraId="6F614E71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4D3135FA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color w:val="FFFFFF"/>
                <w:sz w:val="20"/>
              </w:rPr>
              <w:t>Indicador</w:t>
            </w:r>
          </w:p>
        </w:tc>
        <w:tc>
          <w:tcPr>
            <w:tcW w:w="4703" w:type="dxa"/>
            <w:shd w:val="clear" w:color="auto" w:fill="1A1A1A"/>
          </w:tcPr>
          <w:p w14:paraId="73F093C1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color w:val="FFFFFF"/>
                <w:sz w:val="20"/>
              </w:rPr>
              <w:t>Valor (Ano 3)</w:t>
            </w:r>
          </w:p>
        </w:tc>
      </w:tr>
      <w:tr w:rsidR="00003A80" w:rsidRPr="005C681C" w14:paraId="2D90A6E0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030B4482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sz w:val="20"/>
              </w:rPr>
              <w:t>Receita total</w:t>
            </w:r>
          </w:p>
        </w:tc>
        <w:tc>
          <w:tcPr>
            <w:tcW w:w="4703" w:type="dxa"/>
            <w:shd w:val="clear" w:color="auto" w:fill="F5F5F5"/>
          </w:tcPr>
          <w:p w14:paraId="624FE1A7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€489.500</w:t>
            </w:r>
          </w:p>
        </w:tc>
      </w:tr>
      <w:tr w:rsidR="00003A80" w:rsidRPr="005C681C" w14:paraId="79E804EA" w14:textId="77777777">
        <w:trPr>
          <w:jc w:val="center"/>
        </w:trPr>
        <w:tc>
          <w:tcPr>
            <w:tcW w:w="4703" w:type="dxa"/>
          </w:tcPr>
          <w:p w14:paraId="215EBCBD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sz w:val="20"/>
              </w:rPr>
              <w:t>Custos operacionais</w:t>
            </w:r>
          </w:p>
        </w:tc>
        <w:tc>
          <w:tcPr>
            <w:tcW w:w="4703" w:type="dxa"/>
          </w:tcPr>
          <w:p w14:paraId="4A7B5E93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€232.080</w:t>
            </w:r>
          </w:p>
        </w:tc>
      </w:tr>
      <w:tr w:rsidR="00003A80" w:rsidRPr="005C681C" w14:paraId="773CF965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5118B34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sz w:val="20"/>
              </w:rPr>
              <w:t>Resultado operacional</w:t>
            </w:r>
          </w:p>
        </w:tc>
        <w:tc>
          <w:tcPr>
            <w:tcW w:w="4703" w:type="dxa"/>
            <w:shd w:val="clear" w:color="auto" w:fill="F5F5F5"/>
          </w:tcPr>
          <w:p w14:paraId="1D163005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€257.420</w:t>
            </w:r>
          </w:p>
        </w:tc>
      </w:tr>
      <w:tr w:rsidR="00003A80" w:rsidRPr="005C681C" w14:paraId="63B48FD3" w14:textId="77777777">
        <w:trPr>
          <w:jc w:val="center"/>
        </w:trPr>
        <w:tc>
          <w:tcPr>
            <w:tcW w:w="4703" w:type="dxa"/>
          </w:tcPr>
          <w:p w14:paraId="79387FC3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sz w:val="20"/>
              </w:rPr>
              <w:t>Margem operacional</w:t>
            </w:r>
          </w:p>
        </w:tc>
        <w:tc>
          <w:tcPr>
            <w:tcW w:w="4703" w:type="dxa"/>
          </w:tcPr>
          <w:p w14:paraId="078A6796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52,6%</w:t>
            </w:r>
          </w:p>
        </w:tc>
      </w:tr>
      <w:tr w:rsidR="00003A80" w:rsidRPr="005C681C" w14:paraId="023FBFB6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20FE838C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sz w:val="20"/>
              </w:rPr>
              <w:t>Retorno (com 50% fundo perdido)</w:t>
            </w:r>
          </w:p>
        </w:tc>
        <w:tc>
          <w:tcPr>
            <w:tcW w:w="4703" w:type="dxa"/>
            <w:shd w:val="clear" w:color="auto" w:fill="F5F5F5"/>
          </w:tcPr>
          <w:p w14:paraId="5F0948EE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~4 anos</w:t>
            </w:r>
          </w:p>
        </w:tc>
      </w:tr>
      <w:tr w:rsidR="00003A80" w:rsidRPr="005C681C" w14:paraId="15B3FCA0" w14:textId="77777777">
        <w:trPr>
          <w:jc w:val="center"/>
        </w:trPr>
        <w:tc>
          <w:tcPr>
            <w:tcW w:w="4703" w:type="dxa"/>
          </w:tcPr>
          <w:p w14:paraId="62AA5626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b/>
                <w:sz w:val="20"/>
              </w:rPr>
              <w:t>Postos de trabalho</w:t>
            </w:r>
          </w:p>
        </w:tc>
        <w:tc>
          <w:tcPr>
            <w:tcW w:w="4703" w:type="dxa"/>
          </w:tcPr>
          <w:p w14:paraId="3BB7D004" w14:textId="77777777" w:rsidR="00003A80" w:rsidRPr="005C681C" w:rsidRDefault="00000000" w:rsidP="005C681C">
            <w:pPr>
              <w:jc w:val="both"/>
              <w:rPr>
                <w:rFonts w:asciiTheme="majorHAnsi" w:hAnsiTheme="majorHAnsi" w:cstheme="majorHAnsi"/>
              </w:rPr>
            </w:pPr>
            <w:r w:rsidRPr="005C681C">
              <w:rPr>
                <w:rFonts w:asciiTheme="majorHAnsi" w:hAnsiTheme="majorHAnsi" w:cstheme="majorHAnsi"/>
                <w:sz w:val="20"/>
              </w:rPr>
              <w:t>12 diretos + 15 indiretos</w:t>
            </w:r>
          </w:p>
        </w:tc>
      </w:tr>
    </w:tbl>
    <w:p w14:paraId="34EF516E" w14:textId="77777777" w:rsidR="00003A80" w:rsidRPr="005C681C" w:rsidRDefault="00003A80" w:rsidP="005C681C">
      <w:pPr>
        <w:jc w:val="both"/>
        <w:rPr>
          <w:rFonts w:asciiTheme="majorHAnsi" w:hAnsiTheme="majorHAnsi" w:cstheme="majorHAnsi"/>
        </w:rPr>
      </w:pPr>
    </w:p>
    <w:p w14:paraId="5C13B17D" w14:textId="77777777" w:rsidR="00003A80" w:rsidRPr="005C681C" w:rsidRDefault="00000000" w:rsidP="005C681C">
      <w:pPr>
        <w:spacing w:before="120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A8D0204" w14:textId="77777777" w:rsidR="00003A80" w:rsidRPr="005C681C" w:rsidRDefault="00000000" w:rsidP="005C681C">
      <w:pPr>
        <w:pStyle w:val="Ttulo2"/>
        <w:jc w:val="both"/>
        <w:rPr>
          <w:rFonts w:cstheme="majorHAnsi"/>
          <w:szCs w:val="28"/>
        </w:rPr>
      </w:pPr>
      <w:r w:rsidRPr="005C681C">
        <w:rPr>
          <w:rFonts w:cstheme="majorHAnsi"/>
          <w:szCs w:val="28"/>
        </w:rPr>
        <w:lastRenderedPageBreak/>
        <w:t>Impacto Social</w:t>
      </w:r>
    </w:p>
    <w:p w14:paraId="0E934C17" w14:textId="77777777" w:rsidR="00003A80" w:rsidRPr="005C681C" w:rsidRDefault="00000000" w:rsidP="005C681C">
      <w:pPr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 xml:space="preserve">O projeto gera impacto em cinco dimensões: </w:t>
      </w:r>
      <w:r w:rsidRPr="005C681C">
        <w:rPr>
          <w:rFonts w:asciiTheme="majorHAnsi" w:hAnsiTheme="majorHAnsi" w:cstheme="majorHAnsi"/>
          <w:b/>
        </w:rPr>
        <w:t>preservação patrimonial</w:t>
      </w:r>
      <w:r w:rsidRPr="005C681C">
        <w:rPr>
          <w:rFonts w:asciiTheme="majorHAnsi" w:hAnsiTheme="majorHAnsi" w:cstheme="majorHAnsi"/>
        </w:rPr>
        <w:t xml:space="preserve"> (restauro do solar e jardins históricos), </w:t>
      </w:r>
      <w:r w:rsidRPr="005C681C">
        <w:rPr>
          <w:rFonts w:asciiTheme="majorHAnsi" w:hAnsiTheme="majorHAnsi" w:cstheme="majorHAnsi"/>
          <w:b/>
        </w:rPr>
        <w:t>formação profissional</w:t>
      </w:r>
      <w:r w:rsidRPr="005C681C">
        <w:rPr>
          <w:rFonts w:asciiTheme="majorHAnsi" w:hAnsiTheme="majorHAnsi" w:cstheme="majorHAnsi"/>
        </w:rPr>
        <w:t xml:space="preserve"> (40-60 formandos/ano em ofícios tradicionais), </w:t>
      </w:r>
      <w:r w:rsidRPr="005C681C">
        <w:rPr>
          <w:rFonts w:asciiTheme="majorHAnsi" w:hAnsiTheme="majorHAnsi" w:cstheme="majorHAnsi"/>
          <w:b/>
        </w:rPr>
        <w:t>emprego</w:t>
      </w:r>
      <w:r w:rsidRPr="005C681C">
        <w:rPr>
          <w:rFonts w:asciiTheme="majorHAnsi" w:hAnsiTheme="majorHAnsi" w:cstheme="majorHAnsi"/>
        </w:rPr>
        <w:t xml:space="preserve"> (12 postos diretos + 15 indiretos), </w:t>
      </w:r>
      <w:r w:rsidRPr="005C681C">
        <w:rPr>
          <w:rFonts w:asciiTheme="majorHAnsi" w:hAnsiTheme="majorHAnsi" w:cstheme="majorHAnsi"/>
          <w:b/>
        </w:rPr>
        <w:t>turismo</w:t>
      </w:r>
      <w:r w:rsidRPr="005C681C">
        <w:rPr>
          <w:rFonts w:asciiTheme="majorHAnsi" w:hAnsiTheme="majorHAnsi" w:cstheme="majorHAnsi"/>
        </w:rPr>
        <w:t xml:space="preserve"> (6.000 visitantes/ano no Ano 3) e </w:t>
      </w:r>
      <w:r w:rsidRPr="005C681C">
        <w:rPr>
          <w:rFonts w:asciiTheme="majorHAnsi" w:hAnsiTheme="majorHAnsi" w:cstheme="majorHAnsi"/>
          <w:b/>
        </w:rPr>
        <w:t>cultura</w:t>
      </w:r>
      <w:r w:rsidRPr="005C681C">
        <w:rPr>
          <w:rFonts w:asciiTheme="majorHAnsi" w:hAnsiTheme="majorHAnsi" w:cstheme="majorHAnsi"/>
        </w:rPr>
        <w:t xml:space="preserve"> (12 eventos anuais em parceria com a Banda Visconde de Salreu).</w:t>
      </w:r>
    </w:p>
    <w:p w14:paraId="43DAD2C4" w14:textId="77777777" w:rsidR="00003A80" w:rsidRPr="005C681C" w:rsidRDefault="00000000" w:rsidP="005C681C">
      <w:pPr>
        <w:spacing w:before="120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CD47CD3" w14:textId="77777777" w:rsidR="00003A80" w:rsidRPr="005C681C" w:rsidRDefault="00000000" w:rsidP="005C681C">
      <w:pPr>
        <w:spacing w:before="120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EC57967" w14:textId="77777777" w:rsidR="00003A80" w:rsidRPr="005C681C" w:rsidRDefault="00000000" w:rsidP="005C681C">
      <w:pPr>
        <w:pStyle w:val="Ttulo2"/>
        <w:jc w:val="both"/>
        <w:rPr>
          <w:rFonts w:cstheme="majorHAnsi"/>
          <w:szCs w:val="28"/>
        </w:rPr>
      </w:pPr>
      <w:r w:rsidRPr="005C681C">
        <w:rPr>
          <w:rFonts w:cstheme="majorHAnsi"/>
          <w:szCs w:val="28"/>
        </w:rPr>
        <w:t>Próximos Passos</w:t>
      </w:r>
    </w:p>
    <w:p w14:paraId="38CF3A96" w14:textId="77777777" w:rsidR="00003A80" w:rsidRPr="005C681C" w:rsidRDefault="00000000" w:rsidP="005C681C">
      <w:pPr>
        <w:pStyle w:val="Numerada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>Constituição formal da Associação (IPSS)</w:t>
      </w:r>
    </w:p>
    <w:p w14:paraId="010761FD" w14:textId="77777777" w:rsidR="00003A80" w:rsidRPr="005C681C" w:rsidRDefault="00000000" w:rsidP="005C681C">
      <w:pPr>
        <w:pStyle w:val="Numerada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>Elaboração de candidaturas a Portugal 2030 e PRR</w:t>
      </w:r>
    </w:p>
    <w:p w14:paraId="1346E40E" w14:textId="77777777" w:rsidR="00003A80" w:rsidRPr="005C681C" w:rsidRDefault="00000000" w:rsidP="005C681C">
      <w:pPr>
        <w:pStyle w:val="Numerada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>Celebração de protocolos com parceiros (Banda, IEFP, Câmara)</w:t>
      </w:r>
    </w:p>
    <w:p w14:paraId="21A7A8F5" w14:textId="77777777" w:rsidR="00003A80" w:rsidRPr="005C681C" w:rsidRDefault="00000000" w:rsidP="005C681C">
      <w:pPr>
        <w:pStyle w:val="Numerada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>Início dos projetos de arquitetura e licenciamento</w:t>
      </w:r>
    </w:p>
    <w:p w14:paraId="38098301" w14:textId="77777777" w:rsidR="00003A80" w:rsidRPr="005C681C" w:rsidRDefault="00000000" w:rsidP="005C681C">
      <w:pPr>
        <w:pStyle w:val="Numerada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>Arranque das obras de restauro (Mês 7)</w:t>
      </w:r>
    </w:p>
    <w:p w14:paraId="5FF37DD6" w14:textId="77777777" w:rsidR="00003A80" w:rsidRPr="005C681C" w:rsidRDefault="00000000" w:rsidP="005C681C">
      <w:pPr>
        <w:spacing w:before="120"/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B2F7361" w14:textId="77777777" w:rsidR="00003A80" w:rsidRPr="005C681C" w:rsidRDefault="00000000" w:rsidP="005C681C">
      <w:pPr>
        <w:pStyle w:val="Ttulo2"/>
        <w:jc w:val="both"/>
        <w:rPr>
          <w:rFonts w:cstheme="majorHAnsi"/>
          <w:szCs w:val="28"/>
        </w:rPr>
      </w:pPr>
      <w:r w:rsidRPr="005C681C">
        <w:rPr>
          <w:rFonts w:cstheme="majorHAnsi"/>
          <w:szCs w:val="28"/>
        </w:rPr>
        <w:t>Referências</w:t>
      </w:r>
    </w:p>
    <w:p w14:paraId="066A14A7" w14:textId="77777777" w:rsidR="00003A80" w:rsidRPr="005C681C" w:rsidRDefault="00000000" w:rsidP="005C681C">
      <w:pPr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>[1]: AC Arquitetos — Custos Padrão na Reabilitação (https://www.ac-arquitetos.com)</w:t>
      </w:r>
    </w:p>
    <w:p w14:paraId="58BE197E" w14:textId="479C99A9" w:rsidR="00003A80" w:rsidRPr="005C681C" w:rsidRDefault="00000000" w:rsidP="005C681C">
      <w:pPr>
        <w:jc w:val="both"/>
        <w:rPr>
          <w:rFonts w:asciiTheme="majorHAnsi" w:hAnsiTheme="majorHAnsi" w:cstheme="majorHAnsi"/>
        </w:rPr>
      </w:pPr>
      <w:r w:rsidRPr="005C681C">
        <w:rPr>
          <w:rFonts w:asciiTheme="majorHAnsi" w:hAnsiTheme="majorHAnsi" w:cstheme="majorHAnsi"/>
        </w:rPr>
        <w:t>[2]: PortugalProperty — Hidden Costs of Renovating a Historic Building in Portugal 2025 (https://www.portugalproperty.com)</w:t>
      </w:r>
    </w:p>
    <w:sectPr w:rsidR="00003A80" w:rsidRPr="005C681C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BFA62" w14:textId="77777777" w:rsidR="00FD131C" w:rsidRDefault="00FD131C" w:rsidP="005C681C">
      <w:pPr>
        <w:spacing w:after="0" w:line="240" w:lineRule="auto"/>
      </w:pPr>
      <w:r>
        <w:separator/>
      </w:r>
    </w:p>
  </w:endnote>
  <w:endnote w:type="continuationSeparator" w:id="0">
    <w:p w14:paraId="16E9408E" w14:textId="77777777" w:rsidR="00FD131C" w:rsidRDefault="00FD131C" w:rsidP="005C6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61B9" w14:textId="77777777" w:rsidR="00FD131C" w:rsidRDefault="00FD131C" w:rsidP="005C681C">
      <w:pPr>
        <w:spacing w:after="0" w:line="240" w:lineRule="auto"/>
      </w:pPr>
      <w:r>
        <w:separator/>
      </w:r>
    </w:p>
  </w:footnote>
  <w:footnote w:type="continuationSeparator" w:id="0">
    <w:p w14:paraId="7814E35E" w14:textId="77777777" w:rsidR="00FD131C" w:rsidRDefault="00FD131C" w:rsidP="005C6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5C0D" w14:textId="1B48A143" w:rsidR="005C681C" w:rsidRDefault="005C681C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C5F450C" wp14:editId="37F26BEA">
          <wp:simplePos x="0" y="0"/>
          <wp:positionH relativeFrom="column">
            <wp:posOffset>-999984</wp:posOffset>
          </wp:positionH>
          <wp:positionV relativeFrom="paragraph">
            <wp:posOffset>-802005</wp:posOffset>
          </wp:positionV>
          <wp:extent cx="7860264" cy="10391636"/>
          <wp:effectExtent l="0" t="0" r="1270" b="0"/>
          <wp:wrapNone/>
          <wp:docPr id="205610521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105214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264" cy="1039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316022">
    <w:abstractNumId w:val="8"/>
  </w:num>
  <w:num w:numId="2" w16cid:durableId="1046755732">
    <w:abstractNumId w:val="6"/>
  </w:num>
  <w:num w:numId="3" w16cid:durableId="1745907050">
    <w:abstractNumId w:val="5"/>
  </w:num>
  <w:num w:numId="4" w16cid:durableId="46344279">
    <w:abstractNumId w:val="4"/>
  </w:num>
  <w:num w:numId="5" w16cid:durableId="1748189844">
    <w:abstractNumId w:val="7"/>
  </w:num>
  <w:num w:numId="6" w16cid:durableId="1979845953">
    <w:abstractNumId w:val="3"/>
  </w:num>
  <w:num w:numId="7" w16cid:durableId="266040432">
    <w:abstractNumId w:val="2"/>
  </w:num>
  <w:num w:numId="8" w16cid:durableId="1653213122">
    <w:abstractNumId w:val="1"/>
  </w:num>
  <w:num w:numId="9" w16cid:durableId="115660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80"/>
    <w:rsid w:val="00034616"/>
    <w:rsid w:val="0006063C"/>
    <w:rsid w:val="0015074B"/>
    <w:rsid w:val="0029639D"/>
    <w:rsid w:val="00326F90"/>
    <w:rsid w:val="005C681C"/>
    <w:rsid w:val="00634172"/>
    <w:rsid w:val="00905725"/>
    <w:rsid w:val="00AA1D8D"/>
    <w:rsid w:val="00B47730"/>
    <w:rsid w:val="00CB0664"/>
    <w:rsid w:val="00DF330D"/>
    <w:rsid w:val="00FC693F"/>
    <w:rsid w:val="00FD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7B60D2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3641</Characters>
  <Application>Microsoft Office Word</Application>
  <DocSecurity>0</DocSecurity>
  <Lines>120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3</cp:revision>
  <cp:lastPrinted>2026-03-10T19:15:00Z</cp:lastPrinted>
  <dcterms:created xsi:type="dcterms:W3CDTF">2026-03-10T19:15:00Z</dcterms:created>
  <dcterms:modified xsi:type="dcterms:W3CDTF">2026-03-10T19:15:00Z</dcterms:modified>
  <cp:category/>
</cp:coreProperties>
</file>