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70C0D" w14:textId="77777777" w:rsidR="00883BC7" w:rsidRDefault="00000000" w:rsidP="00053111">
      <w:pPr>
        <w:pStyle w:val="Ttulo1"/>
        <w:jc w:val="both"/>
      </w:pPr>
      <w:r>
        <w:t>Proposta de Assessoria — Banda Visconde de Salreu</w:t>
      </w:r>
    </w:p>
    <w:p w14:paraId="75360A36" w14:textId="77777777" w:rsidR="00883BC7" w:rsidRDefault="00000000" w:rsidP="00053111">
      <w:pPr>
        <w:jc w:val="both"/>
      </w:pPr>
      <w:r>
        <w:rPr>
          <w:b/>
        </w:rPr>
        <w:t>Versão:</w:t>
      </w:r>
      <w:r>
        <w:t xml:space="preserve"> 2.0</w:t>
      </w:r>
    </w:p>
    <w:p w14:paraId="3532C25D" w14:textId="77777777" w:rsidR="00883BC7" w:rsidRDefault="00000000" w:rsidP="00053111">
      <w:pPr>
        <w:jc w:val="both"/>
      </w:pPr>
      <w:r>
        <w:rPr>
          <w:b/>
        </w:rPr>
        <w:t>Data:</w:t>
      </w:r>
      <w:r>
        <w:t xml:space="preserve"> 10 de março de 2026</w:t>
      </w:r>
    </w:p>
    <w:p w14:paraId="67AF0DB5" w14:textId="77777777" w:rsidR="00883BC7" w:rsidRDefault="00000000" w:rsidP="00053111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1ADB969" w14:textId="77777777" w:rsidR="00883BC7" w:rsidRDefault="00000000" w:rsidP="00053111">
      <w:pPr>
        <w:pStyle w:val="Ttulo2"/>
        <w:jc w:val="both"/>
      </w:pPr>
      <w:r>
        <w:t>1. Enquadramento</w:t>
      </w:r>
    </w:p>
    <w:p w14:paraId="40AED71F" w14:textId="77777777" w:rsidR="00883BC7" w:rsidRDefault="00000000" w:rsidP="00053111">
      <w:pPr>
        <w:jc w:val="both"/>
      </w:pPr>
      <w:r>
        <w:t xml:space="preserve">A </w:t>
      </w:r>
      <w:r>
        <w:rPr>
          <w:b/>
        </w:rPr>
        <w:t>Banda Visconde de Salreu</w:t>
      </w:r>
      <w:r>
        <w:t xml:space="preserve"> é uma associação cultural e recreativa fundada em 1 de outubro de 1925, com sede na freguesia de Salreu, concelho de Estarreja. Os seus estatutos, alterados por escritura de 20 de julho de 1984 e publicados no Diário da República, III Série, N.º 228, de 1 de outubro de 1984, definem como objeto social a realização de atividades culturais e recreativas e a manutenção da banda de música e de escolas de aprendizagem musical.</w:t>
      </w:r>
    </w:p>
    <w:p w14:paraId="0E7FA245" w14:textId="77777777" w:rsidR="00883BC7" w:rsidRDefault="00000000" w:rsidP="00053111">
      <w:pPr>
        <w:jc w:val="both"/>
      </w:pPr>
      <w:r>
        <w:t xml:space="preserve">A Banda é uma das mais antigas filarmónicas da região de Aveiro, com quase um século de história ininterrupta ao serviço da comunidade de Salreu. Atualmente, a associação mantém uma escola de música com alunos de todas as idades e dispõe de espaço físico próprio para ensaios e aulas. Na reunião de 23 de fevereiro de 2026, ficou decidido que a Banda será </w:t>
      </w:r>
      <w:r>
        <w:rPr>
          <w:b/>
        </w:rPr>
        <w:t>parceira cultural estratégica</w:t>
      </w:r>
      <w:r>
        <w:t xml:space="preserve"> do projeto da Quinta do Visconde de Salreu, mas não a entidade gestora principal. A gestão do projeto ficará a cargo de uma </w:t>
      </w:r>
      <w:r>
        <w:rPr>
          <w:b/>
        </w:rPr>
        <w:t>IPSS própria</w:t>
      </w:r>
      <w:r>
        <w:t xml:space="preserve"> — a Associação para a Preservação e Valorização da Quinta do Visconde de Salreu — com proprietários distintos.</w:t>
      </w:r>
    </w:p>
    <w:p w14:paraId="5180FB05" w14:textId="77777777" w:rsidR="00883BC7" w:rsidRDefault="00000000" w:rsidP="00053111">
      <w:pPr>
        <w:jc w:val="both"/>
      </w:pPr>
      <w:r>
        <w:t xml:space="preserve">O </w:t>
      </w:r>
      <w:r>
        <w:rPr>
          <w:b/>
        </w:rPr>
        <w:t>Instituto Português de Negócios Sociais (IPNS)</w:t>
      </w:r>
      <w:r>
        <w:t xml:space="preserve"> propõe assessorar a Banda Visconde de Salreu na modernização da sua estrutura associativa, na captação de recursos e na integração com o projeto de restauro e valorização da Quinta.</w:t>
      </w:r>
    </w:p>
    <w:p w14:paraId="5C2AD35E" w14:textId="77777777" w:rsidR="00883BC7" w:rsidRDefault="00000000" w:rsidP="00053111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1FBB435" w14:textId="77777777" w:rsidR="00883BC7" w:rsidRDefault="00000000" w:rsidP="00053111">
      <w:pPr>
        <w:pStyle w:val="Ttulo2"/>
        <w:jc w:val="both"/>
      </w:pPr>
      <w:r>
        <w:t>2. Diagnóstico da Situação Atual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83BC7" w14:paraId="17A27829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603D4725" w14:textId="77777777" w:rsidR="00883BC7" w:rsidRDefault="00000000" w:rsidP="00053111">
            <w:pPr>
              <w:jc w:val="both"/>
            </w:pPr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w="3135" w:type="dxa"/>
            <w:shd w:val="clear" w:color="auto" w:fill="1A1A1A"/>
          </w:tcPr>
          <w:p w14:paraId="29DF33E1" w14:textId="77777777" w:rsidR="00883BC7" w:rsidRDefault="00000000" w:rsidP="00053111">
            <w:pPr>
              <w:jc w:val="both"/>
            </w:pPr>
            <w:r>
              <w:rPr>
                <w:b/>
                <w:color w:val="FFFFFF"/>
                <w:sz w:val="20"/>
              </w:rPr>
              <w:t>Situação Atual</w:t>
            </w:r>
          </w:p>
        </w:tc>
        <w:tc>
          <w:tcPr>
            <w:tcW w:w="3135" w:type="dxa"/>
            <w:shd w:val="clear" w:color="auto" w:fill="1A1A1A"/>
          </w:tcPr>
          <w:p w14:paraId="72D6059E" w14:textId="77777777" w:rsidR="00883BC7" w:rsidRDefault="00000000" w:rsidP="00053111">
            <w:pPr>
              <w:jc w:val="both"/>
            </w:pPr>
            <w:r>
              <w:rPr>
                <w:b/>
                <w:color w:val="FFFFFF"/>
                <w:sz w:val="20"/>
              </w:rPr>
              <w:t>Oportunidade</w:t>
            </w:r>
          </w:p>
        </w:tc>
      </w:tr>
      <w:tr w:rsidR="00883BC7" w14:paraId="267196E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EE876D0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Estatutos</w:t>
            </w:r>
          </w:p>
        </w:tc>
        <w:tc>
          <w:tcPr>
            <w:tcW w:w="3135" w:type="dxa"/>
            <w:shd w:val="clear" w:color="auto" w:fill="F5F5F5"/>
          </w:tcPr>
          <w:p w14:paraId="4722F310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Datam de 1984, com linguagem e estrutura desatualizadas</w:t>
            </w:r>
          </w:p>
        </w:tc>
        <w:tc>
          <w:tcPr>
            <w:tcW w:w="3135" w:type="dxa"/>
            <w:shd w:val="clear" w:color="auto" w:fill="F5F5F5"/>
          </w:tcPr>
          <w:p w14:paraId="22D37D10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Revisão estatutária para incluir novas atividades culturais e possibilitar candidaturas a fundos</w:t>
            </w:r>
          </w:p>
        </w:tc>
      </w:tr>
      <w:tr w:rsidR="00883BC7" w14:paraId="2B72CDAA" w14:textId="77777777">
        <w:trPr>
          <w:jc w:val="center"/>
        </w:trPr>
        <w:tc>
          <w:tcPr>
            <w:tcW w:w="3135" w:type="dxa"/>
          </w:tcPr>
          <w:p w14:paraId="6EB69EFD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Objeto Social</w:t>
            </w:r>
          </w:p>
        </w:tc>
        <w:tc>
          <w:tcPr>
            <w:tcW w:w="3135" w:type="dxa"/>
          </w:tcPr>
          <w:p w14:paraId="6EFE3AE8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Limitado a "atividades culturais e recreativas" e "banda de música"</w:t>
            </w:r>
          </w:p>
        </w:tc>
        <w:tc>
          <w:tcPr>
            <w:tcW w:w="3135" w:type="dxa"/>
          </w:tcPr>
          <w:p w14:paraId="2A26BECF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Ampliação para incluir formação profissional em artes, preservação cultural e turismo</w:t>
            </w:r>
          </w:p>
        </w:tc>
      </w:tr>
      <w:tr w:rsidR="00883BC7" w14:paraId="5584B6AE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E48AAA7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Categorias de Sócios</w:t>
            </w:r>
          </w:p>
        </w:tc>
        <w:tc>
          <w:tcPr>
            <w:tcW w:w="3135" w:type="dxa"/>
            <w:shd w:val="clear" w:color="auto" w:fill="F5F5F5"/>
          </w:tcPr>
          <w:p w14:paraId="74C7B5D6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 xml:space="preserve">Juvenis, efetivos, mérito, </w:t>
            </w:r>
            <w:r>
              <w:rPr>
                <w:sz w:val="20"/>
              </w:rPr>
              <w:lastRenderedPageBreak/>
              <w:t>beneméritos, honorários</w:t>
            </w:r>
          </w:p>
        </w:tc>
        <w:tc>
          <w:tcPr>
            <w:tcW w:w="3135" w:type="dxa"/>
            <w:shd w:val="clear" w:color="auto" w:fill="F5F5F5"/>
          </w:tcPr>
          <w:p w14:paraId="2C97C59C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lastRenderedPageBreak/>
              <w:t xml:space="preserve">Modernização para incluir sócios </w:t>
            </w:r>
            <w:r>
              <w:rPr>
                <w:sz w:val="20"/>
              </w:rPr>
              <w:lastRenderedPageBreak/>
              <w:t>institucionais e patrocinadores</w:t>
            </w:r>
          </w:p>
        </w:tc>
      </w:tr>
      <w:tr w:rsidR="00883BC7" w14:paraId="26D64911" w14:textId="77777777">
        <w:trPr>
          <w:jc w:val="center"/>
        </w:trPr>
        <w:tc>
          <w:tcPr>
            <w:tcW w:w="3135" w:type="dxa"/>
          </w:tcPr>
          <w:p w14:paraId="5F611636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lastRenderedPageBreak/>
              <w:t>Mandatos</w:t>
            </w:r>
          </w:p>
        </w:tc>
        <w:tc>
          <w:tcPr>
            <w:tcW w:w="3135" w:type="dxa"/>
          </w:tcPr>
          <w:p w14:paraId="2A9E1020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2 anos</w:t>
            </w:r>
          </w:p>
        </w:tc>
        <w:tc>
          <w:tcPr>
            <w:tcW w:w="3135" w:type="dxa"/>
          </w:tcPr>
          <w:p w14:paraId="0CDD74CB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Considerar alargamento para 3 anos, alinhado com ciclos de candidaturas</w:t>
            </w:r>
          </w:p>
        </w:tc>
      </w:tr>
      <w:tr w:rsidR="00883BC7" w14:paraId="6AEEBE0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5BDE94C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Financiamento</w:t>
            </w:r>
          </w:p>
        </w:tc>
        <w:tc>
          <w:tcPr>
            <w:tcW w:w="3135" w:type="dxa"/>
            <w:shd w:val="clear" w:color="auto" w:fill="F5F5F5"/>
          </w:tcPr>
          <w:p w14:paraId="61ABAD19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Quotas, subsídios, dádivas</w:t>
            </w:r>
          </w:p>
        </w:tc>
        <w:tc>
          <w:tcPr>
            <w:tcW w:w="3135" w:type="dxa"/>
            <w:shd w:val="clear" w:color="auto" w:fill="F5F5F5"/>
          </w:tcPr>
          <w:p w14:paraId="121C8388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Diversificação com fundos europeus, mecenato e receitas de atividades</w:t>
            </w:r>
          </w:p>
        </w:tc>
      </w:tr>
      <w:tr w:rsidR="00883BC7" w14:paraId="55A22780" w14:textId="77777777">
        <w:trPr>
          <w:jc w:val="center"/>
        </w:trPr>
        <w:tc>
          <w:tcPr>
            <w:tcW w:w="3135" w:type="dxa"/>
          </w:tcPr>
          <w:p w14:paraId="63FC6F7A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Infraestrutura</w:t>
            </w:r>
          </w:p>
        </w:tc>
        <w:tc>
          <w:tcPr>
            <w:tcW w:w="3135" w:type="dxa"/>
          </w:tcPr>
          <w:p w14:paraId="664D74DC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Espaço físico para escola de música</w:t>
            </w:r>
          </w:p>
        </w:tc>
        <w:tc>
          <w:tcPr>
            <w:tcW w:w="3135" w:type="dxa"/>
          </w:tcPr>
          <w:p w14:paraId="4488F815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Integração com espaços da Quinta para concertos e formação</w:t>
            </w:r>
          </w:p>
        </w:tc>
      </w:tr>
      <w:tr w:rsidR="00883BC7" w14:paraId="368EC8A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8D24C97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Estatuto IPSS</w:t>
            </w:r>
          </w:p>
        </w:tc>
        <w:tc>
          <w:tcPr>
            <w:tcW w:w="3135" w:type="dxa"/>
            <w:shd w:val="clear" w:color="auto" w:fill="F5F5F5"/>
          </w:tcPr>
          <w:p w14:paraId="46D116B2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Não possui</w:t>
            </w:r>
          </w:p>
        </w:tc>
        <w:tc>
          <w:tcPr>
            <w:tcW w:w="3135" w:type="dxa"/>
            <w:shd w:val="clear" w:color="auto" w:fill="F5F5F5"/>
          </w:tcPr>
          <w:p w14:paraId="5E607C56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Possibilidade futura de requerer estatuto de IPSS para aceder a benefícios fiscais</w:t>
            </w:r>
          </w:p>
        </w:tc>
      </w:tr>
    </w:tbl>
    <w:p w14:paraId="1EB3BD14" w14:textId="77777777" w:rsidR="00883BC7" w:rsidRDefault="00883BC7" w:rsidP="00053111">
      <w:pPr>
        <w:jc w:val="both"/>
      </w:pPr>
    </w:p>
    <w:p w14:paraId="70697404" w14:textId="77777777" w:rsidR="00883BC7" w:rsidRDefault="00000000" w:rsidP="00053111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894AFCC" w14:textId="77777777" w:rsidR="00883BC7" w:rsidRDefault="00000000" w:rsidP="00053111">
      <w:pPr>
        <w:pStyle w:val="Ttulo2"/>
        <w:jc w:val="both"/>
      </w:pPr>
      <w:r>
        <w:t>3. Proposta de Assessoria</w:t>
      </w:r>
    </w:p>
    <w:p w14:paraId="1B28DFA2" w14:textId="77777777" w:rsidR="00883BC7" w:rsidRDefault="00000000" w:rsidP="00053111">
      <w:pPr>
        <w:pStyle w:val="Ttulo3"/>
        <w:jc w:val="both"/>
      </w:pPr>
      <w:r>
        <w:t>3.1. Revisão Estatutária</w:t>
      </w:r>
    </w:p>
    <w:p w14:paraId="0A17F803" w14:textId="77777777" w:rsidR="00883BC7" w:rsidRDefault="00000000" w:rsidP="00053111">
      <w:pPr>
        <w:jc w:val="both"/>
      </w:pPr>
      <w:r>
        <w:t>O IPNS propõe assessorar a Banda na revisão dos seus estatutos, adequando-os à legislação vigente e ampliando o objeto social. A revisão estatutária deverá manter a identidade centenária da associação, preservando a denominação e a sede, ao mesmo tempo que moderniza a estrutura para permitir novas atividades. O novo objeto social passará a incluir, além da manutenção da banda de música e das escolas de aprendizagem musical, a promoção e preservação do património cultural e imaterial da região de Salreu e Estarreja, a formação profissional em artes e ofícios tradicionais, a realização de eventos culturais e turísticos em espaços patrimoniais, e a cooperação com entidades públicas e privadas para o desenvolvimento comunitário.</w:t>
      </w:r>
    </w:p>
    <w:p w14:paraId="54923A5E" w14:textId="77777777" w:rsidR="00883BC7" w:rsidRDefault="00000000" w:rsidP="00053111">
      <w:pPr>
        <w:jc w:val="both"/>
      </w:pPr>
      <w:r>
        <w:t>As categorias de sócios serão atualizadas para incluir sócios institucionais (entidades parceiras) e patrocinadores (empresas e mecenas), e os mandatos dos órgãos sociais poderão ser alargados de dois para três anos, facilitando a continuidade de projetos plurianuais.</w:t>
      </w:r>
    </w:p>
    <w:p w14:paraId="08D61998" w14:textId="77777777" w:rsidR="00883BC7" w:rsidRDefault="00000000" w:rsidP="00053111">
      <w:pPr>
        <w:pStyle w:val="Ttulo3"/>
        <w:jc w:val="both"/>
      </w:pPr>
      <w:r>
        <w:t>3.2. Candidatura a Estatuto de IPSS (Fase Futura)</w:t>
      </w:r>
    </w:p>
    <w:p w14:paraId="18A08FD9" w14:textId="77777777" w:rsidR="00883BC7" w:rsidRDefault="00000000" w:rsidP="00053111">
      <w:pPr>
        <w:jc w:val="both"/>
      </w:pPr>
      <w:r>
        <w:t>Caso a Banda pretenda aceder a benefícios fiscais e programas de financiamento específicos do terceiro setor, o IPNS assessorará o processo de candidatura ao estatuto de Instituição Particular de Solidariedade Social (IPSS), nos termos do Decreto-Lei n.º 119/83, de 25 de fevereiro. Este processo implica a verificação do cumprimento dos requisitos legais, a adequação dos estatutos, a preparação da documentação e a submissão do pedido à Direção-Geral da Segurança Social. O prazo estimado para obtenção do estatuto é de aproximadamente 90 dias após submissão.</w:t>
      </w:r>
    </w:p>
    <w:p w14:paraId="62BB3113" w14:textId="77777777" w:rsidR="00883BC7" w:rsidRDefault="00000000" w:rsidP="00053111">
      <w:pPr>
        <w:pStyle w:val="Ttulo3"/>
        <w:jc w:val="both"/>
      </w:pPr>
      <w:r>
        <w:lastRenderedPageBreak/>
        <w:t>3.3. Integração com o Projeto da Quinta do Visconde de Salreu</w:t>
      </w:r>
    </w:p>
    <w:p w14:paraId="42569D6A" w14:textId="77777777" w:rsidR="00883BC7" w:rsidRDefault="00000000" w:rsidP="00053111">
      <w:pPr>
        <w:jc w:val="both"/>
      </w:pPr>
      <w:r>
        <w:t xml:space="preserve">A Banda atuará como </w:t>
      </w:r>
      <w:r>
        <w:rPr>
          <w:b/>
        </w:rPr>
        <w:t>parceira cultural</w:t>
      </w:r>
      <w:r>
        <w:t xml:space="preserve"> do projeto, sem assumir a gestão direta da Quinta (que ficará a cargo da IPSS própria). O modelo de colaboração prevê as seguintes componentes: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83BC7" w14:paraId="5C933EDA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0FE1BA7C" w14:textId="77777777" w:rsidR="00883BC7" w:rsidRDefault="00000000" w:rsidP="00053111">
            <w:pPr>
              <w:jc w:val="both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61BBEBC1" w14:textId="77777777" w:rsidR="00883BC7" w:rsidRDefault="00000000" w:rsidP="00053111">
            <w:pPr>
              <w:jc w:val="both"/>
            </w:pPr>
            <w:r>
              <w:rPr>
                <w:b/>
                <w:color w:val="FFFFFF"/>
                <w:sz w:val="20"/>
              </w:rPr>
              <w:t>Papel da Banda</w:t>
            </w:r>
          </w:p>
        </w:tc>
        <w:tc>
          <w:tcPr>
            <w:tcW w:w="2351" w:type="dxa"/>
            <w:shd w:val="clear" w:color="auto" w:fill="1A1A1A"/>
          </w:tcPr>
          <w:p w14:paraId="01503A9C" w14:textId="77777777" w:rsidR="00883BC7" w:rsidRDefault="00000000" w:rsidP="00053111">
            <w:pPr>
              <w:jc w:val="both"/>
            </w:pPr>
            <w:r>
              <w:rPr>
                <w:b/>
                <w:color w:val="FFFFFF"/>
                <w:sz w:val="20"/>
              </w:rPr>
              <w:t>Papel da IPSS da Quinta</w:t>
            </w:r>
          </w:p>
        </w:tc>
        <w:tc>
          <w:tcPr>
            <w:tcW w:w="2351" w:type="dxa"/>
            <w:shd w:val="clear" w:color="auto" w:fill="1A1A1A"/>
          </w:tcPr>
          <w:p w14:paraId="7DE530EF" w14:textId="77777777" w:rsidR="00883BC7" w:rsidRDefault="00000000" w:rsidP="00053111">
            <w:pPr>
              <w:jc w:val="both"/>
            </w:pPr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 w:rsidR="00883BC7" w14:paraId="785E470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7DF2A82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Concertos nos Jardins</w:t>
            </w:r>
          </w:p>
        </w:tc>
        <w:tc>
          <w:tcPr>
            <w:tcW w:w="2351" w:type="dxa"/>
            <w:shd w:val="clear" w:color="auto" w:fill="F5F5F5"/>
          </w:tcPr>
          <w:p w14:paraId="676E739F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Programação musical, execução de concertos</w:t>
            </w:r>
          </w:p>
        </w:tc>
        <w:tc>
          <w:tcPr>
            <w:tcW w:w="2351" w:type="dxa"/>
            <w:shd w:val="clear" w:color="auto" w:fill="F5F5F5"/>
          </w:tcPr>
          <w:p w14:paraId="13569606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Coordenação logística, promoção turística</w:t>
            </w:r>
          </w:p>
        </w:tc>
        <w:tc>
          <w:tcPr>
            <w:tcW w:w="2351" w:type="dxa"/>
            <w:shd w:val="clear" w:color="auto" w:fill="F5F5F5"/>
          </w:tcPr>
          <w:p w14:paraId="7BC60FEF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Eventos sazonais (primavera, verão, Natal)</w:t>
            </w:r>
          </w:p>
        </w:tc>
      </w:tr>
      <w:tr w:rsidR="00883BC7" w14:paraId="643FAF50" w14:textId="77777777">
        <w:trPr>
          <w:jc w:val="center"/>
        </w:trPr>
        <w:tc>
          <w:tcPr>
            <w:tcW w:w="2351" w:type="dxa"/>
          </w:tcPr>
          <w:p w14:paraId="53D78D1E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Escola de Música</w:t>
            </w:r>
          </w:p>
        </w:tc>
        <w:tc>
          <w:tcPr>
            <w:tcW w:w="2351" w:type="dxa"/>
          </w:tcPr>
          <w:p w14:paraId="0F4D8CF2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Ensino musical, gestão pedagógica</w:t>
            </w:r>
          </w:p>
        </w:tc>
        <w:tc>
          <w:tcPr>
            <w:tcW w:w="2351" w:type="dxa"/>
          </w:tcPr>
          <w:p w14:paraId="2D24D99C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Captação de fundos para instrumentos e bolsas</w:t>
            </w:r>
          </w:p>
        </w:tc>
        <w:tc>
          <w:tcPr>
            <w:tcW w:w="2351" w:type="dxa"/>
          </w:tcPr>
          <w:p w14:paraId="79BD0A43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Ampliação do número de alunos (30-50/ano)</w:t>
            </w:r>
          </w:p>
        </w:tc>
      </w:tr>
      <w:tr w:rsidR="00883BC7" w14:paraId="77495118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A357D61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Formação em Artes</w:t>
            </w:r>
          </w:p>
        </w:tc>
        <w:tc>
          <w:tcPr>
            <w:tcW w:w="2351" w:type="dxa"/>
            <w:shd w:val="clear" w:color="auto" w:fill="F5F5F5"/>
          </w:tcPr>
          <w:p w14:paraId="7117F2F6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Espaço e comunidade local</w:t>
            </w:r>
          </w:p>
        </w:tc>
        <w:tc>
          <w:tcPr>
            <w:tcW w:w="2351" w:type="dxa"/>
            <w:shd w:val="clear" w:color="auto" w:fill="F5F5F5"/>
          </w:tcPr>
          <w:p w14:paraId="3ED0C9D1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Desenvolvimento curricular, certificação IEFP</w:t>
            </w:r>
          </w:p>
        </w:tc>
        <w:tc>
          <w:tcPr>
            <w:tcW w:w="2351" w:type="dxa"/>
            <w:shd w:val="clear" w:color="auto" w:fill="F5F5F5"/>
          </w:tcPr>
          <w:p w14:paraId="6ADB39E7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Programas certificados em artes e ofícios</w:t>
            </w:r>
          </w:p>
        </w:tc>
      </w:tr>
      <w:tr w:rsidR="00883BC7" w14:paraId="63DDEE6E" w14:textId="77777777">
        <w:trPr>
          <w:jc w:val="center"/>
        </w:trPr>
        <w:tc>
          <w:tcPr>
            <w:tcW w:w="2351" w:type="dxa"/>
          </w:tcPr>
          <w:p w14:paraId="52B9016D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Turismo Cultural</w:t>
            </w:r>
          </w:p>
        </w:tc>
        <w:tc>
          <w:tcPr>
            <w:tcW w:w="2351" w:type="dxa"/>
          </w:tcPr>
          <w:p w14:paraId="1E78883E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Apresentações para visitantes</w:t>
            </w:r>
          </w:p>
        </w:tc>
        <w:tc>
          <w:tcPr>
            <w:tcW w:w="2351" w:type="dxa"/>
          </w:tcPr>
          <w:p w14:paraId="110F7D9B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Marketing, plataformas de reserva</w:t>
            </w:r>
          </w:p>
        </w:tc>
        <w:tc>
          <w:tcPr>
            <w:tcW w:w="2351" w:type="dxa"/>
          </w:tcPr>
          <w:p w14:paraId="1A5256F0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Receita adicional para ambas as entidades</w:t>
            </w:r>
          </w:p>
        </w:tc>
      </w:tr>
    </w:tbl>
    <w:p w14:paraId="5410E978" w14:textId="77777777" w:rsidR="00883BC7" w:rsidRDefault="00883BC7" w:rsidP="00053111">
      <w:pPr>
        <w:jc w:val="both"/>
      </w:pPr>
    </w:p>
    <w:p w14:paraId="27D995EF" w14:textId="77777777" w:rsidR="00883BC7" w:rsidRDefault="00000000" w:rsidP="00053111">
      <w:pPr>
        <w:pStyle w:val="Ttulo3"/>
        <w:jc w:val="both"/>
      </w:pPr>
      <w:r>
        <w:t>3.4. Captação de Recursos</w:t>
      </w:r>
    </w:p>
    <w:p w14:paraId="6159B688" w14:textId="77777777" w:rsidR="00883BC7" w:rsidRDefault="00000000" w:rsidP="00053111">
      <w:pPr>
        <w:jc w:val="both"/>
      </w:pPr>
      <w:r>
        <w:t>O IPNS identificou as seguintes fontes de financiamento acessíveis à Banda, especialmente após a revisão estatutária e eventual obtenção do estatuto de IPSS: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83BC7" w14:paraId="45F4A5C5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49BC6EE6" w14:textId="77777777" w:rsidR="00883BC7" w:rsidRDefault="00000000" w:rsidP="00053111">
            <w:pPr>
              <w:jc w:val="both"/>
            </w:pPr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w="2351" w:type="dxa"/>
            <w:shd w:val="clear" w:color="auto" w:fill="1A1A1A"/>
          </w:tcPr>
          <w:p w14:paraId="5CF7522F" w14:textId="77777777" w:rsidR="00883BC7" w:rsidRDefault="00000000" w:rsidP="00053111">
            <w:pPr>
              <w:jc w:val="both"/>
            </w:pPr>
            <w:r>
              <w:rPr>
                <w:b/>
                <w:color w:val="FFFFFF"/>
                <w:sz w:val="20"/>
              </w:rPr>
              <w:t>Programa</w:t>
            </w:r>
          </w:p>
        </w:tc>
        <w:tc>
          <w:tcPr>
            <w:tcW w:w="2351" w:type="dxa"/>
            <w:shd w:val="clear" w:color="auto" w:fill="1A1A1A"/>
          </w:tcPr>
          <w:p w14:paraId="1718ACBE" w14:textId="77777777" w:rsidR="00883BC7" w:rsidRDefault="00000000" w:rsidP="00053111">
            <w:pPr>
              <w:jc w:val="both"/>
            </w:pPr>
            <w:r>
              <w:rPr>
                <w:b/>
                <w:color w:val="FFFFFF"/>
                <w:sz w:val="20"/>
              </w:rPr>
              <w:t>Valor Estimado</w:t>
            </w:r>
          </w:p>
        </w:tc>
        <w:tc>
          <w:tcPr>
            <w:tcW w:w="2351" w:type="dxa"/>
            <w:shd w:val="clear" w:color="auto" w:fill="1A1A1A"/>
          </w:tcPr>
          <w:p w14:paraId="28A7BC6F" w14:textId="77777777" w:rsidR="00883BC7" w:rsidRDefault="00000000" w:rsidP="00053111">
            <w:pPr>
              <w:jc w:val="both"/>
            </w:pPr>
            <w:r>
              <w:rPr>
                <w:b/>
                <w:color w:val="FFFFFF"/>
                <w:sz w:val="20"/>
              </w:rPr>
              <w:t>Elegibilidade</w:t>
            </w:r>
          </w:p>
        </w:tc>
      </w:tr>
      <w:tr w:rsidR="00883BC7" w14:paraId="4B2D05C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588604A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Portugal 2030</w:t>
            </w:r>
          </w:p>
        </w:tc>
        <w:tc>
          <w:tcPr>
            <w:tcW w:w="2351" w:type="dxa"/>
            <w:shd w:val="clear" w:color="auto" w:fill="F5F5F5"/>
          </w:tcPr>
          <w:p w14:paraId="6BE2DC09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Programa Regional do Centro</w:t>
            </w:r>
          </w:p>
        </w:tc>
        <w:tc>
          <w:tcPr>
            <w:tcW w:w="2351" w:type="dxa"/>
            <w:shd w:val="clear" w:color="auto" w:fill="F5F5F5"/>
          </w:tcPr>
          <w:p w14:paraId="79202759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€50.000-€200.000</w:t>
            </w:r>
          </w:p>
        </w:tc>
        <w:tc>
          <w:tcPr>
            <w:tcW w:w="2351" w:type="dxa"/>
            <w:shd w:val="clear" w:color="auto" w:fill="F5F5F5"/>
          </w:tcPr>
          <w:p w14:paraId="619278B1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Projetos culturais e formativos</w:t>
            </w:r>
          </w:p>
        </w:tc>
      </w:tr>
      <w:tr w:rsidR="00883BC7" w14:paraId="4163AF61" w14:textId="77777777">
        <w:trPr>
          <w:jc w:val="center"/>
        </w:trPr>
        <w:tc>
          <w:tcPr>
            <w:tcW w:w="2351" w:type="dxa"/>
          </w:tcPr>
          <w:p w14:paraId="19437737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IEFP</w:t>
            </w:r>
          </w:p>
        </w:tc>
        <w:tc>
          <w:tcPr>
            <w:tcW w:w="2351" w:type="dxa"/>
          </w:tcPr>
          <w:p w14:paraId="4C413D3D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Programas de Formação Profissional</w:t>
            </w:r>
          </w:p>
        </w:tc>
        <w:tc>
          <w:tcPr>
            <w:tcW w:w="2351" w:type="dxa"/>
          </w:tcPr>
          <w:p w14:paraId="7DD73934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€30.000-€100.000</w:t>
            </w:r>
          </w:p>
        </w:tc>
        <w:tc>
          <w:tcPr>
            <w:tcW w:w="2351" w:type="dxa"/>
          </w:tcPr>
          <w:p w14:paraId="44BA7D3F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Formação certificada em artes e ofícios</w:t>
            </w:r>
          </w:p>
        </w:tc>
      </w:tr>
      <w:tr w:rsidR="00883BC7" w14:paraId="19E6C7A1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84BFFBF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DGArtes</w:t>
            </w:r>
          </w:p>
        </w:tc>
        <w:tc>
          <w:tcPr>
            <w:tcW w:w="2351" w:type="dxa"/>
            <w:shd w:val="clear" w:color="auto" w:fill="F5F5F5"/>
          </w:tcPr>
          <w:p w14:paraId="069EFE42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Apoio a Estruturas Artísticas</w:t>
            </w:r>
          </w:p>
        </w:tc>
        <w:tc>
          <w:tcPr>
            <w:tcW w:w="2351" w:type="dxa"/>
            <w:shd w:val="clear" w:color="auto" w:fill="F5F5F5"/>
          </w:tcPr>
          <w:p w14:paraId="1C8CE27A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€10.000-€50.000</w:t>
            </w:r>
          </w:p>
        </w:tc>
        <w:tc>
          <w:tcPr>
            <w:tcW w:w="2351" w:type="dxa"/>
            <w:shd w:val="clear" w:color="auto" w:fill="F5F5F5"/>
          </w:tcPr>
          <w:p w14:paraId="63D91425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Programação cultural regular</w:t>
            </w:r>
          </w:p>
        </w:tc>
      </w:tr>
      <w:tr w:rsidR="00883BC7" w14:paraId="1CEF65C6" w14:textId="77777777">
        <w:trPr>
          <w:jc w:val="center"/>
        </w:trPr>
        <w:tc>
          <w:tcPr>
            <w:tcW w:w="2351" w:type="dxa"/>
          </w:tcPr>
          <w:p w14:paraId="45852C73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Câmara de Estarreja</w:t>
            </w:r>
          </w:p>
        </w:tc>
        <w:tc>
          <w:tcPr>
            <w:tcW w:w="2351" w:type="dxa"/>
          </w:tcPr>
          <w:p w14:paraId="21072420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Apoio a Associações Culturais</w:t>
            </w:r>
          </w:p>
        </w:tc>
        <w:tc>
          <w:tcPr>
            <w:tcW w:w="2351" w:type="dxa"/>
          </w:tcPr>
          <w:p w14:paraId="2A01AC21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€5.000-€20.000</w:t>
            </w:r>
          </w:p>
        </w:tc>
        <w:tc>
          <w:tcPr>
            <w:tcW w:w="2351" w:type="dxa"/>
          </w:tcPr>
          <w:p w14:paraId="1D3532ED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Atividades culturais locais</w:t>
            </w:r>
          </w:p>
        </w:tc>
      </w:tr>
      <w:tr w:rsidR="00883BC7" w14:paraId="6DE9E0ED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7200ED5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Mecenato Cultural</w:t>
            </w:r>
          </w:p>
        </w:tc>
        <w:tc>
          <w:tcPr>
            <w:tcW w:w="2351" w:type="dxa"/>
            <w:shd w:val="clear" w:color="auto" w:fill="F5F5F5"/>
          </w:tcPr>
          <w:p w14:paraId="13E5DA2C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Lei do Mecenato (DL 74/99)</w:t>
            </w:r>
          </w:p>
        </w:tc>
        <w:tc>
          <w:tcPr>
            <w:tcW w:w="2351" w:type="dxa"/>
            <w:shd w:val="clear" w:color="auto" w:fill="F5F5F5"/>
          </w:tcPr>
          <w:p w14:paraId="73EF86D3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Variável</w:t>
            </w:r>
          </w:p>
        </w:tc>
        <w:tc>
          <w:tcPr>
            <w:tcW w:w="2351" w:type="dxa"/>
            <w:shd w:val="clear" w:color="auto" w:fill="F5F5F5"/>
          </w:tcPr>
          <w:p w14:paraId="47143960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Donativos com benefício fiscal</w:t>
            </w:r>
          </w:p>
        </w:tc>
      </w:tr>
      <w:tr w:rsidR="00883BC7" w14:paraId="545A9461" w14:textId="77777777">
        <w:trPr>
          <w:jc w:val="center"/>
        </w:trPr>
        <w:tc>
          <w:tcPr>
            <w:tcW w:w="2351" w:type="dxa"/>
          </w:tcPr>
          <w:p w14:paraId="4066E81F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Fundação Calouste Gulbenkian</w:t>
            </w:r>
          </w:p>
        </w:tc>
        <w:tc>
          <w:tcPr>
            <w:tcW w:w="2351" w:type="dxa"/>
          </w:tcPr>
          <w:p w14:paraId="46E3C90C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Programa de Música</w:t>
            </w:r>
          </w:p>
        </w:tc>
        <w:tc>
          <w:tcPr>
            <w:tcW w:w="2351" w:type="dxa"/>
          </w:tcPr>
          <w:p w14:paraId="2BA4BEC2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€10.000-€30.000</w:t>
            </w:r>
          </w:p>
        </w:tc>
        <w:tc>
          <w:tcPr>
            <w:tcW w:w="2351" w:type="dxa"/>
          </w:tcPr>
          <w:p w14:paraId="6A36D371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Projetos de educação musical</w:t>
            </w:r>
          </w:p>
        </w:tc>
      </w:tr>
    </w:tbl>
    <w:p w14:paraId="31FB3085" w14:textId="77777777" w:rsidR="00883BC7" w:rsidRDefault="00883BC7" w:rsidP="00053111">
      <w:pPr>
        <w:jc w:val="both"/>
      </w:pPr>
    </w:p>
    <w:p w14:paraId="0C812BA5" w14:textId="77777777" w:rsidR="00883BC7" w:rsidRDefault="00000000" w:rsidP="00053111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2741DCD" w14:textId="77777777" w:rsidR="00883BC7" w:rsidRDefault="00000000" w:rsidP="00053111">
      <w:pPr>
        <w:pStyle w:val="Ttulo2"/>
        <w:jc w:val="both"/>
      </w:pPr>
      <w:r>
        <w:lastRenderedPageBreak/>
        <w:t>4. Cronograma de Assessoria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83BC7" w14:paraId="6EB4ACA8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4BA8188A" w14:textId="77777777" w:rsidR="00883BC7" w:rsidRDefault="00000000" w:rsidP="00053111">
            <w:pPr>
              <w:jc w:val="both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3135" w:type="dxa"/>
            <w:shd w:val="clear" w:color="auto" w:fill="1A1A1A"/>
          </w:tcPr>
          <w:p w14:paraId="0AC24286" w14:textId="77777777" w:rsidR="00883BC7" w:rsidRDefault="00000000" w:rsidP="00053111">
            <w:pPr>
              <w:jc w:val="both"/>
            </w:pPr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w="3135" w:type="dxa"/>
            <w:shd w:val="clear" w:color="auto" w:fill="1A1A1A"/>
          </w:tcPr>
          <w:p w14:paraId="597EC0BB" w14:textId="77777777" w:rsidR="00883BC7" w:rsidRDefault="00000000" w:rsidP="00053111">
            <w:pPr>
              <w:jc w:val="both"/>
            </w:pPr>
            <w:r>
              <w:rPr>
                <w:b/>
                <w:color w:val="FFFFFF"/>
                <w:sz w:val="20"/>
              </w:rPr>
              <w:t>Atividades</w:t>
            </w:r>
          </w:p>
        </w:tc>
      </w:tr>
      <w:tr w:rsidR="00883BC7" w14:paraId="0DE41CD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450AA5C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Fase 1 — Diagnóstico</w:t>
            </w:r>
          </w:p>
        </w:tc>
        <w:tc>
          <w:tcPr>
            <w:tcW w:w="3135" w:type="dxa"/>
            <w:shd w:val="clear" w:color="auto" w:fill="F5F5F5"/>
          </w:tcPr>
          <w:p w14:paraId="45A45287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Meses 1-2</w:t>
            </w:r>
          </w:p>
        </w:tc>
        <w:tc>
          <w:tcPr>
            <w:tcW w:w="3135" w:type="dxa"/>
            <w:shd w:val="clear" w:color="auto" w:fill="F5F5F5"/>
          </w:tcPr>
          <w:p w14:paraId="4BFEED58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Análise detalhada da situação atual; levantamento de documentação; reuniões com direção e sócios</w:t>
            </w:r>
          </w:p>
        </w:tc>
      </w:tr>
      <w:tr w:rsidR="00883BC7" w14:paraId="58B2CC2D" w14:textId="77777777">
        <w:trPr>
          <w:jc w:val="center"/>
        </w:trPr>
        <w:tc>
          <w:tcPr>
            <w:tcW w:w="3135" w:type="dxa"/>
          </w:tcPr>
          <w:p w14:paraId="03323B39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Fase 2 — Revisão Estatutária</w:t>
            </w:r>
          </w:p>
        </w:tc>
        <w:tc>
          <w:tcPr>
            <w:tcW w:w="3135" w:type="dxa"/>
          </w:tcPr>
          <w:p w14:paraId="39169D26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Meses 2-4</w:t>
            </w:r>
          </w:p>
        </w:tc>
        <w:tc>
          <w:tcPr>
            <w:tcW w:w="3135" w:type="dxa"/>
          </w:tcPr>
          <w:p w14:paraId="3397916D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Elaboração de novos estatutos; consulta jurídica; Assembleia Geral extraordinária para aprovação</w:t>
            </w:r>
          </w:p>
        </w:tc>
      </w:tr>
      <w:tr w:rsidR="00883BC7" w14:paraId="28B4C71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E4FC26C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Fase 3 — Candidatura IPSS</w:t>
            </w:r>
          </w:p>
        </w:tc>
        <w:tc>
          <w:tcPr>
            <w:tcW w:w="3135" w:type="dxa"/>
            <w:shd w:val="clear" w:color="auto" w:fill="F5F5F5"/>
          </w:tcPr>
          <w:p w14:paraId="34E28E8A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Meses 4-8</w:t>
            </w:r>
          </w:p>
        </w:tc>
        <w:tc>
          <w:tcPr>
            <w:tcW w:w="3135" w:type="dxa"/>
            <w:shd w:val="clear" w:color="auto" w:fill="F5F5F5"/>
          </w:tcPr>
          <w:p w14:paraId="72830DC9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Preparação de documentação; submissão à Segurança Social; acompanhamento do processo</w:t>
            </w:r>
          </w:p>
        </w:tc>
      </w:tr>
      <w:tr w:rsidR="00883BC7" w14:paraId="2CB71CBC" w14:textId="77777777">
        <w:trPr>
          <w:jc w:val="center"/>
        </w:trPr>
        <w:tc>
          <w:tcPr>
            <w:tcW w:w="3135" w:type="dxa"/>
          </w:tcPr>
          <w:p w14:paraId="3A4591FF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Fase 4 — Integração com Quinta</w:t>
            </w:r>
          </w:p>
        </w:tc>
        <w:tc>
          <w:tcPr>
            <w:tcW w:w="3135" w:type="dxa"/>
          </w:tcPr>
          <w:p w14:paraId="19FEADAB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Meses 6-12</w:t>
            </w:r>
          </w:p>
        </w:tc>
        <w:tc>
          <w:tcPr>
            <w:tcW w:w="3135" w:type="dxa"/>
          </w:tcPr>
          <w:p w14:paraId="5A593E47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Desenvolvimento do modelo de colaboração; primeiros eventos conjuntos; candidaturas a fundos</w:t>
            </w:r>
          </w:p>
        </w:tc>
      </w:tr>
      <w:tr w:rsidR="00883BC7" w14:paraId="65EE489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7D62434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Fase 5 — Consolidação</w:t>
            </w:r>
          </w:p>
        </w:tc>
        <w:tc>
          <w:tcPr>
            <w:tcW w:w="3135" w:type="dxa"/>
            <w:shd w:val="clear" w:color="auto" w:fill="F5F5F5"/>
          </w:tcPr>
          <w:p w14:paraId="3D379271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Meses 12-24</w:t>
            </w:r>
          </w:p>
        </w:tc>
        <w:tc>
          <w:tcPr>
            <w:tcW w:w="3135" w:type="dxa"/>
            <w:shd w:val="clear" w:color="auto" w:fill="F5F5F5"/>
          </w:tcPr>
          <w:p w14:paraId="17F9D1B2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Acompanhamento contínuo; avaliação de resultados; ajustes estratégicos</w:t>
            </w:r>
          </w:p>
        </w:tc>
      </w:tr>
    </w:tbl>
    <w:p w14:paraId="0162D7A5" w14:textId="77777777" w:rsidR="00883BC7" w:rsidRDefault="00883BC7" w:rsidP="00053111">
      <w:pPr>
        <w:jc w:val="both"/>
      </w:pPr>
    </w:p>
    <w:p w14:paraId="47F776CF" w14:textId="77777777" w:rsidR="00883BC7" w:rsidRDefault="00000000" w:rsidP="00053111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B95C0EF" w14:textId="77777777" w:rsidR="00883BC7" w:rsidRDefault="00000000" w:rsidP="00053111">
      <w:pPr>
        <w:pStyle w:val="Ttulo2"/>
        <w:jc w:val="both"/>
      </w:pPr>
      <w:r>
        <w:t>5. Natureza da Assessoria</w:t>
      </w:r>
    </w:p>
    <w:p w14:paraId="3B177F0B" w14:textId="77777777" w:rsidR="00883BC7" w:rsidRDefault="00000000" w:rsidP="00053111">
      <w:pPr>
        <w:jc w:val="both"/>
      </w:pPr>
      <w:r>
        <w:t xml:space="preserve">A assessoria do IPNS à Banda Visconde de Salreu será prestada a </w:t>
      </w:r>
      <w:r>
        <w:rPr>
          <w:b/>
        </w:rPr>
        <w:t>título pro bono</w:t>
      </w:r>
      <w:r>
        <w:t>, como investimento institucional na parceria de longo prazo e no desenvolvimento cultural da comunidade de Salreu. O IPNS reconhece o valor centenário da Banda como parceira cultural estratégica e entende que o fortalecimento desta instituição contribui diretamente para o sucesso do projeto da Quinta do Visconde de Salreu e para a preservação do património imaterial da região.</w:t>
      </w:r>
    </w:p>
    <w:p w14:paraId="0F71AA55" w14:textId="77777777" w:rsidR="00883BC7" w:rsidRDefault="00000000" w:rsidP="00053111">
      <w:pPr>
        <w:jc w:val="both"/>
      </w:pPr>
      <w:r>
        <w:t>A assessoria pro bono inclui:</w:t>
      </w:r>
    </w:p>
    <w:p w14:paraId="16A0307C" w14:textId="77777777" w:rsidR="00883BC7" w:rsidRDefault="00000000" w:rsidP="00053111">
      <w:pPr>
        <w:pStyle w:val="Commarcadores"/>
        <w:jc w:val="both"/>
      </w:pPr>
      <w:r>
        <w:t>Diagnóstico completo da situação atual da Banda</w:t>
      </w:r>
    </w:p>
    <w:p w14:paraId="1A70C1F7" w14:textId="77777777" w:rsidR="00883BC7" w:rsidRDefault="00000000" w:rsidP="00053111">
      <w:pPr>
        <w:pStyle w:val="Commarcadores"/>
        <w:jc w:val="both"/>
      </w:pPr>
      <w:r>
        <w:t>Revisão estatutária e adequação à legislação vigente</w:t>
      </w:r>
    </w:p>
    <w:p w14:paraId="72CDEE0E" w14:textId="77777777" w:rsidR="00883BC7" w:rsidRDefault="00000000" w:rsidP="00053111">
      <w:pPr>
        <w:pStyle w:val="Commarcadores"/>
        <w:jc w:val="both"/>
      </w:pPr>
      <w:r>
        <w:t>Apoio na candidatura ao estatuto de IPSS</w:t>
      </w:r>
    </w:p>
    <w:p w14:paraId="61327A4E" w14:textId="77777777" w:rsidR="00883BC7" w:rsidRDefault="00000000" w:rsidP="00053111">
      <w:pPr>
        <w:pStyle w:val="Commarcadores"/>
        <w:jc w:val="both"/>
      </w:pPr>
      <w:r>
        <w:t>Identificação e preparação de candidaturas a fundos</w:t>
      </w:r>
    </w:p>
    <w:p w14:paraId="688AFFD7" w14:textId="77777777" w:rsidR="00883BC7" w:rsidRDefault="00000000" w:rsidP="00053111">
      <w:pPr>
        <w:pStyle w:val="Commarcadores"/>
        <w:jc w:val="both"/>
      </w:pPr>
      <w:r>
        <w:t>Integração com o projeto da Quinta do Visconde de Salreu</w:t>
      </w:r>
    </w:p>
    <w:p w14:paraId="3785BE76" w14:textId="77777777" w:rsidR="00883BC7" w:rsidRDefault="00000000" w:rsidP="00053111">
      <w:pPr>
        <w:pStyle w:val="Commarcadores"/>
        <w:jc w:val="both"/>
      </w:pPr>
      <w:r>
        <w:t>Acompanhamento contínuo durante 24 meses</w:t>
      </w:r>
    </w:p>
    <w:p w14:paraId="20E8892A" w14:textId="77777777" w:rsidR="00883BC7" w:rsidRDefault="00000000" w:rsidP="00053111">
      <w:pPr>
        <w:jc w:val="both"/>
      </w:pPr>
      <w:r>
        <w:t>O protocolo de cooperação entre a Banda e o IPNS será celebrado por escrito, com duração mínima de 24 meses, renovável por períodos iguais e sucessivos.</w:t>
      </w:r>
    </w:p>
    <w:p w14:paraId="13E2D100" w14:textId="77777777" w:rsidR="00883BC7" w:rsidRDefault="00000000" w:rsidP="00053111">
      <w:pPr>
        <w:pStyle w:val="Ttulo2"/>
        <w:jc w:val="both"/>
      </w:pPr>
      <w:r>
        <w:lastRenderedPageBreak/>
        <w:t>6. Contactos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83BC7" w14:paraId="23EBA77F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7F789E13" w14:textId="77777777" w:rsidR="00883BC7" w:rsidRDefault="00000000" w:rsidP="00053111">
            <w:pPr>
              <w:jc w:val="both"/>
            </w:pPr>
            <w:r>
              <w:rPr>
                <w:b/>
                <w:color w:val="FFFFFF"/>
                <w:sz w:val="20"/>
              </w:rPr>
              <w:t>Entidade</w:t>
            </w:r>
          </w:p>
        </w:tc>
        <w:tc>
          <w:tcPr>
            <w:tcW w:w="3135" w:type="dxa"/>
            <w:shd w:val="clear" w:color="auto" w:fill="1A1A1A"/>
          </w:tcPr>
          <w:p w14:paraId="51553E21" w14:textId="77777777" w:rsidR="00883BC7" w:rsidRDefault="00000000" w:rsidP="00053111">
            <w:pPr>
              <w:jc w:val="both"/>
            </w:pPr>
            <w:r>
              <w:rPr>
                <w:b/>
                <w:color w:val="FFFFFF"/>
                <w:sz w:val="20"/>
              </w:rPr>
              <w:t>Contacto</w:t>
            </w:r>
          </w:p>
        </w:tc>
        <w:tc>
          <w:tcPr>
            <w:tcW w:w="3135" w:type="dxa"/>
            <w:shd w:val="clear" w:color="auto" w:fill="1A1A1A"/>
          </w:tcPr>
          <w:p w14:paraId="4E3D6229" w14:textId="77777777" w:rsidR="00883BC7" w:rsidRDefault="00000000" w:rsidP="00053111">
            <w:pPr>
              <w:jc w:val="both"/>
            </w:pPr>
            <w:r>
              <w:rPr>
                <w:b/>
                <w:color w:val="FFFFFF"/>
                <w:sz w:val="20"/>
              </w:rPr>
              <w:t>Papel</w:t>
            </w:r>
          </w:p>
        </w:tc>
      </w:tr>
      <w:tr w:rsidR="00883BC7" w14:paraId="6D655FF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2857C7E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IPNS — Instituto Português de Negócios Sociais</w:t>
            </w:r>
          </w:p>
        </w:tc>
        <w:tc>
          <w:tcPr>
            <w:tcW w:w="3135" w:type="dxa"/>
            <w:shd w:val="clear" w:color="auto" w:fill="F5F5F5"/>
          </w:tcPr>
          <w:p w14:paraId="7605C0F1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Diego Rocha, dmrdiego@gmail.com, +351 931 721 901</w:t>
            </w:r>
          </w:p>
        </w:tc>
        <w:tc>
          <w:tcPr>
            <w:tcW w:w="3135" w:type="dxa"/>
            <w:shd w:val="clear" w:color="auto" w:fill="F5F5F5"/>
          </w:tcPr>
          <w:p w14:paraId="55C7CF37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Assessor estratégico</w:t>
            </w:r>
          </w:p>
        </w:tc>
      </w:tr>
      <w:tr w:rsidR="00883BC7" w14:paraId="718E2032" w14:textId="77777777">
        <w:trPr>
          <w:jc w:val="center"/>
        </w:trPr>
        <w:tc>
          <w:tcPr>
            <w:tcW w:w="3135" w:type="dxa"/>
          </w:tcPr>
          <w:p w14:paraId="651EC77D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Banda Visconde de Salreu</w:t>
            </w:r>
          </w:p>
        </w:tc>
        <w:tc>
          <w:tcPr>
            <w:tcW w:w="3135" w:type="dxa"/>
          </w:tcPr>
          <w:p w14:paraId="68D7FAEC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Sede: Salreu, Estarreja</w:t>
            </w:r>
          </w:p>
        </w:tc>
        <w:tc>
          <w:tcPr>
            <w:tcW w:w="3135" w:type="dxa"/>
          </w:tcPr>
          <w:p w14:paraId="40C21AE2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Parceira cultural</w:t>
            </w:r>
          </w:p>
        </w:tc>
      </w:tr>
      <w:tr w:rsidR="00883BC7" w14:paraId="793A056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4762508" w14:textId="77777777" w:rsidR="00883BC7" w:rsidRDefault="00000000" w:rsidP="00053111">
            <w:pPr>
              <w:jc w:val="both"/>
            </w:pPr>
            <w:r>
              <w:rPr>
                <w:b/>
                <w:sz w:val="20"/>
              </w:rPr>
              <w:t>Website IPNS</w:t>
            </w:r>
          </w:p>
        </w:tc>
        <w:tc>
          <w:tcPr>
            <w:tcW w:w="3135" w:type="dxa"/>
            <w:shd w:val="clear" w:color="auto" w:fill="F5F5F5"/>
          </w:tcPr>
          <w:p w14:paraId="7377A24F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https://bureau-q77ebc.manus.space</w:t>
            </w:r>
          </w:p>
        </w:tc>
        <w:tc>
          <w:tcPr>
            <w:tcW w:w="3135" w:type="dxa"/>
            <w:shd w:val="clear" w:color="auto" w:fill="F5F5F5"/>
          </w:tcPr>
          <w:p w14:paraId="4F9A9B06" w14:textId="77777777" w:rsidR="00883BC7" w:rsidRDefault="00000000" w:rsidP="00053111">
            <w:pPr>
              <w:jc w:val="both"/>
            </w:pPr>
            <w:r>
              <w:rPr>
                <w:sz w:val="20"/>
              </w:rPr>
              <w:t>Portal institucional</w:t>
            </w:r>
          </w:p>
        </w:tc>
      </w:tr>
    </w:tbl>
    <w:p w14:paraId="41EF150B" w14:textId="77777777" w:rsidR="00883BC7" w:rsidRDefault="00883BC7" w:rsidP="00053111">
      <w:pPr>
        <w:jc w:val="both"/>
      </w:pPr>
    </w:p>
    <w:p w14:paraId="7F79E58B" w14:textId="2E1570F8" w:rsidR="00883BC7" w:rsidRDefault="00883BC7" w:rsidP="00053111">
      <w:pPr>
        <w:jc w:val="both"/>
      </w:pPr>
    </w:p>
    <w:sectPr w:rsidR="00883BC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A336E" w14:textId="77777777" w:rsidR="00BB3D5D" w:rsidRDefault="00BB3D5D" w:rsidP="00053111">
      <w:pPr>
        <w:spacing w:after="0" w:line="240" w:lineRule="auto"/>
      </w:pPr>
      <w:r>
        <w:separator/>
      </w:r>
    </w:p>
  </w:endnote>
  <w:endnote w:type="continuationSeparator" w:id="0">
    <w:p w14:paraId="499FCE50" w14:textId="77777777" w:rsidR="00BB3D5D" w:rsidRDefault="00BB3D5D" w:rsidP="00053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704F3" w14:textId="77777777" w:rsidR="00053111" w:rsidRDefault="000531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9DF01" w14:textId="77777777" w:rsidR="00053111" w:rsidRDefault="0005311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C7DA" w14:textId="77777777" w:rsidR="00053111" w:rsidRDefault="000531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AA478" w14:textId="77777777" w:rsidR="00BB3D5D" w:rsidRDefault="00BB3D5D" w:rsidP="00053111">
      <w:pPr>
        <w:spacing w:after="0" w:line="240" w:lineRule="auto"/>
      </w:pPr>
      <w:r>
        <w:separator/>
      </w:r>
    </w:p>
  </w:footnote>
  <w:footnote w:type="continuationSeparator" w:id="0">
    <w:p w14:paraId="1E6F79F6" w14:textId="77777777" w:rsidR="00BB3D5D" w:rsidRDefault="00BB3D5D" w:rsidP="00053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24FD2" w14:textId="77777777" w:rsidR="00053111" w:rsidRDefault="000531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7CFBF" w14:textId="5FEFEE9A" w:rsidR="00053111" w:rsidRDefault="00053111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2A18641" wp14:editId="78394F38">
          <wp:simplePos x="0" y="0"/>
          <wp:positionH relativeFrom="column">
            <wp:posOffset>-880946</wp:posOffset>
          </wp:positionH>
          <wp:positionV relativeFrom="paragraph">
            <wp:posOffset>-747131</wp:posOffset>
          </wp:positionV>
          <wp:extent cx="7860264" cy="10391636"/>
          <wp:effectExtent l="0" t="0" r="1270" b="0"/>
          <wp:wrapNone/>
          <wp:docPr id="2056105214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105214" name="Imagem 1" descr="Uma imagem contendo Interface gráfica do usuári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0264" cy="10391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A7332" w14:textId="77777777" w:rsidR="00053111" w:rsidRDefault="0005311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181115">
    <w:abstractNumId w:val="8"/>
  </w:num>
  <w:num w:numId="2" w16cid:durableId="1871602294">
    <w:abstractNumId w:val="6"/>
  </w:num>
  <w:num w:numId="3" w16cid:durableId="979189146">
    <w:abstractNumId w:val="5"/>
  </w:num>
  <w:num w:numId="4" w16cid:durableId="1532642443">
    <w:abstractNumId w:val="4"/>
  </w:num>
  <w:num w:numId="5" w16cid:durableId="1258366078">
    <w:abstractNumId w:val="7"/>
  </w:num>
  <w:num w:numId="6" w16cid:durableId="906766825">
    <w:abstractNumId w:val="3"/>
  </w:num>
  <w:num w:numId="7" w16cid:durableId="1102530061">
    <w:abstractNumId w:val="2"/>
  </w:num>
  <w:num w:numId="8" w16cid:durableId="652149939">
    <w:abstractNumId w:val="1"/>
  </w:num>
  <w:num w:numId="9" w16cid:durableId="32520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111"/>
    <w:rsid w:val="0006063C"/>
    <w:rsid w:val="0015074B"/>
    <w:rsid w:val="0029639D"/>
    <w:rsid w:val="00326F90"/>
    <w:rsid w:val="00883BC7"/>
    <w:rsid w:val="00AA1D8D"/>
    <w:rsid w:val="00B47730"/>
    <w:rsid w:val="00BB3D5D"/>
    <w:rsid w:val="00CB0664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849F60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1108</Words>
  <Characters>6829</Characters>
  <Application>Microsoft Office Word</Application>
  <DocSecurity>0</DocSecurity>
  <Lines>235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3</cp:revision>
  <cp:lastPrinted>2026-03-10T19:21:00Z</cp:lastPrinted>
  <dcterms:created xsi:type="dcterms:W3CDTF">2026-03-10T19:21:00Z</dcterms:created>
  <dcterms:modified xsi:type="dcterms:W3CDTF">2026-03-10T19:21:00Z</dcterms:modified>
  <cp:category/>
</cp:coreProperties>
</file>