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C021" w14:textId="77777777" w:rsidR="00995D09" w:rsidRDefault="00000000" w:rsidP="00172FD5">
      <w:pPr>
        <w:pStyle w:val="Ttulo1"/>
        <w:spacing w:after="0"/>
      </w:pPr>
      <w:r>
        <w:t>Mapa de Parcerias Estratégicas — Quinta do Visconde de Salreu</w:t>
      </w:r>
    </w:p>
    <w:p w14:paraId="2B198276" w14:textId="77777777" w:rsidR="00995D09" w:rsidRDefault="00000000" w:rsidP="00172FD5">
      <w:pPr>
        <w:spacing w:after="0"/>
      </w:pPr>
      <w:r>
        <w:rPr>
          <w:b/>
        </w:rPr>
        <w:t>Data:</w:t>
      </w:r>
      <w:r>
        <w:t xml:space="preserve"> Março de 2026</w:t>
      </w:r>
    </w:p>
    <w:p w14:paraId="36636D65" w14:textId="77777777" w:rsidR="00995D09" w:rsidRDefault="00000000" w:rsidP="00172FD5">
      <w:pPr>
        <w:spacing w:before="12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F6899A7" w14:textId="77777777" w:rsidR="00995D09" w:rsidRDefault="00000000" w:rsidP="00172FD5">
      <w:pPr>
        <w:pStyle w:val="Ttulo2"/>
        <w:spacing w:after="0"/>
      </w:pPr>
      <w:r>
        <w:t>1. Parceiros Estratégicos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995D09" w14:paraId="37A56B19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0ADB6CF8" w14:textId="77777777" w:rsidR="00995D09" w:rsidRDefault="00000000" w:rsidP="00172FD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Parceiro</w:t>
            </w:r>
          </w:p>
        </w:tc>
        <w:tc>
          <w:tcPr>
            <w:tcW w:w="1881" w:type="dxa"/>
            <w:shd w:val="clear" w:color="auto" w:fill="1A1A1A"/>
          </w:tcPr>
          <w:p w14:paraId="1EF01CA5" w14:textId="77777777" w:rsidR="00995D09" w:rsidRDefault="00000000" w:rsidP="00172FD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881" w:type="dxa"/>
            <w:shd w:val="clear" w:color="auto" w:fill="1A1A1A"/>
          </w:tcPr>
          <w:p w14:paraId="7C87A268" w14:textId="77777777" w:rsidR="00995D09" w:rsidRDefault="00000000" w:rsidP="00172FD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Papel no Projeto</w:t>
            </w:r>
          </w:p>
        </w:tc>
        <w:tc>
          <w:tcPr>
            <w:tcW w:w="1881" w:type="dxa"/>
            <w:shd w:val="clear" w:color="auto" w:fill="1A1A1A"/>
          </w:tcPr>
          <w:p w14:paraId="7A6E6005" w14:textId="77777777" w:rsidR="00995D09" w:rsidRDefault="00000000" w:rsidP="00172FD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Contribuição</w:t>
            </w:r>
          </w:p>
        </w:tc>
        <w:tc>
          <w:tcPr>
            <w:tcW w:w="1881" w:type="dxa"/>
            <w:shd w:val="clear" w:color="auto" w:fill="1A1A1A"/>
          </w:tcPr>
          <w:p w14:paraId="7766A3C3" w14:textId="77777777" w:rsidR="00995D09" w:rsidRDefault="00000000" w:rsidP="00172FD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Instrumento</w:t>
            </w:r>
          </w:p>
        </w:tc>
      </w:tr>
      <w:tr w:rsidR="00995D09" w14:paraId="0CC7A21C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600A7047" w14:textId="77777777" w:rsidR="00995D09" w:rsidRDefault="00000000" w:rsidP="00172FD5">
            <w:pPr>
              <w:spacing w:after="0"/>
            </w:pPr>
            <w:r>
              <w:rPr>
                <w:b/>
                <w:sz w:val="20"/>
              </w:rPr>
              <w:t>Banda Visconde de Salreu</w:t>
            </w:r>
          </w:p>
        </w:tc>
        <w:tc>
          <w:tcPr>
            <w:tcW w:w="1881" w:type="dxa"/>
            <w:shd w:val="clear" w:color="auto" w:fill="F5F5F5"/>
          </w:tcPr>
          <w:p w14:paraId="0B82379A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Cultural</w:t>
            </w:r>
          </w:p>
        </w:tc>
        <w:tc>
          <w:tcPr>
            <w:tcW w:w="1881" w:type="dxa"/>
            <w:shd w:val="clear" w:color="auto" w:fill="F5F5F5"/>
          </w:tcPr>
          <w:p w14:paraId="1D9BC053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Parceira cultural principal</w:t>
            </w:r>
          </w:p>
        </w:tc>
        <w:tc>
          <w:tcPr>
            <w:tcW w:w="1881" w:type="dxa"/>
            <w:shd w:val="clear" w:color="auto" w:fill="F5F5F5"/>
          </w:tcPr>
          <w:p w14:paraId="7B2DFE86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Escola de música, concertos nos jardins, comunidade local</w:t>
            </w:r>
          </w:p>
        </w:tc>
        <w:tc>
          <w:tcPr>
            <w:tcW w:w="1881" w:type="dxa"/>
            <w:shd w:val="clear" w:color="auto" w:fill="F5F5F5"/>
          </w:tcPr>
          <w:p w14:paraId="2E8A5ABC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Protocolo de cooperação</w:t>
            </w:r>
          </w:p>
        </w:tc>
      </w:tr>
      <w:tr w:rsidR="00995D09" w14:paraId="654AC640" w14:textId="77777777">
        <w:trPr>
          <w:jc w:val="center"/>
        </w:trPr>
        <w:tc>
          <w:tcPr>
            <w:tcW w:w="1881" w:type="dxa"/>
          </w:tcPr>
          <w:p w14:paraId="61A2CE68" w14:textId="77777777" w:rsidR="00995D09" w:rsidRDefault="00000000" w:rsidP="00172FD5">
            <w:pPr>
              <w:spacing w:after="0"/>
            </w:pPr>
            <w:r>
              <w:rPr>
                <w:b/>
                <w:sz w:val="20"/>
              </w:rPr>
              <w:t>Escola de Laceiras</w:t>
            </w:r>
          </w:p>
        </w:tc>
        <w:tc>
          <w:tcPr>
            <w:tcW w:w="1881" w:type="dxa"/>
          </w:tcPr>
          <w:p w14:paraId="3DD55B80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Formação</w:t>
            </w:r>
          </w:p>
        </w:tc>
        <w:tc>
          <w:tcPr>
            <w:tcW w:w="1881" w:type="dxa"/>
          </w:tcPr>
          <w:p w14:paraId="3D2410AC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Parceira de formação em artes têxteis</w:t>
            </w:r>
          </w:p>
        </w:tc>
        <w:tc>
          <w:tcPr>
            <w:tcW w:w="1881" w:type="dxa"/>
          </w:tcPr>
          <w:p w14:paraId="2BA061CA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Formação em renda de bilros, bordados, tecelagem</w:t>
            </w:r>
          </w:p>
        </w:tc>
        <w:tc>
          <w:tcPr>
            <w:tcW w:w="1881" w:type="dxa"/>
          </w:tcPr>
          <w:p w14:paraId="42D44AEA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Protocolo de cooperação</w:t>
            </w:r>
          </w:p>
        </w:tc>
      </w:tr>
      <w:tr w:rsidR="00995D09" w14:paraId="4841951E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00A47DE4" w14:textId="77777777" w:rsidR="00995D09" w:rsidRDefault="00000000" w:rsidP="00172FD5">
            <w:pPr>
              <w:spacing w:after="0"/>
            </w:pPr>
            <w:r>
              <w:rPr>
                <w:b/>
                <w:sz w:val="20"/>
              </w:rPr>
              <w:t>IEFP — Centro de Emprego de Aveiro</w:t>
            </w:r>
          </w:p>
        </w:tc>
        <w:tc>
          <w:tcPr>
            <w:tcW w:w="1881" w:type="dxa"/>
            <w:shd w:val="clear" w:color="auto" w:fill="F5F5F5"/>
          </w:tcPr>
          <w:p w14:paraId="417E31E0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Institucional</w:t>
            </w:r>
          </w:p>
        </w:tc>
        <w:tc>
          <w:tcPr>
            <w:tcW w:w="1881" w:type="dxa"/>
            <w:shd w:val="clear" w:color="auto" w:fill="F5F5F5"/>
          </w:tcPr>
          <w:p w14:paraId="214C3200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Certificação de formação profissional</w:t>
            </w:r>
          </w:p>
        </w:tc>
        <w:tc>
          <w:tcPr>
            <w:tcW w:w="1881" w:type="dxa"/>
            <w:shd w:val="clear" w:color="auto" w:fill="F5F5F5"/>
          </w:tcPr>
          <w:p w14:paraId="0326DDDB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Certificação DGERT, encaminhamento de formandos, financiamento</w:t>
            </w:r>
          </w:p>
        </w:tc>
        <w:tc>
          <w:tcPr>
            <w:tcW w:w="1881" w:type="dxa"/>
            <w:shd w:val="clear" w:color="auto" w:fill="F5F5F5"/>
          </w:tcPr>
          <w:p w14:paraId="0519C259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Acordo de cooperação</w:t>
            </w:r>
          </w:p>
        </w:tc>
      </w:tr>
      <w:tr w:rsidR="00995D09" w14:paraId="60760AB9" w14:textId="77777777">
        <w:trPr>
          <w:jc w:val="center"/>
        </w:trPr>
        <w:tc>
          <w:tcPr>
            <w:tcW w:w="1881" w:type="dxa"/>
          </w:tcPr>
          <w:p w14:paraId="170286FF" w14:textId="77777777" w:rsidR="00995D09" w:rsidRDefault="00000000" w:rsidP="00172FD5">
            <w:pPr>
              <w:spacing w:after="0"/>
            </w:pPr>
            <w:r>
              <w:rPr>
                <w:b/>
                <w:sz w:val="20"/>
              </w:rPr>
              <w:t>Câmara Municipal de Estarreja</w:t>
            </w:r>
          </w:p>
        </w:tc>
        <w:tc>
          <w:tcPr>
            <w:tcW w:w="1881" w:type="dxa"/>
          </w:tcPr>
          <w:p w14:paraId="5701B46F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Municipal</w:t>
            </w:r>
          </w:p>
        </w:tc>
        <w:tc>
          <w:tcPr>
            <w:tcW w:w="1881" w:type="dxa"/>
          </w:tcPr>
          <w:p w14:paraId="7773F152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Apoio institucional e licenciamento</w:t>
            </w:r>
          </w:p>
        </w:tc>
        <w:tc>
          <w:tcPr>
            <w:tcW w:w="1881" w:type="dxa"/>
          </w:tcPr>
          <w:p w14:paraId="35FDBF51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Licenciamento, apoio logístico, promoção turística</w:t>
            </w:r>
          </w:p>
        </w:tc>
        <w:tc>
          <w:tcPr>
            <w:tcW w:w="1881" w:type="dxa"/>
          </w:tcPr>
          <w:p w14:paraId="62A148E3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Protocolo municipal</w:t>
            </w:r>
          </w:p>
        </w:tc>
      </w:tr>
      <w:tr w:rsidR="00995D09" w14:paraId="48C74EFA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2B864861" w14:textId="77777777" w:rsidR="00995D09" w:rsidRDefault="00000000" w:rsidP="00172FD5">
            <w:pPr>
              <w:spacing w:after="0"/>
            </w:pPr>
            <w:r>
              <w:rPr>
                <w:b/>
                <w:sz w:val="20"/>
              </w:rPr>
              <w:t>Junta de Freguesia de Salreu</w:t>
            </w:r>
          </w:p>
        </w:tc>
        <w:tc>
          <w:tcPr>
            <w:tcW w:w="1881" w:type="dxa"/>
            <w:shd w:val="clear" w:color="auto" w:fill="F5F5F5"/>
          </w:tcPr>
          <w:p w14:paraId="59937DAA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Local</w:t>
            </w:r>
          </w:p>
        </w:tc>
        <w:tc>
          <w:tcPr>
            <w:tcW w:w="1881" w:type="dxa"/>
            <w:shd w:val="clear" w:color="auto" w:fill="F5F5F5"/>
          </w:tcPr>
          <w:p w14:paraId="0A48C717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Apoio comunitário</w:t>
            </w:r>
          </w:p>
        </w:tc>
        <w:tc>
          <w:tcPr>
            <w:tcW w:w="1881" w:type="dxa"/>
            <w:shd w:val="clear" w:color="auto" w:fill="F5F5F5"/>
          </w:tcPr>
          <w:p w14:paraId="250A7926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Divulgação local, apoio logístico, identificação de beneficiários</w:t>
            </w:r>
          </w:p>
        </w:tc>
        <w:tc>
          <w:tcPr>
            <w:tcW w:w="1881" w:type="dxa"/>
            <w:shd w:val="clear" w:color="auto" w:fill="F5F5F5"/>
          </w:tcPr>
          <w:p w14:paraId="1DD67EB3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Protocolo local</w:t>
            </w:r>
          </w:p>
        </w:tc>
      </w:tr>
      <w:tr w:rsidR="00995D09" w14:paraId="0C6D5FC8" w14:textId="77777777">
        <w:trPr>
          <w:jc w:val="center"/>
        </w:trPr>
        <w:tc>
          <w:tcPr>
            <w:tcW w:w="1881" w:type="dxa"/>
          </w:tcPr>
          <w:p w14:paraId="212D9E45" w14:textId="77777777" w:rsidR="00995D09" w:rsidRDefault="00000000" w:rsidP="00172FD5">
            <w:pPr>
              <w:spacing w:after="0"/>
            </w:pPr>
            <w:r>
              <w:rPr>
                <w:b/>
                <w:sz w:val="20"/>
              </w:rPr>
              <w:t>Turismo do Centro</w:t>
            </w:r>
          </w:p>
        </w:tc>
        <w:tc>
          <w:tcPr>
            <w:tcW w:w="1881" w:type="dxa"/>
          </w:tcPr>
          <w:p w14:paraId="6E1D818C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Turismo</w:t>
            </w:r>
          </w:p>
        </w:tc>
        <w:tc>
          <w:tcPr>
            <w:tcW w:w="1881" w:type="dxa"/>
          </w:tcPr>
          <w:p w14:paraId="7CFFD8CF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Promoção turística regional</w:t>
            </w:r>
          </w:p>
        </w:tc>
        <w:tc>
          <w:tcPr>
            <w:tcW w:w="1881" w:type="dxa"/>
          </w:tcPr>
          <w:p w14:paraId="7E2D6E43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Marketing, integração em rotas turísticas, certificação</w:t>
            </w:r>
          </w:p>
        </w:tc>
        <w:tc>
          <w:tcPr>
            <w:tcW w:w="1881" w:type="dxa"/>
          </w:tcPr>
          <w:p w14:paraId="2FEC044A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Adesão à rede</w:t>
            </w:r>
          </w:p>
        </w:tc>
      </w:tr>
      <w:tr w:rsidR="00995D09" w14:paraId="491BA41E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5B00276A" w14:textId="77777777" w:rsidR="00995D09" w:rsidRDefault="00000000" w:rsidP="00172FD5">
            <w:pPr>
              <w:spacing w:after="0"/>
            </w:pPr>
            <w:r>
              <w:rPr>
                <w:b/>
                <w:sz w:val="20"/>
              </w:rPr>
              <w:t>Universidade de Aveiro</w:t>
            </w:r>
          </w:p>
        </w:tc>
        <w:tc>
          <w:tcPr>
            <w:tcW w:w="1881" w:type="dxa"/>
            <w:shd w:val="clear" w:color="auto" w:fill="F5F5F5"/>
          </w:tcPr>
          <w:p w14:paraId="2FF4EA58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Académico</w:t>
            </w:r>
          </w:p>
        </w:tc>
        <w:tc>
          <w:tcPr>
            <w:tcW w:w="1881" w:type="dxa"/>
            <w:shd w:val="clear" w:color="auto" w:fill="F5F5F5"/>
          </w:tcPr>
          <w:p w14:paraId="61CF0DD4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Investigação e formação</w:t>
            </w:r>
          </w:p>
        </w:tc>
        <w:tc>
          <w:tcPr>
            <w:tcW w:w="1881" w:type="dxa"/>
            <w:shd w:val="clear" w:color="auto" w:fill="F5F5F5"/>
          </w:tcPr>
          <w:p w14:paraId="5F527261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Estágios, investigação botânica, apoio técnico</w:t>
            </w:r>
          </w:p>
        </w:tc>
        <w:tc>
          <w:tcPr>
            <w:tcW w:w="1881" w:type="dxa"/>
            <w:shd w:val="clear" w:color="auto" w:fill="F5F5F5"/>
          </w:tcPr>
          <w:p w14:paraId="78FAD072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Protocolo académico</w:t>
            </w:r>
          </w:p>
        </w:tc>
      </w:tr>
      <w:tr w:rsidR="00995D09" w14:paraId="63F3D47E" w14:textId="77777777">
        <w:trPr>
          <w:jc w:val="center"/>
        </w:trPr>
        <w:tc>
          <w:tcPr>
            <w:tcW w:w="1881" w:type="dxa"/>
          </w:tcPr>
          <w:p w14:paraId="4473F2BB" w14:textId="77777777" w:rsidR="00995D09" w:rsidRDefault="00000000" w:rsidP="00172FD5">
            <w:pPr>
              <w:spacing w:after="0"/>
            </w:pPr>
            <w:r>
              <w:rPr>
                <w:b/>
                <w:sz w:val="20"/>
              </w:rPr>
              <w:t>IPNS — Bureau Social</w:t>
            </w:r>
          </w:p>
        </w:tc>
        <w:tc>
          <w:tcPr>
            <w:tcW w:w="1881" w:type="dxa"/>
          </w:tcPr>
          <w:p w14:paraId="2F33D5FD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Assessoria</w:t>
            </w:r>
          </w:p>
        </w:tc>
        <w:tc>
          <w:tcPr>
            <w:tcW w:w="1881" w:type="dxa"/>
          </w:tcPr>
          <w:p w14:paraId="72A50D85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Assessor estratégico</w:t>
            </w:r>
          </w:p>
        </w:tc>
        <w:tc>
          <w:tcPr>
            <w:tcW w:w="1881" w:type="dxa"/>
          </w:tcPr>
          <w:p w14:paraId="41049383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Candidaturas, planeamento, coordenação, gestão</w:t>
            </w:r>
          </w:p>
        </w:tc>
        <w:tc>
          <w:tcPr>
            <w:tcW w:w="1881" w:type="dxa"/>
          </w:tcPr>
          <w:p w14:paraId="679BED84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Protocolo de assessoria</w:t>
            </w:r>
          </w:p>
        </w:tc>
      </w:tr>
    </w:tbl>
    <w:p w14:paraId="1C2BC310" w14:textId="77777777" w:rsidR="00995D09" w:rsidRDefault="00995D09" w:rsidP="00172FD5">
      <w:pPr>
        <w:spacing w:after="0"/>
      </w:pPr>
    </w:p>
    <w:p w14:paraId="55E6F5C2" w14:textId="77777777" w:rsidR="00995D09" w:rsidRDefault="00000000" w:rsidP="00172FD5">
      <w:pPr>
        <w:spacing w:before="12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86EEF1E" w14:textId="77777777" w:rsidR="00995D09" w:rsidRDefault="00000000" w:rsidP="00172FD5">
      <w:pPr>
        <w:pStyle w:val="Ttulo2"/>
        <w:spacing w:after="0"/>
      </w:pPr>
      <w:r>
        <w:lastRenderedPageBreak/>
        <w:t>2. Modelo de Governança</w:t>
      </w:r>
    </w:p>
    <w:p w14:paraId="72D80AFE" w14:textId="77777777" w:rsidR="00995D09" w:rsidRDefault="00000000" w:rsidP="00172FD5">
      <w:pPr>
        <w:spacing w:after="0"/>
      </w:pPr>
      <w:r>
        <w:t>A governança do projeto assenta numa estrutura tripartida que garante a autonomia da IPSS, a participação dos parceiros e a supervisão técnica do IPNS.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95D09" w14:paraId="13CD5912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652A9BD8" w14:textId="77777777" w:rsidR="00995D09" w:rsidRDefault="00000000" w:rsidP="00172FD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Órgão</w:t>
            </w:r>
          </w:p>
        </w:tc>
        <w:tc>
          <w:tcPr>
            <w:tcW w:w="2351" w:type="dxa"/>
            <w:shd w:val="clear" w:color="auto" w:fill="1A1A1A"/>
          </w:tcPr>
          <w:p w14:paraId="2EA9AB20" w14:textId="77777777" w:rsidR="00995D09" w:rsidRDefault="00000000" w:rsidP="00172FD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Composição</w:t>
            </w:r>
          </w:p>
        </w:tc>
        <w:tc>
          <w:tcPr>
            <w:tcW w:w="2351" w:type="dxa"/>
            <w:shd w:val="clear" w:color="auto" w:fill="1A1A1A"/>
          </w:tcPr>
          <w:p w14:paraId="3E16B58E" w14:textId="77777777" w:rsidR="00995D09" w:rsidRDefault="00000000" w:rsidP="00172FD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w="2351" w:type="dxa"/>
            <w:shd w:val="clear" w:color="auto" w:fill="1A1A1A"/>
          </w:tcPr>
          <w:p w14:paraId="083FD4A4" w14:textId="77777777" w:rsidR="00995D09" w:rsidRDefault="00000000" w:rsidP="00172FD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Periodicidade</w:t>
            </w:r>
          </w:p>
        </w:tc>
      </w:tr>
      <w:tr w:rsidR="00995D09" w14:paraId="69BF9878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7DEB193" w14:textId="77777777" w:rsidR="00995D09" w:rsidRDefault="00000000" w:rsidP="00172FD5">
            <w:pPr>
              <w:spacing w:after="0"/>
            </w:pPr>
            <w:r>
              <w:rPr>
                <w:b/>
                <w:sz w:val="20"/>
              </w:rPr>
              <w:t>Direção da IPSS</w:t>
            </w:r>
          </w:p>
        </w:tc>
        <w:tc>
          <w:tcPr>
            <w:tcW w:w="2351" w:type="dxa"/>
            <w:shd w:val="clear" w:color="auto" w:fill="F5F5F5"/>
          </w:tcPr>
          <w:p w14:paraId="454F2A6C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5 membros eleitos</w:t>
            </w:r>
          </w:p>
        </w:tc>
        <w:tc>
          <w:tcPr>
            <w:tcW w:w="2351" w:type="dxa"/>
            <w:shd w:val="clear" w:color="auto" w:fill="F5F5F5"/>
          </w:tcPr>
          <w:p w14:paraId="091B38CB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Gestão executiva do projeto</w:t>
            </w:r>
          </w:p>
        </w:tc>
        <w:tc>
          <w:tcPr>
            <w:tcW w:w="2351" w:type="dxa"/>
            <w:shd w:val="clear" w:color="auto" w:fill="F5F5F5"/>
          </w:tcPr>
          <w:p w14:paraId="745E8920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Reunião mensal</w:t>
            </w:r>
          </w:p>
        </w:tc>
      </w:tr>
      <w:tr w:rsidR="00995D09" w14:paraId="158B18F8" w14:textId="77777777">
        <w:trPr>
          <w:jc w:val="center"/>
        </w:trPr>
        <w:tc>
          <w:tcPr>
            <w:tcW w:w="2351" w:type="dxa"/>
          </w:tcPr>
          <w:p w14:paraId="76491991" w14:textId="77777777" w:rsidR="00995D09" w:rsidRDefault="00000000" w:rsidP="00172FD5">
            <w:pPr>
              <w:spacing w:after="0"/>
            </w:pPr>
            <w:r>
              <w:rPr>
                <w:b/>
                <w:sz w:val="20"/>
              </w:rPr>
              <w:t>Conselho Consultivo</w:t>
            </w:r>
          </w:p>
        </w:tc>
        <w:tc>
          <w:tcPr>
            <w:tcW w:w="2351" w:type="dxa"/>
          </w:tcPr>
          <w:p w14:paraId="6D66D80B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Representantes de todos os parceiros</w:t>
            </w:r>
          </w:p>
        </w:tc>
        <w:tc>
          <w:tcPr>
            <w:tcW w:w="2351" w:type="dxa"/>
          </w:tcPr>
          <w:p w14:paraId="1D7B0E51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Aconselhamento estratégico</w:t>
            </w:r>
          </w:p>
        </w:tc>
        <w:tc>
          <w:tcPr>
            <w:tcW w:w="2351" w:type="dxa"/>
          </w:tcPr>
          <w:p w14:paraId="14E0F7B2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Reunião trimestral</w:t>
            </w:r>
          </w:p>
        </w:tc>
      </w:tr>
      <w:tr w:rsidR="00995D09" w14:paraId="59F4F10B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449A981" w14:textId="77777777" w:rsidR="00995D09" w:rsidRDefault="00000000" w:rsidP="00172FD5">
            <w:pPr>
              <w:spacing w:after="0"/>
            </w:pPr>
            <w:r>
              <w:rPr>
                <w:b/>
                <w:sz w:val="20"/>
              </w:rPr>
              <w:t>Comité Técnico</w:t>
            </w:r>
          </w:p>
        </w:tc>
        <w:tc>
          <w:tcPr>
            <w:tcW w:w="2351" w:type="dxa"/>
            <w:shd w:val="clear" w:color="auto" w:fill="F5F5F5"/>
          </w:tcPr>
          <w:p w14:paraId="68F8714F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IPNS + Direção + Coordenadores</w:t>
            </w:r>
          </w:p>
        </w:tc>
        <w:tc>
          <w:tcPr>
            <w:tcW w:w="2351" w:type="dxa"/>
            <w:shd w:val="clear" w:color="auto" w:fill="F5F5F5"/>
          </w:tcPr>
          <w:p w14:paraId="1E1FCD6D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Acompanhamento técnico e financeiro</w:t>
            </w:r>
          </w:p>
        </w:tc>
        <w:tc>
          <w:tcPr>
            <w:tcW w:w="2351" w:type="dxa"/>
            <w:shd w:val="clear" w:color="auto" w:fill="F5F5F5"/>
          </w:tcPr>
          <w:p w14:paraId="45188D63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Reunião quinzenal</w:t>
            </w:r>
          </w:p>
        </w:tc>
      </w:tr>
    </w:tbl>
    <w:p w14:paraId="24D02A49" w14:textId="77777777" w:rsidR="00995D09" w:rsidRDefault="00995D09" w:rsidP="00172FD5">
      <w:pPr>
        <w:spacing w:after="0"/>
      </w:pPr>
    </w:p>
    <w:p w14:paraId="60F2EC96" w14:textId="77777777" w:rsidR="00995D09" w:rsidRDefault="00000000" w:rsidP="00172FD5">
      <w:pPr>
        <w:spacing w:before="12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26B2DED" w14:textId="77777777" w:rsidR="00995D09" w:rsidRDefault="00000000" w:rsidP="00172FD5">
      <w:pPr>
        <w:pStyle w:val="Ttulo2"/>
        <w:spacing w:after="0"/>
      </w:pPr>
      <w:r>
        <w:t>3. Cronograma de Ativação de Parcerias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95D09" w14:paraId="7F07BBBD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44CDCB78" w14:textId="77777777" w:rsidR="00995D09" w:rsidRDefault="00000000" w:rsidP="00172FD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Parceiro</w:t>
            </w:r>
          </w:p>
        </w:tc>
        <w:tc>
          <w:tcPr>
            <w:tcW w:w="2351" w:type="dxa"/>
            <w:shd w:val="clear" w:color="auto" w:fill="1A1A1A"/>
          </w:tcPr>
          <w:p w14:paraId="2603836D" w14:textId="77777777" w:rsidR="00995D09" w:rsidRDefault="00000000" w:rsidP="00172FD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Fase de Ativação</w:t>
            </w:r>
          </w:p>
        </w:tc>
        <w:tc>
          <w:tcPr>
            <w:tcW w:w="2351" w:type="dxa"/>
            <w:shd w:val="clear" w:color="auto" w:fill="1A1A1A"/>
          </w:tcPr>
          <w:p w14:paraId="6FD5B55A" w14:textId="77777777" w:rsidR="00995D09" w:rsidRDefault="00000000" w:rsidP="00172FD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w="2351" w:type="dxa"/>
            <w:shd w:val="clear" w:color="auto" w:fill="1A1A1A"/>
          </w:tcPr>
          <w:p w14:paraId="749B25D8" w14:textId="77777777" w:rsidR="00995D09" w:rsidRDefault="00000000" w:rsidP="00172FD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Prazo</w:t>
            </w:r>
          </w:p>
        </w:tc>
      </w:tr>
      <w:tr w:rsidR="00995D09" w14:paraId="56AD29B2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6BA2DA1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IPNS</w:t>
            </w:r>
          </w:p>
        </w:tc>
        <w:tc>
          <w:tcPr>
            <w:tcW w:w="2351" w:type="dxa"/>
            <w:shd w:val="clear" w:color="auto" w:fill="F5F5F5"/>
          </w:tcPr>
          <w:p w14:paraId="0F756FF4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Mês 1</w:t>
            </w:r>
          </w:p>
        </w:tc>
        <w:tc>
          <w:tcPr>
            <w:tcW w:w="2351" w:type="dxa"/>
            <w:shd w:val="clear" w:color="auto" w:fill="F5F5F5"/>
          </w:tcPr>
          <w:p w14:paraId="27549DC9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Celebração do protocolo de assessoria</w:t>
            </w:r>
          </w:p>
        </w:tc>
        <w:tc>
          <w:tcPr>
            <w:tcW w:w="2351" w:type="dxa"/>
            <w:shd w:val="clear" w:color="auto" w:fill="F5F5F5"/>
          </w:tcPr>
          <w:p w14:paraId="7436000F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Imediato</w:t>
            </w:r>
          </w:p>
        </w:tc>
      </w:tr>
      <w:tr w:rsidR="00995D09" w14:paraId="23F5F306" w14:textId="77777777">
        <w:trPr>
          <w:jc w:val="center"/>
        </w:trPr>
        <w:tc>
          <w:tcPr>
            <w:tcW w:w="2351" w:type="dxa"/>
          </w:tcPr>
          <w:p w14:paraId="4C25813B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Banda Visconde de Salreu</w:t>
            </w:r>
          </w:p>
        </w:tc>
        <w:tc>
          <w:tcPr>
            <w:tcW w:w="2351" w:type="dxa"/>
          </w:tcPr>
          <w:p w14:paraId="55DBA008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Mês 1-2</w:t>
            </w:r>
          </w:p>
        </w:tc>
        <w:tc>
          <w:tcPr>
            <w:tcW w:w="2351" w:type="dxa"/>
          </w:tcPr>
          <w:p w14:paraId="65972673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Protocolo de cooperação cultural</w:t>
            </w:r>
          </w:p>
        </w:tc>
        <w:tc>
          <w:tcPr>
            <w:tcW w:w="2351" w:type="dxa"/>
          </w:tcPr>
          <w:p w14:paraId="72AAF7EB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60 dias</w:t>
            </w:r>
          </w:p>
        </w:tc>
      </w:tr>
      <w:tr w:rsidR="00995D09" w14:paraId="3221E3E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D790260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Câmara Municipal de Estarreja</w:t>
            </w:r>
          </w:p>
        </w:tc>
        <w:tc>
          <w:tcPr>
            <w:tcW w:w="2351" w:type="dxa"/>
            <w:shd w:val="clear" w:color="auto" w:fill="F5F5F5"/>
          </w:tcPr>
          <w:p w14:paraId="165CE482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Mês 2-3</w:t>
            </w:r>
          </w:p>
        </w:tc>
        <w:tc>
          <w:tcPr>
            <w:tcW w:w="2351" w:type="dxa"/>
            <w:shd w:val="clear" w:color="auto" w:fill="F5F5F5"/>
          </w:tcPr>
          <w:p w14:paraId="04B71B95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Reunião institucional + protocolo</w:t>
            </w:r>
          </w:p>
        </w:tc>
        <w:tc>
          <w:tcPr>
            <w:tcW w:w="2351" w:type="dxa"/>
            <w:shd w:val="clear" w:color="auto" w:fill="F5F5F5"/>
          </w:tcPr>
          <w:p w14:paraId="7FA9DA1F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90 dias</w:t>
            </w:r>
          </w:p>
        </w:tc>
      </w:tr>
      <w:tr w:rsidR="00995D09" w14:paraId="43BE0C03" w14:textId="77777777">
        <w:trPr>
          <w:jc w:val="center"/>
        </w:trPr>
        <w:tc>
          <w:tcPr>
            <w:tcW w:w="2351" w:type="dxa"/>
          </w:tcPr>
          <w:p w14:paraId="5930EC82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IEFP — Aveiro</w:t>
            </w:r>
          </w:p>
        </w:tc>
        <w:tc>
          <w:tcPr>
            <w:tcW w:w="2351" w:type="dxa"/>
          </w:tcPr>
          <w:p w14:paraId="44EE1E07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Mês 3-4</w:t>
            </w:r>
          </w:p>
        </w:tc>
        <w:tc>
          <w:tcPr>
            <w:tcW w:w="2351" w:type="dxa"/>
          </w:tcPr>
          <w:p w14:paraId="7E02D479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Acordo de cooperação para formação</w:t>
            </w:r>
          </w:p>
        </w:tc>
        <w:tc>
          <w:tcPr>
            <w:tcW w:w="2351" w:type="dxa"/>
          </w:tcPr>
          <w:p w14:paraId="4D9E0F4E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120 dias</w:t>
            </w:r>
          </w:p>
        </w:tc>
      </w:tr>
      <w:tr w:rsidR="00995D09" w14:paraId="09208D0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CDF9F69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Escola de Laceiras</w:t>
            </w:r>
          </w:p>
        </w:tc>
        <w:tc>
          <w:tcPr>
            <w:tcW w:w="2351" w:type="dxa"/>
            <w:shd w:val="clear" w:color="auto" w:fill="F5F5F5"/>
          </w:tcPr>
          <w:p w14:paraId="59F3748E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Mês 4-6</w:t>
            </w:r>
          </w:p>
        </w:tc>
        <w:tc>
          <w:tcPr>
            <w:tcW w:w="2351" w:type="dxa"/>
            <w:shd w:val="clear" w:color="auto" w:fill="F5F5F5"/>
          </w:tcPr>
          <w:p w14:paraId="6BCB5DB3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Protocolo de formação em artes têxteis</w:t>
            </w:r>
          </w:p>
        </w:tc>
        <w:tc>
          <w:tcPr>
            <w:tcW w:w="2351" w:type="dxa"/>
            <w:shd w:val="clear" w:color="auto" w:fill="F5F5F5"/>
          </w:tcPr>
          <w:p w14:paraId="73D68E5D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180 dias</w:t>
            </w:r>
          </w:p>
        </w:tc>
      </w:tr>
      <w:tr w:rsidR="00995D09" w14:paraId="1E0134CE" w14:textId="77777777">
        <w:trPr>
          <w:jc w:val="center"/>
        </w:trPr>
        <w:tc>
          <w:tcPr>
            <w:tcW w:w="2351" w:type="dxa"/>
          </w:tcPr>
          <w:p w14:paraId="40CF4080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Turismo do Centro</w:t>
            </w:r>
          </w:p>
        </w:tc>
        <w:tc>
          <w:tcPr>
            <w:tcW w:w="2351" w:type="dxa"/>
          </w:tcPr>
          <w:p w14:paraId="69EA4B1C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Mês 6-8</w:t>
            </w:r>
          </w:p>
        </w:tc>
        <w:tc>
          <w:tcPr>
            <w:tcW w:w="2351" w:type="dxa"/>
          </w:tcPr>
          <w:p w14:paraId="5C505E7E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Adesão à rede regional de turismo</w:t>
            </w:r>
          </w:p>
        </w:tc>
        <w:tc>
          <w:tcPr>
            <w:tcW w:w="2351" w:type="dxa"/>
          </w:tcPr>
          <w:p w14:paraId="1245E224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240 dias</w:t>
            </w:r>
          </w:p>
        </w:tc>
      </w:tr>
      <w:tr w:rsidR="00995D09" w14:paraId="6C17E1A8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F537F61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Universidade de Aveiro</w:t>
            </w:r>
          </w:p>
        </w:tc>
        <w:tc>
          <w:tcPr>
            <w:tcW w:w="2351" w:type="dxa"/>
            <w:shd w:val="clear" w:color="auto" w:fill="F5F5F5"/>
          </w:tcPr>
          <w:p w14:paraId="314A7D16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Mês 6-12</w:t>
            </w:r>
          </w:p>
        </w:tc>
        <w:tc>
          <w:tcPr>
            <w:tcW w:w="2351" w:type="dxa"/>
            <w:shd w:val="clear" w:color="auto" w:fill="F5F5F5"/>
          </w:tcPr>
          <w:p w14:paraId="11AD8E76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Protocolo académico</w:t>
            </w:r>
          </w:p>
        </w:tc>
        <w:tc>
          <w:tcPr>
            <w:tcW w:w="2351" w:type="dxa"/>
            <w:shd w:val="clear" w:color="auto" w:fill="F5F5F5"/>
          </w:tcPr>
          <w:p w14:paraId="4A3EF3B2" w14:textId="77777777" w:rsidR="00995D09" w:rsidRDefault="00000000" w:rsidP="00172FD5">
            <w:pPr>
              <w:spacing w:after="0"/>
            </w:pPr>
            <w:r>
              <w:rPr>
                <w:sz w:val="20"/>
              </w:rPr>
              <w:t>365 dias</w:t>
            </w:r>
          </w:p>
        </w:tc>
      </w:tr>
    </w:tbl>
    <w:p w14:paraId="6B38DCBF" w14:textId="77777777" w:rsidR="00995D09" w:rsidRDefault="00995D09" w:rsidP="00172FD5">
      <w:pPr>
        <w:spacing w:after="0"/>
      </w:pPr>
    </w:p>
    <w:p w14:paraId="7F7968D2" w14:textId="77777777" w:rsidR="00995D09" w:rsidRDefault="00000000" w:rsidP="00172FD5">
      <w:pPr>
        <w:spacing w:before="12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FB72D9B" w14:textId="77777777" w:rsidR="00995D09" w:rsidRDefault="00000000" w:rsidP="00172FD5">
      <w:pPr>
        <w:spacing w:after="0"/>
      </w:pPr>
      <w:r>
        <w:rPr>
          <w:i/>
        </w:rPr>
        <w:t>Instituto Português de Negócios Sociais — Bureau Social</w:t>
      </w:r>
    </w:p>
    <w:p w14:paraId="615D941C" w14:textId="77777777" w:rsidR="00995D09" w:rsidRDefault="00000000" w:rsidP="00172FD5">
      <w:pPr>
        <w:spacing w:after="0"/>
      </w:pPr>
      <w:r>
        <w:rPr>
          <w:i/>
        </w:rPr>
        <w:t>Março de 2026</w:t>
      </w:r>
    </w:p>
    <w:sectPr w:rsidR="00995D09" w:rsidSect="00034616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05DDB" w14:textId="77777777" w:rsidR="00CB6FE8" w:rsidRDefault="00CB6FE8" w:rsidP="00172FD5">
      <w:pPr>
        <w:spacing w:after="0" w:line="240" w:lineRule="auto"/>
      </w:pPr>
      <w:r>
        <w:separator/>
      </w:r>
    </w:p>
  </w:endnote>
  <w:endnote w:type="continuationSeparator" w:id="0">
    <w:p w14:paraId="48BF681C" w14:textId="77777777" w:rsidR="00CB6FE8" w:rsidRDefault="00CB6FE8" w:rsidP="00172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E2EBF" w14:textId="77777777" w:rsidR="00CB6FE8" w:rsidRDefault="00CB6FE8" w:rsidP="00172FD5">
      <w:pPr>
        <w:spacing w:after="0" w:line="240" w:lineRule="auto"/>
      </w:pPr>
      <w:r>
        <w:separator/>
      </w:r>
    </w:p>
  </w:footnote>
  <w:footnote w:type="continuationSeparator" w:id="0">
    <w:p w14:paraId="1300FD6F" w14:textId="77777777" w:rsidR="00CB6FE8" w:rsidRDefault="00CB6FE8" w:rsidP="00172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76F33" w14:textId="3B35C955" w:rsidR="00172FD5" w:rsidRDefault="00172FD5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979A2C4" wp14:editId="66708E7D">
          <wp:simplePos x="0" y="0"/>
          <wp:positionH relativeFrom="column">
            <wp:posOffset>-913858</wp:posOffset>
          </wp:positionH>
          <wp:positionV relativeFrom="paragraph">
            <wp:posOffset>-735965</wp:posOffset>
          </wp:positionV>
          <wp:extent cx="7860264" cy="10391636"/>
          <wp:effectExtent l="0" t="0" r="1270" b="0"/>
          <wp:wrapNone/>
          <wp:docPr id="2056105214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105214" name="Imagem 1" descr="Uma imagem contendo Interface gráfica do usuári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0264" cy="10391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507578">
    <w:abstractNumId w:val="8"/>
  </w:num>
  <w:num w:numId="2" w16cid:durableId="1337153273">
    <w:abstractNumId w:val="6"/>
  </w:num>
  <w:num w:numId="3" w16cid:durableId="641272181">
    <w:abstractNumId w:val="5"/>
  </w:num>
  <w:num w:numId="4" w16cid:durableId="811211366">
    <w:abstractNumId w:val="4"/>
  </w:num>
  <w:num w:numId="5" w16cid:durableId="1218281402">
    <w:abstractNumId w:val="7"/>
  </w:num>
  <w:num w:numId="6" w16cid:durableId="1049189570">
    <w:abstractNumId w:val="3"/>
  </w:num>
  <w:num w:numId="7" w16cid:durableId="1984388775">
    <w:abstractNumId w:val="2"/>
  </w:num>
  <w:num w:numId="8" w16cid:durableId="534463507">
    <w:abstractNumId w:val="1"/>
  </w:num>
  <w:num w:numId="9" w16cid:durableId="121395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FD5"/>
    <w:rsid w:val="0029639D"/>
    <w:rsid w:val="00326F90"/>
    <w:rsid w:val="00995D09"/>
    <w:rsid w:val="00AA1D8D"/>
    <w:rsid w:val="00B47730"/>
    <w:rsid w:val="00CB0664"/>
    <w:rsid w:val="00CB6FE8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467CE0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2329</Characters>
  <Application>Microsoft Office Word</Application>
  <DocSecurity>0</DocSecurity>
  <Lines>166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3</cp:revision>
  <cp:lastPrinted>2026-03-10T19:22:00Z</cp:lastPrinted>
  <dcterms:created xsi:type="dcterms:W3CDTF">2026-03-10T19:22:00Z</dcterms:created>
  <dcterms:modified xsi:type="dcterms:W3CDTF">2026-03-10T19:22:00Z</dcterms:modified>
  <cp:category/>
</cp:coreProperties>
</file>