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5A01" w14:textId="77777777" w:rsidR="00A14AC1" w:rsidRDefault="00000000" w:rsidP="00656B30">
      <w:pPr>
        <w:pStyle w:val="Ttulo1"/>
        <w:spacing w:after="0"/>
      </w:pPr>
      <w:r>
        <w:t>Estudo de Viabilidade Económica — Quinta do Visconde de Salreu</w:t>
      </w:r>
    </w:p>
    <w:p w14:paraId="4450B640" w14:textId="77777777" w:rsidR="00A14AC1" w:rsidRDefault="00000000" w:rsidP="00656B30">
      <w:pPr>
        <w:spacing w:after="0"/>
      </w:pPr>
      <w:r>
        <w:rPr>
          <w:b/>
        </w:rPr>
        <w:t>Investimento Total:</w:t>
      </w:r>
      <w:r>
        <w:t xml:space="preserve"> €2.070.000</w:t>
      </w:r>
    </w:p>
    <w:p w14:paraId="676C7F94" w14:textId="77777777" w:rsidR="00A14AC1" w:rsidRDefault="00000000" w:rsidP="00656B30">
      <w:pPr>
        <w:spacing w:after="0"/>
      </w:pPr>
      <w:r>
        <w:rPr>
          <w:b/>
        </w:rPr>
        <w:t>Data:</w:t>
      </w:r>
      <w:r>
        <w:t xml:space="preserve"> Março de 2026</w:t>
      </w:r>
    </w:p>
    <w:p w14:paraId="04562515" w14:textId="77777777" w:rsidR="00A14AC1" w:rsidRDefault="00000000" w:rsidP="00656B30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7D93C17" w14:textId="77777777" w:rsidR="00A14AC1" w:rsidRDefault="00000000" w:rsidP="00656B30">
      <w:pPr>
        <w:pStyle w:val="Ttulo2"/>
        <w:spacing w:after="0"/>
      </w:pPr>
      <w:r>
        <w:t>1. Pressupostos</w:t>
      </w:r>
    </w:p>
    <w:p w14:paraId="63E337AA" w14:textId="77777777" w:rsidR="00A14AC1" w:rsidRDefault="00000000" w:rsidP="00656B30">
      <w:pPr>
        <w:spacing w:after="0"/>
      </w:pPr>
      <w:r>
        <w:t>O presente estudo de viabilidade económica baseia-se em dados de mercado recolhidos em fevereiro-março de 2026, incluindo custos de restauro patrimonial em Portugal [1], rendimentos de alojamento local na região de Aveiro [2] e custos operacionais de projetos similares.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A14AC1" w14:paraId="3DE4D4B3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EDB5199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Pressuposto</w:t>
            </w:r>
          </w:p>
        </w:tc>
        <w:tc>
          <w:tcPr>
            <w:tcW w:w="3135" w:type="dxa"/>
            <w:shd w:val="clear" w:color="auto" w:fill="1A1A1A"/>
          </w:tcPr>
          <w:p w14:paraId="5ED61014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3135" w:type="dxa"/>
            <w:shd w:val="clear" w:color="auto" w:fill="1A1A1A"/>
          </w:tcPr>
          <w:p w14:paraId="5533C3A1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</w:tr>
      <w:tr w:rsidR="00A14AC1" w14:paraId="1721DBE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EC0AF5F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Tarifa média de alojamento</w:t>
            </w:r>
          </w:p>
        </w:tc>
        <w:tc>
          <w:tcPr>
            <w:tcW w:w="3135" w:type="dxa"/>
            <w:shd w:val="clear" w:color="auto" w:fill="F5F5F5"/>
          </w:tcPr>
          <w:p w14:paraId="111488E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€85/noite</w:t>
            </w:r>
          </w:p>
        </w:tc>
        <w:tc>
          <w:tcPr>
            <w:tcW w:w="3135" w:type="dxa"/>
            <w:shd w:val="clear" w:color="auto" w:fill="F5F5F5"/>
          </w:tcPr>
          <w:p w14:paraId="5BD50B5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AirDNA — Aveiro 2025</w:t>
            </w:r>
          </w:p>
        </w:tc>
      </w:tr>
      <w:tr w:rsidR="00A14AC1" w14:paraId="2619AF3B" w14:textId="77777777">
        <w:trPr>
          <w:jc w:val="center"/>
        </w:trPr>
        <w:tc>
          <w:tcPr>
            <w:tcW w:w="3135" w:type="dxa"/>
          </w:tcPr>
          <w:p w14:paraId="08FD329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Taxa de ocupação (Ano 1 / Ano 2 / Ano 3)</w:t>
            </w:r>
          </w:p>
        </w:tc>
        <w:tc>
          <w:tcPr>
            <w:tcW w:w="3135" w:type="dxa"/>
          </w:tcPr>
          <w:p w14:paraId="7489806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25% / 35% / 45%</w:t>
            </w:r>
          </w:p>
        </w:tc>
        <w:tc>
          <w:tcPr>
            <w:tcW w:w="3135" w:type="dxa"/>
          </w:tcPr>
          <w:p w14:paraId="5A0FAAD6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Benchmark turismo rural Centro</w:t>
            </w:r>
          </w:p>
        </w:tc>
      </w:tr>
      <w:tr w:rsidR="00A14AC1" w14:paraId="17147A7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2643BF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Inflação anual</w:t>
            </w:r>
          </w:p>
        </w:tc>
        <w:tc>
          <w:tcPr>
            <w:tcW w:w="3135" w:type="dxa"/>
            <w:shd w:val="clear" w:color="auto" w:fill="F5F5F5"/>
          </w:tcPr>
          <w:p w14:paraId="1A5CF176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2,5%</w:t>
            </w:r>
          </w:p>
        </w:tc>
        <w:tc>
          <w:tcPr>
            <w:tcW w:w="3135" w:type="dxa"/>
            <w:shd w:val="clear" w:color="auto" w:fill="F5F5F5"/>
          </w:tcPr>
          <w:p w14:paraId="7AA7EBF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Banco de Portugal</w:t>
            </w:r>
          </w:p>
        </w:tc>
      </w:tr>
      <w:tr w:rsidR="00A14AC1" w14:paraId="0DBBB6E4" w14:textId="77777777">
        <w:trPr>
          <w:jc w:val="center"/>
        </w:trPr>
        <w:tc>
          <w:tcPr>
            <w:tcW w:w="3135" w:type="dxa"/>
          </w:tcPr>
          <w:p w14:paraId="07AAD3F7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Taxa de desconto</w:t>
            </w:r>
          </w:p>
        </w:tc>
        <w:tc>
          <w:tcPr>
            <w:tcW w:w="3135" w:type="dxa"/>
          </w:tcPr>
          <w:p w14:paraId="3F926F11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6%</w:t>
            </w:r>
          </w:p>
        </w:tc>
        <w:tc>
          <w:tcPr>
            <w:tcW w:w="3135" w:type="dxa"/>
          </w:tcPr>
          <w:p w14:paraId="6FBBABD3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Prática de mercado</w:t>
            </w:r>
          </w:p>
        </w:tc>
      </w:tr>
      <w:tr w:rsidR="00A14AC1" w14:paraId="286F2E2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563F841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Período de análise</w:t>
            </w:r>
          </w:p>
        </w:tc>
        <w:tc>
          <w:tcPr>
            <w:tcW w:w="3135" w:type="dxa"/>
            <w:shd w:val="clear" w:color="auto" w:fill="F5F5F5"/>
          </w:tcPr>
          <w:p w14:paraId="1737D4FF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10 anos</w:t>
            </w:r>
          </w:p>
        </w:tc>
        <w:tc>
          <w:tcPr>
            <w:tcW w:w="3135" w:type="dxa"/>
            <w:shd w:val="clear" w:color="auto" w:fill="F5F5F5"/>
          </w:tcPr>
          <w:p w14:paraId="53F2E60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—</w:t>
            </w:r>
          </w:p>
        </w:tc>
      </w:tr>
      <w:tr w:rsidR="00A14AC1" w14:paraId="25B17809" w14:textId="77777777">
        <w:trPr>
          <w:jc w:val="center"/>
        </w:trPr>
        <w:tc>
          <w:tcPr>
            <w:tcW w:w="3135" w:type="dxa"/>
          </w:tcPr>
          <w:p w14:paraId="4C4B3E7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Financiamento a fundo perdido</w:t>
            </w:r>
          </w:p>
        </w:tc>
        <w:tc>
          <w:tcPr>
            <w:tcW w:w="3135" w:type="dxa"/>
          </w:tcPr>
          <w:p w14:paraId="7DA7B44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58% (€1.200.000)</w:t>
            </w:r>
          </w:p>
        </w:tc>
        <w:tc>
          <w:tcPr>
            <w:tcW w:w="3135" w:type="dxa"/>
          </w:tcPr>
          <w:p w14:paraId="25BB8386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Cenário base</w:t>
            </w:r>
          </w:p>
        </w:tc>
      </w:tr>
    </w:tbl>
    <w:p w14:paraId="2456A845" w14:textId="77777777" w:rsidR="00A14AC1" w:rsidRDefault="00A14AC1" w:rsidP="00656B30">
      <w:pPr>
        <w:spacing w:after="0"/>
      </w:pPr>
    </w:p>
    <w:p w14:paraId="2B821EFB" w14:textId="77777777" w:rsidR="00A14AC1" w:rsidRDefault="00000000" w:rsidP="00656B30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9EB5AB3" w14:textId="77777777" w:rsidR="00A14AC1" w:rsidRDefault="00000000" w:rsidP="00656B30">
      <w:pPr>
        <w:pStyle w:val="Ttulo2"/>
        <w:spacing w:after="0"/>
      </w:pPr>
      <w:r>
        <w:t>2. Fontes de Receita</w:t>
      </w:r>
    </w:p>
    <w:p w14:paraId="150364DD" w14:textId="77777777" w:rsidR="00A14AC1" w:rsidRDefault="00000000" w:rsidP="00656B30">
      <w:pPr>
        <w:pStyle w:val="Ttulo3"/>
        <w:spacing w:after="0"/>
      </w:pPr>
      <w:r>
        <w:t>2.1. Receitas Projetadas — Ano 3 (Operação Plena)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3"/>
        <w:gridCol w:w="3131"/>
      </w:tblGrid>
      <w:tr w:rsidR="00A14AC1" w14:paraId="50436176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E4131FA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Fonte de Receita</w:t>
            </w:r>
          </w:p>
        </w:tc>
        <w:tc>
          <w:tcPr>
            <w:tcW w:w="3135" w:type="dxa"/>
            <w:shd w:val="clear" w:color="auto" w:fill="1A1A1A"/>
          </w:tcPr>
          <w:p w14:paraId="6627066E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w="3135" w:type="dxa"/>
            <w:shd w:val="clear" w:color="auto" w:fill="1A1A1A"/>
          </w:tcPr>
          <w:p w14:paraId="022E9629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Valor Anual</w:t>
            </w:r>
          </w:p>
        </w:tc>
      </w:tr>
      <w:tr w:rsidR="00A14AC1" w14:paraId="35DB8A4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3FEB90C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Alojamento turístico</w:t>
            </w:r>
          </w:p>
        </w:tc>
        <w:tc>
          <w:tcPr>
            <w:tcW w:w="3135" w:type="dxa"/>
            <w:shd w:val="clear" w:color="auto" w:fill="F5F5F5"/>
          </w:tcPr>
          <w:p w14:paraId="1E0DCF4A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14 unidades × €85/noite × 365 dias × 45% ocupação</w:t>
            </w:r>
          </w:p>
        </w:tc>
        <w:tc>
          <w:tcPr>
            <w:tcW w:w="3135" w:type="dxa"/>
            <w:shd w:val="clear" w:color="auto" w:fill="F5F5F5"/>
          </w:tcPr>
          <w:p w14:paraId="12D5F9C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€199.000</w:t>
            </w:r>
          </w:p>
        </w:tc>
      </w:tr>
      <w:tr w:rsidR="00A14AC1" w14:paraId="70E287AA" w14:textId="77777777">
        <w:trPr>
          <w:jc w:val="center"/>
        </w:trPr>
        <w:tc>
          <w:tcPr>
            <w:tcW w:w="3135" w:type="dxa"/>
          </w:tcPr>
          <w:p w14:paraId="42558B5B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Workshops e formação</w:t>
            </w:r>
          </w:p>
        </w:tc>
        <w:tc>
          <w:tcPr>
            <w:tcW w:w="3135" w:type="dxa"/>
          </w:tcPr>
          <w:p w14:paraId="66D004AA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16 workshops/semana × 48 semanas × €30 médio × 8 participantes</w:t>
            </w:r>
          </w:p>
        </w:tc>
        <w:tc>
          <w:tcPr>
            <w:tcW w:w="3135" w:type="dxa"/>
          </w:tcPr>
          <w:p w14:paraId="554FC91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€184.320</w:t>
            </w:r>
          </w:p>
        </w:tc>
      </w:tr>
      <w:tr w:rsidR="00A14AC1" w14:paraId="080DBDA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D7B7ED1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Visitas guiadas</w:t>
            </w:r>
          </w:p>
        </w:tc>
        <w:tc>
          <w:tcPr>
            <w:tcW w:w="3135" w:type="dxa"/>
            <w:shd w:val="clear" w:color="auto" w:fill="F5F5F5"/>
          </w:tcPr>
          <w:p w14:paraId="45BCEDB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6.000 visitantes × €12 médio</w:t>
            </w:r>
          </w:p>
        </w:tc>
        <w:tc>
          <w:tcPr>
            <w:tcW w:w="3135" w:type="dxa"/>
            <w:shd w:val="clear" w:color="auto" w:fill="F5F5F5"/>
          </w:tcPr>
          <w:p w14:paraId="7BF884DB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€72.000</w:t>
            </w:r>
          </w:p>
        </w:tc>
      </w:tr>
      <w:tr w:rsidR="00A14AC1" w14:paraId="5775AC3F" w14:textId="77777777">
        <w:trPr>
          <w:jc w:val="center"/>
        </w:trPr>
        <w:tc>
          <w:tcPr>
            <w:tcW w:w="3135" w:type="dxa"/>
          </w:tcPr>
          <w:p w14:paraId="1232298F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Loja de artesanato</w:t>
            </w:r>
          </w:p>
        </w:tc>
        <w:tc>
          <w:tcPr>
            <w:tcW w:w="3135" w:type="dxa"/>
          </w:tcPr>
          <w:p w14:paraId="2970FDA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Margem sobre vendas de artesanato local</w:t>
            </w:r>
          </w:p>
        </w:tc>
        <w:tc>
          <w:tcPr>
            <w:tcW w:w="3135" w:type="dxa"/>
          </w:tcPr>
          <w:p w14:paraId="6EC00466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€18.000</w:t>
            </w:r>
          </w:p>
        </w:tc>
      </w:tr>
      <w:tr w:rsidR="00A14AC1" w14:paraId="7F3A66D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85DDC01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Eventos e concertos</w:t>
            </w:r>
          </w:p>
        </w:tc>
        <w:tc>
          <w:tcPr>
            <w:tcW w:w="3135" w:type="dxa"/>
            <w:shd w:val="clear" w:color="auto" w:fill="F5F5F5"/>
          </w:tcPr>
          <w:p w14:paraId="23CDFA8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12 eventos × €1.350 médio</w:t>
            </w:r>
          </w:p>
        </w:tc>
        <w:tc>
          <w:tcPr>
            <w:tcW w:w="3135" w:type="dxa"/>
            <w:shd w:val="clear" w:color="auto" w:fill="F5F5F5"/>
          </w:tcPr>
          <w:p w14:paraId="30105FD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€16.200</w:t>
            </w:r>
          </w:p>
        </w:tc>
      </w:tr>
      <w:tr w:rsidR="00A14AC1" w14:paraId="64A20096" w14:textId="77777777">
        <w:trPr>
          <w:jc w:val="center"/>
        </w:trPr>
        <w:tc>
          <w:tcPr>
            <w:tcW w:w="3135" w:type="dxa"/>
          </w:tcPr>
          <w:p w14:paraId="7E874F57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3135" w:type="dxa"/>
          </w:tcPr>
          <w:p w14:paraId="27FBC0B5" w14:textId="77777777" w:rsidR="00A14AC1" w:rsidRDefault="00A14AC1" w:rsidP="00656B30">
            <w:pPr>
              <w:spacing w:after="0"/>
            </w:pPr>
          </w:p>
        </w:tc>
        <w:tc>
          <w:tcPr>
            <w:tcW w:w="3135" w:type="dxa"/>
          </w:tcPr>
          <w:p w14:paraId="001C9C3A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€489.520</w:t>
            </w:r>
          </w:p>
        </w:tc>
      </w:tr>
    </w:tbl>
    <w:p w14:paraId="35FD5814" w14:textId="77777777" w:rsidR="00A14AC1" w:rsidRDefault="00A14AC1" w:rsidP="00656B30">
      <w:pPr>
        <w:spacing w:after="0"/>
      </w:pPr>
    </w:p>
    <w:p w14:paraId="5328DA78" w14:textId="77777777" w:rsidR="00A14AC1" w:rsidRDefault="00000000" w:rsidP="00656B30">
      <w:pPr>
        <w:pStyle w:val="Ttulo3"/>
        <w:spacing w:after="0"/>
      </w:pPr>
      <w:r>
        <w:lastRenderedPageBreak/>
        <w:t>2.2. Evolução de Receitas (5 anos)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41"/>
        <w:gridCol w:w="1343"/>
        <w:gridCol w:w="1343"/>
        <w:gridCol w:w="1342"/>
        <w:gridCol w:w="1342"/>
        <w:gridCol w:w="1342"/>
        <w:gridCol w:w="1343"/>
      </w:tblGrid>
      <w:tr w:rsidR="00A14AC1" w14:paraId="07E44323" w14:textId="77777777">
        <w:trPr>
          <w:jc w:val="center"/>
        </w:trPr>
        <w:tc>
          <w:tcPr>
            <w:tcW w:w="1344" w:type="dxa"/>
            <w:shd w:val="clear" w:color="auto" w:fill="1A1A1A"/>
          </w:tcPr>
          <w:p w14:paraId="61521A50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w="1344" w:type="dxa"/>
            <w:shd w:val="clear" w:color="auto" w:fill="1A1A1A"/>
          </w:tcPr>
          <w:p w14:paraId="25C85E68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Alojamento</w:t>
            </w:r>
          </w:p>
        </w:tc>
        <w:tc>
          <w:tcPr>
            <w:tcW w:w="1344" w:type="dxa"/>
            <w:shd w:val="clear" w:color="auto" w:fill="1A1A1A"/>
          </w:tcPr>
          <w:p w14:paraId="12DA927A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Formação</w:t>
            </w:r>
          </w:p>
        </w:tc>
        <w:tc>
          <w:tcPr>
            <w:tcW w:w="1344" w:type="dxa"/>
            <w:shd w:val="clear" w:color="auto" w:fill="1A1A1A"/>
          </w:tcPr>
          <w:p w14:paraId="66320BDD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Visitas</w:t>
            </w:r>
          </w:p>
        </w:tc>
        <w:tc>
          <w:tcPr>
            <w:tcW w:w="1344" w:type="dxa"/>
            <w:shd w:val="clear" w:color="auto" w:fill="1A1A1A"/>
          </w:tcPr>
          <w:p w14:paraId="28FE0A4F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Loja</w:t>
            </w:r>
          </w:p>
        </w:tc>
        <w:tc>
          <w:tcPr>
            <w:tcW w:w="1344" w:type="dxa"/>
            <w:shd w:val="clear" w:color="auto" w:fill="1A1A1A"/>
          </w:tcPr>
          <w:p w14:paraId="34DE3731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Eventos</w:t>
            </w:r>
          </w:p>
        </w:tc>
        <w:tc>
          <w:tcPr>
            <w:tcW w:w="1344" w:type="dxa"/>
            <w:shd w:val="clear" w:color="auto" w:fill="1A1A1A"/>
          </w:tcPr>
          <w:p w14:paraId="4BF81902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**Total**</w:t>
            </w:r>
          </w:p>
        </w:tc>
      </w:tr>
      <w:tr w:rsidR="00A14AC1" w14:paraId="57E63C45" w14:textId="77777777">
        <w:trPr>
          <w:jc w:val="center"/>
        </w:trPr>
        <w:tc>
          <w:tcPr>
            <w:tcW w:w="1344" w:type="dxa"/>
            <w:shd w:val="clear" w:color="auto" w:fill="F5F5F5"/>
          </w:tcPr>
          <w:p w14:paraId="5AF04E4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1344" w:type="dxa"/>
            <w:shd w:val="clear" w:color="auto" w:fill="F5F5F5"/>
          </w:tcPr>
          <w:p w14:paraId="4FF825AE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€109.000</w:t>
            </w:r>
          </w:p>
        </w:tc>
        <w:tc>
          <w:tcPr>
            <w:tcW w:w="1344" w:type="dxa"/>
            <w:shd w:val="clear" w:color="auto" w:fill="F5F5F5"/>
          </w:tcPr>
          <w:p w14:paraId="7DCA51E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€92.000</w:t>
            </w:r>
          </w:p>
        </w:tc>
        <w:tc>
          <w:tcPr>
            <w:tcW w:w="1344" w:type="dxa"/>
            <w:shd w:val="clear" w:color="auto" w:fill="F5F5F5"/>
          </w:tcPr>
          <w:p w14:paraId="55B53F5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€24.000</w:t>
            </w:r>
          </w:p>
        </w:tc>
        <w:tc>
          <w:tcPr>
            <w:tcW w:w="1344" w:type="dxa"/>
            <w:shd w:val="clear" w:color="auto" w:fill="F5F5F5"/>
          </w:tcPr>
          <w:p w14:paraId="254BFBCC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€6.000</w:t>
            </w:r>
          </w:p>
        </w:tc>
        <w:tc>
          <w:tcPr>
            <w:tcW w:w="1344" w:type="dxa"/>
            <w:shd w:val="clear" w:color="auto" w:fill="F5F5F5"/>
          </w:tcPr>
          <w:p w14:paraId="6F077901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€8.000</w:t>
            </w:r>
          </w:p>
        </w:tc>
        <w:tc>
          <w:tcPr>
            <w:tcW w:w="1344" w:type="dxa"/>
            <w:shd w:val="clear" w:color="auto" w:fill="F5F5F5"/>
          </w:tcPr>
          <w:p w14:paraId="0CBA088A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€239.000</w:t>
            </w:r>
          </w:p>
        </w:tc>
      </w:tr>
      <w:tr w:rsidR="00A14AC1" w14:paraId="0E9EE786" w14:textId="77777777">
        <w:trPr>
          <w:jc w:val="center"/>
        </w:trPr>
        <w:tc>
          <w:tcPr>
            <w:tcW w:w="1344" w:type="dxa"/>
          </w:tcPr>
          <w:p w14:paraId="36A30E5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1344" w:type="dxa"/>
          </w:tcPr>
          <w:p w14:paraId="286AE3D2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€153.000</w:t>
            </w:r>
          </w:p>
        </w:tc>
        <w:tc>
          <w:tcPr>
            <w:tcW w:w="1344" w:type="dxa"/>
          </w:tcPr>
          <w:p w14:paraId="27B2C78E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€138.000</w:t>
            </w:r>
          </w:p>
        </w:tc>
        <w:tc>
          <w:tcPr>
            <w:tcW w:w="1344" w:type="dxa"/>
          </w:tcPr>
          <w:p w14:paraId="109E6B61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€48.000</w:t>
            </w:r>
          </w:p>
        </w:tc>
        <w:tc>
          <w:tcPr>
            <w:tcW w:w="1344" w:type="dxa"/>
          </w:tcPr>
          <w:p w14:paraId="288A251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€12.000</w:t>
            </w:r>
          </w:p>
        </w:tc>
        <w:tc>
          <w:tcPr>
            <w:tcW w:w="1344" w:type="dxa"/>
          </w:tcPr>
          <w:p w14:paraId="56BD5CFC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€12.000</w:t>
            </w:r>
          </w:p>
        </w:tc>
        <w:tc>
          <w:tcPr>
            <w:tcW w:w="1344" w:type="dxa"/>
          </w:tcPr>
          <w:p w14:paraId="39A51EE4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€363.000</w:t>
            </w:r>
          </w:p>
        </w:tc>
      </w:tr>
      <w:tr w:rsidR="00A14AC1" w14:paraId="7DF37D48" w14:textId="77777777">
        <w:trPr>
          <w:jc w:val="center"/>
        </w:trPr>
        <w:tc>
          <w:tcPr>
            <w:tcW w:w="1344" w:type="dxa"/>
            <w:shd w:val="clear" w:color="auto" w:fill="F5F5F5"/>
          </w:tcPr>
          <w:p w14:paraId="0124B93B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344" w:type="dxa"/>
            <w:shd w:val="clear" w:color="auto" w:fill="F5F5F5"/>
          </w:tcPr>
          <w:p w14:paraId="78E2ACB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€199.000</w:t>
            </w:r>
          </w:p>
        </w:tc>
        <w:tc>
          <w:tcPr>
            <w:tcW w:w="1344" w:type="dxa"/>
            <w:shd w:val="clear" w:color="auto" w:fill="F5F5F5"/>
          </w:tcPr>
          <w:p w14:paraId="2B09406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€184.320</w:t>
            </w:r>
          </w:p>
        </w:tc>
        <w:tc>
          <w:tcPr>
            <w:tcW w:w="1344" w:type="dxa"/>
            <w:shd w:val="clear" w:color="auto" w:fill="F5F5F5"/>
          </w:tcPr>
          <w:p w14:paraId="1CF9675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€72.000</w:t>
            </w:r>
          </w:p>
        </w:tc>
        <w:tc>
          <w:tcPr>
            <w:tcW w:w="1344" w:type="dxa"/>
            <w:shd w:val="clear" w:color="auto" w:fill="F5F5F5"/>
          </w:tcPr>
          <w:p w14:paraId="26FE7B5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€18.000</w:t>
            </w:r>
          </w:p>
        </w:tc>
        <w:tc>
          <w:tcPr>
            <w:tcW w:w="1344" w:type="dxa"/>
            <w:shd w:val="clear" w:color="auto" w:fill="F5F5F5"/>
          </w:tcPr>
          <w:p w14:paraId="0BCE0FA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€16.200</w:t>
            </w:r>
          </w:p>
        </w:tc>
        <w:tc>
          <w:tcPr>
            <w:tcW w:w="1344" w:type="dxa"/>
            <w:shd w:val="clear" w:color="auto" w:fill="F5F5F5"/>
          </w:tcPr>
          <w:p w14:paraId="7B3A12E3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€489.520</w:t>
            </w:r>
          </w:p>
        </w:tc>
      </w:tr>
      <w:tr w:rsidR="00A14AC1" w14:paraId="1B1FA97B" w14:textId="77777777">
        <w:trPr>
          <w:jc w:val="center"/>
        </w:trPr>
        <w:tc>
          <w:tcPr>
            <w:tcW w:w="1344" w:type="dxa"/>
          </w:tcPr>
          <w:p w14:paraId="011A25E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1344" w:type="dxa"/>
          </w:tcPr>
          <w:p w14:paraId="632BB972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€215.000</w:t>
            </w:r>
          </w:p>
        </w:tc>
        <w:tc>
          <w:tcPr>
            <w:tcW w:w="1344" w:type="dxa"/>
          </w:tcPr>
          <w:p w14:paraId="1F7637AA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€195.000</w:t>
            </w:r>
          </w:p>
        </w:tc>
        <w:tc>
          <w:tcPr>
            <w:tcW w:w="1344" w:type="dxa"/>
          </w:tcPr>
          <w:p w14:paraId="15422D42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€78.000</w:t>
            </w:r>
          </w:p>
        </w:tc>
        <w:tc>
          <w:tcPr>
            <w:tcW w:w="1344" w:type="dxa"/>
          </w:tcPr>
          <w:p w14:paraId="26CEEECE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€20.000</w:t>
            </w:r>
          </w:p>
        </w:tc>
        <w:tc>
          <w:tcPr>
            <w:tcW w:w="1344" w:type="dxa"/>
          </w:tcPr>
          <w:p w14:paraId="6BAC26A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€18.000</w:t>
            </w:r>
          </w:p>
        </w:tc>
        <w:tc>
          <w:tcPr>
            <w:tcW w:w="1344" w:type="dxa"/>
          </w:tcPr>
          <w:p w14:paraId="4653E25B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€526.000</w:t>
            </w:r>
          </w:p>
        </w:tc>
      </w:tr>
      <w:tr w:rsidR="00A14AC1" w14:paraId="0E2F58F0" w14:textId="77777777">
        <w:trPr>
          <w:jc w:val="center"/>
        </w:trPr>
        <w:tc>
          <w:tcPr>
            <w:tcW w:w="1344" w:type="dxa"/>
            <w:shd w:val="clear" w:color="auto" w:fill="F5F5F5"/>
          </w:tcPr>
          <w:p w14:paraId="28B5A72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1344" w:type="dxa"/>
            <w:shd w:val="clear" w:color="auto" w:fill="F5F5F5"/>
          </w:tcPr>
          <w:p w14:paraId="5BDA6A5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€230.000</w:t>
            </w:r>
          </w:p>
        </w:tc>
        <w:tc>
          <w:tcPr>
            <w:tcW w:w="1344" w:type="dxa"/>
            <w:shd w:val="clear" w:color="auto" w:fill="F5F5F5"/>
          </w:tcPr>
          <w:p w14:paraId="652E906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€205.000</w:t>
            </w:r>
          </w:p>
        </w:tc>
        <w:tc>
          <w:tcPr>
            <w:tcW w:w="1344" w:type="dxa"/>
            <w:shd w:val="clear" w:color="auto" w:fill="F5F5F5"/>
          </w:tcPr>
          <w:p w14:paraId="4665ADFB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€84.000</w:t>
            </w:r>
          </w:p>
        </w:tc>
        <w:tc>
          <w:tcPr>
            <w:tcW w:w="1344" w:type="dxa"/>
            <w:shd w:val="clear" w:color="auto" w:fill="F5F5F5"/>
          </w:tcPr>
          <w:p w14:paraId="45D060BB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€22.000</w:t>
            </w:r>
          </w:p>
        </w:tc>
        <w:tc>
          <w:tcPr>
            <w:tcW w:w="1344" w:type="dxa"/>
            <w:shd w:val="clear" w:color="auto" w:fill="F5F5F5"/>
          </w:tcPr>
          <w:p w14:paraId="661BCB03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€20.000</w:t>
            </w:r>
          </w:p>
        </w:tc>
        <w:tc>
          <w:tcPr>
            <w:tcW w:w="1344" w:type="dxa"/>
            <w:shd w:val="clear" w:color="auto" w:fill="F5F5F5"/>
          </w:tcPr>
          <w:p w14:paraId="53480D34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€561.000</w:t>
            </w:r>
          </w:p>
        </w:tc>
      </w:tr>
    </w:tbl>
    <w:p w14:paraId="4973A8E2" w14:textId="77777777" w:rsidR="00A14AC1" w:rsidRDefault="00A14AC1" w:rsidP="00656B30">
      <w:pPr>
        <w:spacing w:after="0"/>
      </w:pPr>
    </w:p>
    <w:p w14:paraId="7522BAB1" w14:textId="77777777" w:rsidR="00A14AC1" w:rsidRDefault="00000000" w:rsidP="00656B30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0611B46" w14:textId="77777777" w:rsidR="00A14AC1" w:rsidRDefault="00000000" w:rsidP="00656B30">
      <w:pPr>
        <w:pStyle w:val="Ttulo2"/>
        <w:spacing w:after="0"/>
      </w:pPr>
      <w:r>
        <w:t>3. Custos Operacionais</w:t>
      </w:r>
    </w:p>
    <w:p w14:paraId="386039C0" w14:textId="77777777" w:rsidR="00A14AC1" w:rsidRDefault="00000000" w:rsidP="00656B30">
      <w:pPr>
        <w:pStyle w:val="Ttulo3"/>
        <w:spacing w:after="0"/>
      </w:pPr>
      <w:r>
        <w:t>3.1. Custos Anuais — Ano 3 (Operação Plena)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3132"/>
        <w:gridCol w:w="3131"/>
      </w:tblGrid>
      <w:tr w:rsidR="00A14AC1" w14:paraId="74B40BF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E94551D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3135" w:type="dxa"/>
            <w:shd w:val="clear" w:color="auto" w:fill="1A1A1A"/>
          </w:tcPr>
          <w:p w14:paraId="7B92159E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Valor Anual</w:t>
            </w:r>
          </w:p>
        </w:tc>
        <w:tc>
          <w:tcPr>
            <w:tcW w:w="3135" w:type="dxa"/>
            <w:shd w:val="clear" w:color="auto" w:fill="1A1A1A"/>
          </w:tcPr>
          <w:p w14:paraId="2E5457AB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</w:tr>
      <w:tr w:rsidR="00A14AC1" w14:paraId="6A23714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A3C028F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Pessoal</w:t>
            </w:r>
            <w:r>
              <w:rPr>
                <w:sz w:val="20"/>
              </w:rPr>
              <w:t xml:space="preserve"> (12 colaboradores)</w:t>
            </w:r>
          </w:p>
        </w:tc>
        <w:tc>
          <w:tcPr>
            <w:tcW w:w="3135" w:type="dxa"/>
            <w:shd w:val="clear" w:color="auto" w:fill="F5F5F5"/>
          </w:tcPr>
          <w:p w14:paraId="2B3AFD2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€144.000</w:t>
            </w:r>
          </w:p>
        </w:tc>
        <w:tc>
          <w:tcPr>
            <w:tcW w:w="3135" w:type="dxa"/>
            <w:shd w:val="clear" w:color="auto" w:fill="F5F5F5"/>
          </w:tcPr>
          <w:p w14:paraId="110E3C13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62%</w:t>
            </w:r>
          </w:p>
        </w:tc>
      </w:tr>
      <w:tr w:rsidR="00A14AC1" w14:paraId="6CF8AB44" w14:textId="77777777">
        <w:trPr>
          <w:jc w:val="center"/>
        </w:trPr>
        <w:tc>
          <w:tcPr>
            <w:tcW w:w="3135" w:type="dxa"/>
          </w:tcPr>
          <w:p w14:paraId="6CBCA7F9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Manutenção e conservação</w:t>
            </w:r>
          </w:p>
        </w:tc>
        <w:tc>
          <w:tcPr>
            <w:tcW w:w="3135" w:type="dxa"/>
          </w:tcPr>
          <w:p w14:paraId="1C84E1B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€25.000</w:t>
            </w:r>
          </w:p>
        </w:tc>
        <w:tc>
          <w:tcPr>
            <w:tcW w:w="3135" w:type="dxa"/>
          </w:tcPr>
          <w:p w14:paraId="30D4C0E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11%</w:t>
            </w:r>
          </w:p>
        </w:tc>
      </w:tr>
      <w:tr w:rsidR="00A14AC1" w14:paraId="48B6E31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ACF31A3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Seguros</w:t>
            </w:r>
          </w:p>
        </w:tc>
        <w:tc>
          <w:tcPr>
            <w:tcW w:w="3135" w:type="dxa"/>
            <w:shd w:val="clear" w:color="auto" w:fill="F5F5F5"/>
          </w:tcPr>
          <w:p w14:paraId="19AFFD47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€12.000</w:t>
            </w:r>
          </w:p>
        </w:tc>
        <w:tc>
          <w:tcPr>
            <w:tcW w:w="3135" w:type="dxa"/>
            <w:shd w:val="clear" w:color="auto" w:fill="F5F5F5"/>
          </w:tcPr>
          <w:p w14:paraId="0F945613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5%</w:t>
            </w:r>
          </w:p>
        </w:tc>
      </w:tr>
      <w:tr w:rsidR="00A14AC1" w14:paraId="28F22EA9" w14:textId="77777777">
        <w:trPr>
          <w:jc w:val="center"/>
        </w:trPr>
        <w:tc>
          <w:tcPr>
            <w:tcW w:w="3135" w:type="dxa"/>
          </w:tcPr>
          <w:p w14:paraId="2B33523C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Energia e água</w:t>
            </w:r>
          </w:p>
        </w:tc>
        <w:tc>
          <w:tcPr>
            <w:tcW w:w="3135" w:type="dxa"/>
          </w:tcPr>
          <w:p w14:paraId="6AE68FF3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€18.000</w:t>
            </w:r>
          </w:p>
        </w:tc>
        <w:tc>
          <w:tcPr>
            <w:tcW w:w="3135" w:type="dxa"/>
          </w:tcPr>
          <w:p w14:paraId="2A2D5A6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8%</w:t>
            </w:r>
          </w:p>
        </w:tc>
      </w:tr>
      <w:tr w:rsidR="00A14AC1" w14:paraId="663DFC9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DF4CBEE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Marketing e promoção</w:t>
            </w:r>
          </w:p>
        </w:tc>
        <w:tc>
          <w:tcPr>
            <w:tcW w:w="3135" w:type="dxa"/>
            <w:shd w:val="clear" w:color="auto" w:fill="F5F5F5"/>
          </w:tcPr>
          <w:p w14:paraId="63404EB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€15.000</w:t>
            </w:r>
          </w:p>
        </w:tc>
        <w:tc>
          <w:tcPr>
            <w:tcW w:w="3135" w:type="dxa"/>
            <w:shd w:val="clear" w:color="auto" w:fill="F5F5F5"/>
          </w:tcPr>
          <w:p w14:paraId="35179F1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6%</w:t>
            </w:r>
          </w:p>
        </w:tc>
      </w:tr>
      <w:tr w:rsidR="00A14AC1" w14:paraId="43818526" w14:textId="77777777">
        <w:trPr>
          <w:jc w:val="center"/>
        </w:trPr>
        <w:tc>
          <w:tcPr>
            <w:tcW w:w="3135" w:type="dxa"/>
          </w:tcPr>
          <w:p w14:paraId="730FBCD0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Materiais e consumíveis</w:t>
            </w:r>
          </w:p>
        </w:tc>
        <w:tc>
          <w:tcPr>
            <w:tcW w:w="3135" w:type="dxa"/>
          </w:tcPr>
          <w:p w14:paraId="3DCB6BDA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€8.000</w:t>
            </w:r>
          </w:p>
        </w:tc>
        <w:tc>
          <w:tcPr>
            <w:tcW w:w="3135" w:type="dxa"/>
          </w:tcPr>
          <w:p w14:paraId="3FF5607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3%</w:t>
            </w:r>
          </w:p>
        </w:tc>
      </w:tr>
      <w:tr w:rsidR="00A14AC1" w14:paraId="7CF1A1D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ADDE230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Contabilidade e jurídico</w:t>
            </w:r>
          </w:p>
        </w:tc>
        <w:tc>
          <w:tcPr>
            <w:tcW w:w="3135" w:type="dxa"/>
            <w:shd w:val="clear" w:color="auto" w:fill="F5F5F5"/>
          </w:tcPr>
          <w:p w14:paraId="0D3B2E0C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€6.000</w:t>
            </w:r>
          </w:p>
        </w:tc>
        <w:tc>
          <w:tcPr>
            <w:tcW w:w="3135" w:type="dxa"/>
            <w:shd w:val="clear" w:color="auto" w:fill="F5F5F5"/>
          </w:tcPr>
          <w:p w14:paraId="32623756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3%</w:t>
            </w:r>
          </w:p>
        </w:tc>
      </w:tr>
      <w:tr w:rsidR="00A14AC1" w14:paraId="25889825" w14:textId="77777777">
        <w:trPr>
          <w:jc w:val="center"/>
        </w:trPr>
        <w:tc>
          <w:tcPr>
            <w:tcW w:w="3135" w:type="dxa"/>
          </w:tcPr>
          <w:p w14:paraId="5CDA15B6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Imprevistos</w:t>
            </w:r>
          </w:p>
        </w:tc>
        <w:tc>
          <w:tcPr>
            <w:tcW w:w="3135" w:type="dxa"/>
          </w:tcPr>
          <w:p w14:paraId="357FBCE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€4.080</w:t>
            </w:r>
          </w:p>
        </w:tc>
        <w:tc>
          <w:tcPr>
            <w:tcW w:w="3135" w:type="dxa"/>
          </w:tcPr>
          <w:p w14:paraId="007F0FAA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2%</w:t>
            </w:r>
          </w:p>
        </w:tc>
      </w:tr>
      <w:tr w:rsidR="00A14AC1" w14:paraId="5634E61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4417D71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3135" w:type="dxa"/>
            <w:shd w:val="clear" w:color="auto" w:fill="F5F5F5"/>
          </w:tcPr>
          <w:p w14:paraId="5F76074B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€232.080</w:t>
            </w:r>
          </w:p>
        </w:tc>
        <w:tc>
          <w:tcPr>
            <w:tcW w:w="3135" w:type="dxa"/>
            <w:shd w:val="clear" w:color="auto" w:fill="F5F5F5"/>
          </w:tcPr>
          <w:p w14:paraId="4E02A305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100%</w:t>
            </w:r>
          </w:p>
        </w:tc>
      </w:tr>
    </w:tbl>
    <w:p w14:paraId="466BA9B7" w14:textId="77777777" w:rsidR="00A14AC1" w:rsidRDefault="00A14AC1" w:rsidP="00656B30">
      <w:pPr>
        <w:spacing w:after="0"/>
      </w:pPr>
    </w:p>
    <w:p w14:paraId="2B5AB583" w14:textId="77777777" w:rsidR="00A14AC1" w:rsidRDefault="00000000" w:rsidP="00656B30">
      <w:pPr>
        <w:pStyle w:val="Ttulo3"/>
        <w:spacing w:after="0"/>
      </w:pPr>
      <w:r>
        <w:t>3.2. Quadro de Pessoal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9"/>
        <w:gridCol w:w="2331"/>
        <w:gridCol w:w="2340"/>
        <w:gridCol w:w="2336"/>
      </w:tblGrid>
      <w:tr w:rsidR="00A14AC1" w14:paraId="502C5332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1F228DF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A1A1A"/>
          </w:tcPr>
          <w:p w14:paraId="5216DB63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w="2351" w:type="dxa"/>
            <w:shd w:val="clear" w:color="auto" w:fill="1A1A1A"/>
          </w:tcPr>
          <w:p w14:paraId="51EB3FC7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Remuneração Mensal</w:t>
            </w:r>
          </w:p>
        </w:tc>
        <w:tc>
          <w:tcPr>
            <w:tcW w:w="2351" w:type="dxa"/>
            <w:shd w:val="clear" w:color="auto" w:fill="1A1A1A"/>
          </w:tcPr>
          <w:p w14:paraId="48FA94D4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Custo Anual (14 meses)</w:t>
            </w:r>
          </w:p>
        </w:tc>
      </w:tr>
      <w:tr w:rsidR="00A14AC1" w14:paraId="5F69AE4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F807842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Diretor/Gestor</w:t>
            </w:r>
          </w:p>
        </w:tc>
        <w:tc>
          <w:tcPr>
            <w:tcW w:w="2351" w:type="dxa"/>
            <w:shd w:val="clear" w:color="auto" w:fill="F5F5F5"/>
          </w:tcPr>
          <w:p w14:paraId="0E9266AE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2179C78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€1.500</w:t>
            </w:r>
          </w:p>
        </w:tc>
        <w:tc>
          <w:tcPr>
            <w:tcW w:w="2351" w:type="dxa"/>
            <w:shd w:val="clear" w:color="auto" w:fill="F5F5F5"/>
          </w:tcPr>
          <w:p w14:paraId="57E74C5F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€21.000</w:t>
            </w:r>
          </w:p>
        </w:tc>
      </w:tr>
      <w:tr w:rsidR="00A14AC1" w14:paraId="0D107745" w14:textId="77777777">
        <w:trPr>
          <w:jc w:val="center"/>
        </w:trPr>
        <w:tc>
          <w:tcPr>
            <w:tcW w:w="2351" w:type="dxa"/>
          </w:tcPr>
          <w:p w14:paraId="7450BF5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Coordenador pedagógico</w:t>
            </w:r>
          </w:p>
        </w:tc>
        <w:tc>
          <w:tcPr>
            <w:tcW w:w="2351" w:type="dxa"/>
          </w:tcPr>
          <w:p w14:paraId="58C9B171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4CA91C7C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€1.200</w:t>
            </w:r>
          </w:p>
        </w:tc>
        <w:tc>
          <w:tcPr>
            <w:tcW w:w="2351" w:type="dxa"/>
          </w:tcPr>
          <w:p w14:paraId="0EB6921F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€16.800</w:t>
            </w:r>
          </w:p>
        </w:tc>
      </w:tr>
      <w:tr w:rsidR="00A14AC1" w14:paraId="14F3C65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BBC5AE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Rececionista/Atendimento</w:t>
            </w:r>
          </w:p>
        </w:tc>
        <w:tc>
          <w:tcPr>
            <w:tcW w:w="2351" w:type="dxa"/>
            <w:shd w:val="clear" w:color="auto" w:fill="F5F5F5"/>
          </w:tcPr>
          <w:p w14:paraId="13F7F25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5F5F5"/>
          </w:tcPr>
          <w:p w14:paraId="2A17A8DA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€900</w:t>
            </w:r>
          </w:p>
        </w:tc>
        <w:tc>
          <w:tcPr>
            <w:tcW w:w="2351" w:type="dxa"/>
            <w:shd w:val="clear" w:color="auto" w:fill="F5F5F5"/>
          </w:tcPr>
          <w:p w14:paraId="68B5791A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€25.200</w:t>
            </w:r>
          </w:p>
        </w:tc>
      </w:tr>
      <w:tr w:rsidR="00A14AC1" w14:paraId="764554E8" w14:textId="77777777">
        <w:trPr>
          <w:jc w:val="center"/>
        </w:trPr>
        <w:tc>
          <w:tcPr>
            <w:tcW w:w="2351" w:type="dxa"/>
          </w:tcPr>
          <w:p w14:paraId="670CE706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Jardineiro</w:t>
            </w:r>
          </w:p>
        </w:tc>
        <w:tc>
          <w:tcPr>
            <w:tcW w:w="2351" w:type="dxa"/>
          </w:tcPr>
          <w:p w14:paraId="7507AED6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42CB49E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€850</w:t>
            </w:r>
          </w:p>
        </w:tc>
        <w:tc>
          <w:tcPr>
            <w:tcW w:w="2351" w:type="dxa"/>
          </w:tcPr>
          <w:p w14:paraId="0BDE9D4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€23.800</w:t>
            </w:r>
          </w:p>
        </w:tc>
      </w:tr>
      <w:tr w:rsidR="00A14AC1" w14:paraId="68C9629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CD7427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Limpeza e manutenção</w:t>
            </w:r>
          </w:p>
        </w:tc>
        <w:tc>
          <w:tcPr>
            <w:tcW w:w="2351" w:type="dxa"/>
            <w:shd w:val="clear" w:color="auto" w:fill="F5F5F5"/>
          </w:tcPr>
          <w:p w14:paraId="491E992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5F5F5"/>
          </w:tcPr>
          <w:p w14:paraId="35E5CADA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€800</w:t>
            </w:r>
          </w:p>
        </w:tc>
        <w:tc>
          <w:tcPr>
            <w:tcW w:w="2351" w:type="dxa"/>
            <w:shd w:val="clear" w:color="auto" w:fill="F5F5F5"/>
          </w:tcPr>
          <w:p w14:paraId="4BA3DFB1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€22.400</w:t>
            </w:r>
          </w:p>
        </w:tc>
      </w:tr>
      <w:tr w:rsidR="00A14AC1" w14:paraId="504A38DC" w14:textId="77777777">
        <w:trPr>
          <w:jc w:val="center"/>
        </w:trPr>
        <w:tc>
          <w:tcPr>
            <w:tcW w:w="2351" w:type="dxa"/>
          </w:tcPr>
          <w:p w14:paraId="10D90EA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Formadores (parciais)</w:t>
            </w:r>
          </w:p>
        </w:tc>
        <w:tc>
          <w:tcPr>
            <w:tcW w:w="2351" w:type="dxa"/>
          </w:tcPr>
          <w:p w14:paraId="721412E7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14:paraId="072619E3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€600</w:t>
            </w:r>
          </w:p>
        </w:tc>
        <w:tc>
          <w:tcPr>
            <w:tcW w:w="2351" w:type="dxa"/>
          </w:tcPr>
          <w:p w14:paraId="5BBBD79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€25.200</w:t>
            </w:r>
          </w:p>
        </w:tc>
      </w:tr>
      <w:tr w:rsidR="00A14AC1" w14:paraId="026571B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A741F92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Cozinheiro/Auxiliar</w:t>
            </w:r>
          </w:p>
        </w:tc>
        <w:tc>
          <w:tcPr>
            <w:tcW w:w="2351" w:type="dxa"/>
            <w:shd w:val="clear" w:color="auto" w:fill="F5F5F5"/>
          </w:tcPr>
          <w:p w14:paraId="63EC011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6FF30CD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€900</w:t>
            </w:r>
          </w:p>
        </w:tc>
        <w:tc>
          <w:tcPr>
            <w:tcW w:w="2351" w:type="dxa"/>
            <w:shd w:val="clear" w:color="auto" w:fill="F5F5F5"/>
          </w:tcPr>
          <w:p w14:paraId="5A40C8D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€12.600</w:t>
            </w:r>
          </w:p>
        </w:tc>
      </w:tr>
      <w:tr w:rsidR="00A14AC1" w14:paraId="2E270F6F" w14:textId="77777777">
        <w:trPr>
          <w:jc w:val="center"/>
        </w:trPr>
        <w:tc>
          <w:tcPr>
            <w:tcW w:w="2351" w:type="dxa"/>
          </w:tcPr>
          <w:p w14:paraId="08C84742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2351" w:type="dxa"/>
          </w:tcPr>
          <w:p w14:paraId="0662774A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2351" w:type="dxa"/>
          </w:tcPr>
          <w:p w14:paraId="0A8700DB" w14:textId="77777777" w:rsidR="00A14AC1" w:rsidRDefault="00A14AC1" w:rsidP="00656B30">
            <w:pPr>
              <w:spacing w:after="0"/>
            </w:pPr>
          </w:p>
        </w:tc>
        <w:tc>
          <w:tcPr>
            <w:tcW w:w="2351" w:type="dxa"/>
          </w:tcPr>
          <w:p w14:paraId="783897DE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€147.000</w:t>
            </w:r>
          </w:p>
        </w:tc>
      </w:tr>
    </w:tbl>
    <w:p w14:paraId="2B87E02E" w14:textId="77777777" w:rsidR="00A14AC1" w:rsidRDefault="00A14AC1" w:rsidP="00656B30">
      <w:pPr>
        <w:spacing w:after="0"/>
      </w:pPr>
    </w:p>
    <w:p w14:paraId="16B009CC" w14:textId="77777777" w:rsidR="00A14AC1" w:rsidRDefault="00000000" w:rsidP="00656B30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A749CB7" w14:textId="77777777" w:rsidR="00A14AC1" w:rsidRDefault="00000000" w:rsidP="00656B30">
      <w:pPr>
        <w:pStyle w:val="Ttulo2"/>
        <w:spacing w:after="0"/>
      </w:pPr>
      <w:r>
        <w:t>4. Demonstração de Resultados Projetada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1566"/>
        <w:gridCol w:w="1566"/>
        <w:gridCol w:w="1566"/>
        <w:gridCol w:w="1566"/>
        <w:gridCol w:w="1566"/>
      </w:tblGrid>
      <w:tr w:rsidR="00A14AC1" w14:paraId="22154D1B" w14:textId="77777777">
        <w:trPr>
          <w:jc w:val="center"/>
        </w:trPr>
        <w:tc>
          <w:tcPr>
            <w:tcW w:w="1568" w:type="dxa"/>
            <w:shd w:val="clear" w:color="auto" w:fill="1A1A1A"/>
          </w:tcPr>
          <w:p w14:paraId="66AD0EDD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1568" w:type="dxa"/>
            <w:shd w:val="clear" w:color="auto" w:fill="1A1A1A"/>
          </w:tcPr>
          <w:p w14:paraId="18203431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Ano 1</w:t>
            </w:r>
          </w:p>
        </w:tc>
        <w:tc>
          <w:tcPr>
            <w:tcW w:w="1568" w:type="dxa"/>
            <w:shd w:val="clear" w:color="auto" w:fill="1A1A1A"/>
          </w:tcPr>
          <w:p w14:paraId="267EF19A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Ano 2</w:t>
            </w:r>
          </w:p>
        </w:tc>
        <w:tc>
          <w:tcPr>
            <w:tcW w:w="1568" w:type="dxa"/>
            <w:shd w:val="clear" w:color="auto" w:fill="1A1A1A"/>
          </w:tcPr>
          <w:p w14:paraId="6F076474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Ano 3</w:t>
            </w:r>
          </w:p>
        </w:tc>
        <w:tc>
          <w:tcPr>
            <w:tcW w:w="1568" w:type="dxa"/>
            <w:shd w:val="clear" w:color="auto" w:fill="1A1A1A"/>
          </w:tcPr>
          <w:p w14:paraId="09A5A93C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Ano 4</w:t>
            </w:r>
          </w:p>
        </w:tc>
        <w:tc>
          <w:tcPr>
            <w:tcW w:w="1568" w:type="dxa"/>
            <w:shd w:val="clear" w:color="auto" w:fill="1A1A1A"/>
          </w:tcPr>
          <w:p w14:paraId="335A1646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Ano 5</w:t>
            </w:r>
          </w:p>
        </w:tc>
      </w:tr>
      <w:tr w:rsidR="00A14AC1" w14:paraId="74D6B651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263BB7D6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Receita total</w:t>
            </w:r>
          </w:p>
        </w:tc>
        <w:tc>
          <w:tcPr>
            <w:tcW w:w="1568" w:type="dxa"/>
            <w:shd w:val="clear" w:color="auto" w:fill="F5F5F5"/>
          </w:tcPr>
          <w:p w14:paraId="5C085AF7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€239.000</w:t>
            </w:r>
          </w:p>
        </w:tc>
        <w:tc>
          <w:tcPr>
            <w:tcW w:w="1568" w:type="dxa"/>
            <w:shd w:val="clear" w:color="auto" w:fill="F5F5F5"/>
          </w:tcPr>
          <w:p w14:paraId="4796A7D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€363.000</w:t>
            </w:r>
          </w:p>
        </w:tc>
        <w:tc>
          <w:tcPr>
            <w:tcW w:w="1568" w:type="dxa"/>
            <w:shd w:val="clear" w:color="auto" w:fill="F5F5F5"/>
          </w:tcPr>
          <w:p w14:paraId="79B1FBCE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€489.520</w:t>
            </w:r>
          </w:p>
        </w:tc>
        <w:tc>
          <w:tcPr>
            <w:tcW w:w="1568" w:type="dxa"/>
            <w:shd w:val="clear" w:color="auto" w:fill="F5F5F5"/>
          </w:tcPr>
          <w:p w14:paraId="3C16151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€526.000</w:t>
            </w:r>
          </w:p>
        </w:tc>
        <w:tc>
          <w:tcPr>
            <w:tcW w:w="1568" w:type="dxa"/>
            <w:shd w:val="clear" w:color="auto" w:fill="F5F5F5"/>
          </w:tcPr>
          <w:p w14:paraId="36339B3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€561.000</w:t>
            </w:r>
          </w:p>
        </w:tc>
      </w:tr>
      <w:tr w:rsidR="00A14AC1" w14:paraId="0B403453" w14:textId="77777777">
        <w:trPr>
          <w:jc w:val="center"/>
        </w:trPr>
        <w:tc>
          <w:tcPr>
            <w:tcW w:w="1568" w:type="dxa"/>
          </w:tcPr>
          <w:p w14:paraId="6C1D2EBE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lastRenderedPageBreak/>
              <w:t>Custos operacionais</w:t>
            </w:r>
          </w:p>
        </w:tc>
        <w:tc>
          <w:tcPr>
            <w:tcW w:w="1568" w:type="dxa"/>
          </w:tcPr>
          <w:p w14:paraId="36972FD3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€185.000</w:t>
            </w:r>
          </w:p>
        </w:tc>
        <w:tc>
          <w:tcPr>
            <w:tcW w:w="1568" w:type="dxa"/>
          </w:tcPr>
          <w:p w14:paraId="611294C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€210.000</w:t>
            </w:r>
          </w:p>
        </w:tc>
        <w:tc>
          <w:tcPr>
            <w:tcW w:w="1568" w:type="dxa"/>
          </w:tcPr>
          <w:p w14:paraId="20E2A26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€232.080</w:t>
            </w:r>
          </w:p>
        </w:tc>
        <w:tc>
          <w:tcPr>
            <w:tcW w:w="1568" w:type="dxa"/>
          </w:tcPr>
          <w:p w14:paraId="317D633F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€242.000</w:t>
            </w:r>
          </w:p>
        </w:tc>
        <w:tc>
          <w:tcPr>
            <w:tcW w:w="1568" w:type="dxa"/>
          </w:tcPr>
          <w:p w14:paraId="32553E3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€252.000</w:t>
            </w:r>
          </w:p>
        </w:tc>
      </w:tr>
      <w:tr w:rsidR="00A14AC1" w14:paraId="6BB9D9E7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3924090D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Resultado operacional</w:t>
            </w:r>
          </w:p>
        </w:tc>
        <w:tc>
          <w:tcPr>
            <w:tcW w:w="1568" w:type="dxa"/>
            <w:shd w:val="clear" w:color="auto" w:fill="F5F5F5"/>
          </w:tcPr>
          <w:p w14:paraId="367C1AB4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€54.000</w:t>
            </w:r>
          </w:p>
        </w:tc>
        <w:tc>
          <w:tcPr>
            <w:tcW w:w="1568" w:type="dxa"/>
            <w:shd w:val="clear" w:color="auto" w:fill="F5F5F5"/>
          </w:tcPr>
          <w:p w14:paraId="52194335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€153.000</w:t>
            </w:r>
          </w:p>
        </w:tc>
        <w:tc>
          <w:tcPr>
            <w:tcW w:w="1568" w:type="dxa"/>
            <w:shd w:val="clear" w:color="auto" w:fill="F5F5F5"/>
          </w:tcPr>
          <w:p w14:paraId="2E341D99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€257.440</w:t>
            </w:r>
          </w:p>
        </w:tc>
        <w:tc>
          <w:tcPr>
            <w:tcW w:w="1568" w:type="dxa"/>
            <w:shd w:val="clear" w:color="auto" w:fill="F5F5F5"/>
          </w:tcPr>
          <w:p w14:paraId="20604C27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€284.000</w:t>
            </w:r>
          </w:p>
        </w:tc>
        <w:tc>
          <w:tcPr>
            <w:tcW w:w="1568" w:type="dxa"/>
            <w:shd w:val="clear" w:color="auto" w:fill="F5F5F5"/>
          </w:tcPr>
          <w:p w14:paraId="29563848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€309.000</w:t>
            </w:r>
          </w:p>
        </w:tc>
      </w:tr>
      <w:tr w:rsidR="00A14AC1" w14:paraId="4AFF7538" w14:textId="77777777">
        <w:trPr>
          <w:jc w:val="center"/>
        </w:trPr>
        <w:tc>
          <w:tcPr>
            <w:tcW w:w="1568" w:type="dxa"/>
          </w:tcPr>
          <w:p w14:paraId="53E95227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Margem operacional</w:t>
            </w:r>
          </w:p>
        </w:tc>
        <w:tc>
          <w:tcPr>
            <w:tcW w:w="1568" w:type="dxa"/>
          </w:tcPr>
          <w:p w14:paraId="390176EA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22,6%</w:t>
            </w:r>
          </w:p>
        </w:tc>
        <w:tc>
          <w:tcPr>
            <w:tcW w:w="1568" w:type="dxa"/>
          </w:tcPr>
          <w:p w14:paraId="083BB332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42,1%</w:t>
            </w:r>
          </w:p>
        </w:tc>
        <w:tc>
          <w:tcPr>
            <w:tcW w:w="1568" w:type="dxa"/>
          </w:tcPr>
          <w:p w14:paraId="755643E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52,6%</w:t>
            </w:r>
          </w:p>
        </w:tc>
        <w:tc>
          <w:tcPr>
            <w:tcW w:w="1568" w:type="dxa"/>
          </w:tcPr>
          <w:p w14:paraId="0976E9DB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54,0%</w:t>
            </w:r>
          </w:p>
        </w:tc>
        <w:tc>
          <w:tcPr>
            <w:tcW w:w="1568" w:type="dxa"/>
          </w:tcPr>
          <w:p w14:paraId="31F6253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55,1%</w:t>
            </w:r>
          </w:p>
        </w:tc>
      </w:tr>
      <w:tr w:rsidR="00A14AC1" w14:paraId="2A3A5906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4540B9F0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Resultado líquido</w:t>
            </w:r>
          </w:p>
        </w:tc>
        <w:tc>
          <w:tcPr>
            <w:tcW w:w="1568" w:type="dxa"/>
            <w:shd w:val="clear" w:color="auto" w:fill="F5F5F5"/>
          </w:tcPr>
          <w:p w14:paraId="5F2A08CC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€46.830</w:t>
            </w:r>
          </w:p>
        </w:tc>
        <w:tc>
          <w:tcPr>
            <w:tcW w:w="1568" w:type="dxa"/>
            <w:shd w:val="clear" w:color="auto" w:fill="F5F5F5"/>
          </w:tcPr>
          <w:p w14:paraId="6AA0676D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€142.110</w:t>
            </w:r>
          </w:p>
        </w:tc>
        <w:tc>
          <w:tcPr>
            <w:tcW w:w="1568" w:type="dxa"/>
            <w:shd w:val="clear" w:color="auto" w:fill="F5F5F5"/>
          </w:tcPr>
          <w:p w14:paraId="26ACC154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€242.754</w:t>
            </w:r>
          </w:p>
        </w:tc>
        <w:tc>
          <w:tcPr>
            <w:tcW w:w="1568" w:type="dxa"/>
            <w:shd w:val="clear" w:color="auto" w:fill="F5F5F5"/>
          </w:tcPr>
          <w:p w14:paraId="4C81693D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€268.220</w:t>
            </w:r>
          </w:p>
        </w:tc>
        <w:tc>
          <w:tcPr>
            <w:tcW w:w="1568" w:type="dxa"/>
            <w:shd w:val="clear" w:color="auto" w:fill="F5F5F5"/>
          </w:tcPr>
          <w:p w14:paraId="1BAF2C11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€292.170</w:t>
            </w:r>
          </w:p>
        </w:tc>
      </w:tr>
    </w:tbl>
    <w:p w14:paraId="1B7614A6" w14:textId="77777777" w:rsidR="00A14AC1" w:rsidRDefault="00A14AC1" w:rsidP="00656B30">
      <w:pPr>
        <w:spacing w:after="0"/>
      </w:pPr>
    </w:p>
    <w:p w14:paraId="1C02D323" w14:textId="77777777" w:rsidR="00A14AC1" w:rsidRDefault="00000000" w:rsidP="00656B30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36AAD59" w14:textId="77777777" w:rsidR="00A14AC1" w:rsidRDefault="00000000" w:rsidP="00656B30">
      <w:pPr>
        <w:pStyle w:val="Ttulo2"/>
        <w:spacing w:after="0"/>
      </w:pPr>
      <w:r>
        <w:t>5. Indicadores de Viabilidade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A14AC1" w14:paraId="4BA064F6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E88FBB0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3135" w:type="dxa"/>
            <w:shd w:val="clear" w:color="auto" w:fill="1A1A1A"/>
          </w:tcPr>
          <w:p w14:paraId="082C45F0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3135" w:type="dxa"/>
            <w:shd w:val="clear" w:color="auto" w:fill="1A1A1A"/>
          </w:tcPr>
          <w:p w14:paraId="2583C81A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 w:rsidR="00A14AC1" w14:paraId="7FFCEBD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34E1133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Investimento total</w:t>
            </w:r>
          </w:p>
        </w:tc>
        <w:tc>
          <w:tcPr>
            <w:tcW w:w="3135" w:type="dxa"/>
            <w:shd w:val="clear" w:color="auto" w:fill="F5F5F5"/>
          </w:tcPr>
          <w:p w14:paraId="44F6B79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€2.070.000</w:t>
            </w:r>
          </w:p>
        </w:tc>
        <w:tc>
          <w:tcPr>
            <w:tcW w:w="3135" w:type="dxa"/>
            <w:shd w:val="clear" w:color="auto" w:fill="F5F5F5"/>
          </w:tcPr>
          <w:p w14:paraId="47ED91B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—</w:t>
            </w:r>
          </w:p>
        </w:tc>
      </w:tr>
      <w:tr w:rsidR="00A14AC1" w14:paraId="0F78E77F" w14:textId="77777777">
        <w:trPr>
          <w:jc w:val="center"/>
        </w:trPr>
        <w:tc>
          <w:tcPr>
            <w:tcW w:w="3135" w:type="dxa"/>
          </w:tcPr>
          <w:p w14:paraId="24F1157D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Investimento líquido</w:t>
            </w:r>
            <w:r>
              <w:rPr>
                <w:sz w:val="20"/>
              </w:rPr>
              <w:t xml:space="preserve"> (após fundo perdido 58%)</w:t>
            </w:r>
          </w:p>
        </w:tc>
        <w:tc>
          <w:tcPr>
            <w:tcW w:w="3135" w:type="dxa"/>
          </w:tcPr>
          <w:p w14:paraId="4FD229A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€870.000</w:t>
            </w:r>
          </w:p>
        </w:tc>
        <w:tc>
          <w:tcPr>
            <w:tcW w:w="3135" w:type="dxa"/>
          </w:tcPr>
          <w:p w14:paraId="4C951CA6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Capital a recuperar</w:t>
            </w:r>
          </w:p>
        </w:tc>
      </w:tr>
      <w:tr w:rsidR="00A14AC1" w14:paraId="2D103A8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C55A8C9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Resultado operacional médio</w:t>
            </w:r>
            <w:r>
              <w:rPr>
                <w:sz w:val="20"/>
              </w:rPr>
              <w:t xml:space="preserve"> (Anos 1-5)</w:t>
            </w:r>
          </w:p>
        </w:tc>
        <w:tc>
          <w:tcPr>
            <w:tcW w:w="3135" w:type="dxa"/>
            <w:shd w:val="clear" w:color="auto" w:fill="F5F5F5"/>
          </w:tcPr>
          <w:p w14:paraId="6D3902F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€211.488</w:t>
            </w:r>
          </w:p>
        </w:tc>
        <w:tc>
          <w:tcPr>
            <w:tcW w:w="3135" w:type="dxa"/>
            <w:shd w:val="clear" w:color="auto" w:fill="F5F5F5"/>
          </w:tcPr>
          <w:p w14:paraId="3F3345F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Capacidade de geração de valor</w:t>
            </w:r>
          </w:p>
        </w:tc>
      </w:tr>
      <w:tr w:rsidR="00A14AC1" w14:paraId="5FA7E20E" w14:textId="77777777">
        <w:trPr>
          <w:jc w:val="center"/>
        </w:trPr>
        <w:tc>
          <w:tcPr>
            <w:tcW w:w="3135" w:type="dxa"/>
          </w:tcPr>
          <w:p w14:paraId="62A2E593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Payback simples</w:t>
            </w:r>
          </w:p>
        </w:tc>
        <w:tc>
          <w:tcPr>
            <w:tcW w:w="3135" w:type="dxa"/>
          </w:tcPr>
          <w:p w14:paraId="1E4E14A4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~4 anos</w:t>
            </w:r>
          </w:p>
        </w:tc>
        <w:tc>
          <w:tcPr>
            <w:tcW w:w="3135" w:type="dxa"/>
          </w:tcPr>
          <w:p w14:paraId="347AA20F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Sobre investimento líquido</w:t>
            </w:r>
          </w:p>
        </w:tc>
      </w:tr>
      <w:tr w:rsidR="00A14AC1" w14:paraId="5513353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6980D4D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Payback descontado</w:t>
            </w:r>
            <w:r>
              <w:rPr>
                <w:sz w:val="20"/>
              </w:rPr>
              <w:t xml:space="preserve"> (6%)</w:t>
            </w:r>
          </w:p>
        </w:tc>
        <w:tc>
          <w:tcPr>
            <w:tcW w:w="3135" w:type="dxa"/>
            <w:shd w:val="clear" w:color="auto" w:fill="F5F5F5"/>
          </w:tcPr>
          <w:p w14:paraId="5243111F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~5 anos</w:t>
            </w:r>
          </w:p>
        </w:tc>
        <w:tc>
          <w:tcPr>
            <w:tcW w:w="3135" w:type="dxa"/>
            <w:shd w:val="clear" w:color="auto" w:fill="F5F5F5"/>
          </w:tcPr>
          <w:p w14:paraId="71F4BD6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Sobre investimento líquido</w:t>
            </w:r>
          </w:p>
        </w:tc>
      </w:tr>
      <w:tr w:rsidR="00A14AC1" w14:paraId="768110AA" w14:textId="77777777">
        <w:trPr>
          <w:jc w:val="center"/>
        </w:trPr>
        <w:tc>
          <w:tcPr>
            <w:tcW w:w="3135" w:type="dxa"/>
          </w:tcPr>
          <w:p w14:paraId="5CEE6C1B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VAL a 10 anos</w:t>
            </w:r>
            <w:r>
              <w:rPr>
                <w:sz w:val="20"/>
              </w:rPr>
              <w:t xml:space="preserve"> (6%)</w:t>
            </w:r>
          </w:p>
        </w:tc>
        <w:tc>
          <w:tcPr>
            <w:tcW w:w="3135" w:type="dxa"/>
          </w:tcPr>
          <w:p w14:paraId="41B626D1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€1.250.000</w:t>
            </w:r>
          </w:p>
        </w:tc>
        <w:tc>
          <w:tcPr>
            <w:tcW w:w="3135" w:type="dxa"/>
          </w:tcPr>
          <w:p w14:paraId="03FC060F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Positivo — projeto viável</w:t>
            </w:r>
          </w:p>
        </w:tc>
      </w:tr>
      <w:tr w:rsidR="00A14AC1" w14:paraId="700F660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06931D5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TIR</w:t>
            </w:r>
          </w:p>
        </w:tc>
        <w:tc>
          <w:tcPr>
            <w:tcW w:w="3135" w:type="dxa"/>
            <w:shd w:val="clear" w:color="auto" w:fill="F5F5F5"/>
          </w:tcPr>
          <w:p w14:paraId="6EA99DC1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28%</w:t>
            </w:r>
          </w:p>
        </w:tc>
        <w:tc>
          <w:tcPr>
            <w:tcW w:w="3135" w:type="dxa"/>
            <w:shd w:val="clear" w:color="auto" w:fill="F5F5F5"/>
          </w:tcPr>
          <w:p w14:paraId="7C15EC1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Superior ao custo de capital</w:t>
            </w:r>
          </w:p>
        </w:tc>
      </w:tr>
      <w:tr w:rsidR="00A14AC1" w14:paraId="54562198" w14:textId="77777777">
        <w:trPr>
          <w:jc w:val="center"/>
        </w:trPr>
        <w:tc>
          <w:tcPr>
            <w:tcW w:w="3135" w:type="dxa"/>
          </w:tcPr>
          <w:p w14:paraId="19C915FF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Rácio benefício/custo</w:t>
            </w:r>
          </w:p>
        </w:tc>
        <w:tc>
          <w:tcPr>
            <w:tcW w:w="3135" w:type="dxa"/>
          </w:tcPr>
          <w:p w14:paraId="525DA53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2,4</w:t>
            </w:r>
          </w:p>
        </w:tc>
        <w:tc>
          <w:tcPr>
            <w:tcW w:w="3135" w:type="dxa"/>
          </w:tcPr>
          <w:p w14:paraId="6D96FC33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Cada €1 investido gera €2,4</w:t>
            </w:r>
          </w:p>
        </w:tc>
      </w:tr>
      <w:tr w:rsidR="00A14AC1" w14:paraId="6D8FB40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753A1CF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Ponto de equilíbrio</w:t>
            </w:r>
          </w:p>
        </w:tc>
        <w:tc>
          <w:tcPr>
            <w:tcW w:w="3135" w:type="dxa"/>
            <w:shd w:val="clear" w:color="auto" w:fill="F5F5F5"/>
          </w:tcPr>
          <w:p w14:paraId="2E7330A8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€232.080/ano</w:t>
            </w:r>
          </w:p>
        </w:tc>
        <w:tc>
          <w:tcPr>
            <w:tcW w:w="3135" w:type="dxa"/>
            <w:shd w:val="clear" w:color="auto" w:fill="F5F5F5"/>
          </w:tcPr>
          <w:p w14:paraId="141E6830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Atingido no Ano 1</w:t>
            </w:r>
          </w:p>
        </w:tc>
      </w:tr>
      <w:tr w:rsidR="00A14AC1" w14:paraId="4768F5AF" w14:textId="77777777">
        <w:trPr>
          <w:jc w:val="center"/>
        </w:trPr>
        <w:tc>
          <w:tcPr>
            <w:tcW w:w="3135" w:type="dxa"/>
          </w:tcPr>
          <w:p w14:paraId="3CFA7265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Auto-financiamento (Ano 3)</w:t>
            </w:r>
          </w:p>
        </w:tc>
        <w:tc>
          <w:tcPr>
            <w:tcW w:w="3135" w:type="dxa"/>
          </w:tcPr>
          <w:p w14:paraId="6F035E4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100%</w:t>
            </w:r>
          </w:p>
        </w:tc>
        <w:tc>
          <w:tcPr>
            <w:tcW w:w="3135" w:type="dxa"/>
          </w:tcPr>
          <w:p w14:paraId="6F450F4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Projeto autossustentável</w:t>
            </w:r>
          </w:p>
        </w:tc>
      </w:tr>
    </w:tbl>
    <w:p w14:paraId="20A60607" w14:textId="77777777" w:rsidR="00A14AC1" w:rsidRDefault="00A14AC1" w:rsidP="00656B30">
      <w:pPr>
        <w:spacing w:after="0"/>
      </w:pPr>
    </w:p>
    <w:p w14:paraId="1C421103" w14:textId="77777777" w:rsidR="00A14AC1" w:rsidRDefault="00000000" w:rsidP="00656B30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D936B18" w14:textId="77777777" w:rsidR="00A14AC1" w:rsidRDefault="00000000" w:rsidP="00656B30">
      <w:pPr>
        <w:pStyle w:val="Ttulo2"/>
        <w:spacing w:after="0"/>
      </w:pPr>
      <w:r>
        <w:t>6. Análise de Sensibilidade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79"/>
        <w:gridCol w:w="1879"/>
      </w:tblGrid>
      <w:tr w:rsidR="00A14AC1" w14:paraId="40E4B1E8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0B804ABE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w="1881" w:type="dxa"/>
            <w:shd w:val="clear" w:color="auto" w:fill="1A1A1A"/>
          </w:tcPr>
          <w:p w14:paraId="53C01864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Ocupação</w:t>
            </w:r>
          </w:p>
        </w:tc>
        <w:tc>
          <w:tcPr>
            <w:tcW w:w="1881" w:type="dxa"/>
            <w:shd w:val="clear" w:color="auto" w:fill="1A1A1A"/>
          </w:tcPr>
          <w:p w14:paraId="0B74851B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Receita Ano 3</w:t>
            </w:r>
          </w:p>
        </w:tc>
        <w:tc>
          <w:tcPr>
            <w:tcW w:w="1881" w:type="dxa"/>
            <w:shd w:val="clear" w:color="auto" w:fill="1A1A1A"/>
          </w:tcPr>
          <w:p w14:paraId="102308F2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w="1881" w:type="dxa"/>
            <w:shd w:val="clear" w:color="auto" w:fill="1A1A1A"/>
          </w:tcPr>
          <w:p w14:paraId="2B1ADEDE" w14:textId="77777777" w:rsidR="00A14AC1" w:rsidRDefault="00000000" w:rsidP="00656B3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Payback</w:t>
            </w:r>
          </w:p>
        </w:tc>
      </w:tr>
      <w:tr w:rsidR="00A14AC1" w14:paraId="56A98204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089E128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Pessimista</w:t>
            </w:r>
          </w:p>
        </w:tc>
        <w:tc>
          <w:tcPr>
            <w:tcW w:w="1881" w:type="dxa"/>
            <w:shd w:val="clear" w:color="auto" w:fill="F5F5F5"/>
          </w:tcPr>
          <w:p w14:paraId="648F8722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30%</w:t>
            </w:r>
          </w:p>
        </w:tc>
        <w:tc>
          <w:tcPr>
            <w:tcW w:w="1881" w:type="dxa"/>
            <w:shd w:val="clear" w:color="auto" w:fill="F5F5F5"/>
          </w:tcPr>
          <w:p w14:paraId="714007C1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€380.000</w:t>
            </w:r>
          </w:p>
        </w:tc>
        <w:tc>
          <w:tcPr>
            <w:tcW w:w="1881" w:type="dxa"/>
            <w:shd w:val="clear" w:color="auto" w:fill="F5F5F5"/>
          </w:tcPr>
          <w:p w14:paraId="4076603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€148.000</w:t>
            </w:r>
          </w:p>
        </w:tc>
        <w:tc>
          <w:tcPr>
            <w:tcW w:w="1881" w:type="dxa"/>
            <w:shd w:val="clear" w:color="auto" w:fill="F5F5F5"/>
          </w:tcPr>
          <w:p w14:paraId="1856D802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~6 anos</w:t>
            </w:r>
          </w:p>
        </w:tc>
      </w:tr>
      <w:tr w:rsidR="00A14AC1" w14:paraId="32AC59A2" w14:textId="77777777">
        <w:trPr>
          <w:jc w:val="center"/>
        </w:trPr>
        <w:tc>
          <w:tcPr>
            <w:tcW w:w="1881" w:type="dxa"/>
          </w:tcPr>
          <w:p w14:paraId="3FEDC39F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Base</w:t>
            </w:r>
          </w:p>
        </w:tc>
        <w:tc>
          <w:tcPr>
            <w:tcW w:w="1881" w:type="dxa"/>
          </w:tcPr>
          <w:p w14:paraId="1F768162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45%</w:t>
            </w:r>
          </w:p>
        </w:tc>
        <w:tc>
          <w:tcPr>
            <w:tcW w:w="1881" w:type="dxa"/>
          </w:tcPr>
          <w:p w14:paraId="204E3F2E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€489.520</w:t>
            </w:r>
          </w:p>
        </w:tc>
        <w:tc>
          <w:tcPr>
            <w:tcW w:w="1881" w:type="dxa"/>
          </w:tcPr>
          <w:p w14:paraId="74DA927D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€257.440</w:t>
            </w:r>
          </w:p>
        </w:tc>
        <w:tc>
          <w:tcPr>
            <w:tcW w:w="1881" w:type="dxa"/>
          </w:tcPr>
          <w:p w14:paraId="0032A9E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~4 anos</w:t>
            </w:r>
          </w:p>
        </w:tc>
      </w:tr>
      <w:tr w:rsidR="00A14AC1" w14:paraId="73A42FBC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8F77279" w14:textId="77777777" w:rsidR="00A14AC1" w:rsidRDefault="00000000" w:rsidP="00656B30">
            <w:pPr>
              <w:spacing w:after="0"/>
            </w:pPr>
            <w:r>
              <w:rPr>
                <w:b/>
                <w:sz w:val="20"/>
              </w:rPr>
              <w:t>Otimista</w:t>
            </w:r>
          </w:p>
        </w:tc>
        <w:tc>
          <w:tcPr>
            <w:tcW w:w="1881" w:type="dxa"/>
            <w:shd w:val="clear" w:color="auto" w:fill="F5F5F5"/>
          </w:tcPr>
          <w:p w14:paraId="67EF4CEB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55%</w:t>
            </w:r>
          </w:p>
        </w:tc>
        <w:tc>
          <w:tcPr>
            <w:tcW w:w="1881" w:type="dxa"/>
            <w:shd w:val="clear" w:color="auto" w:fill="F5F5F5"/>
          </w:tcPr>
          <w:p w14:paraId="6266BFB7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€570.000</w:t>
            </w:r>
          </w:p>
        </w:tc>
        <w:tc>
          <w:tcPr>
            <w:tcW w:w="1881" w:type="dxa"/>
            <w:shd w:val="clear" w:color="auto" w:fill="F5F5F5"/>
          </w:tcPr>
          <w:p w14:paraId="1AD5C259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€338.000</w:t>
            </w:r>
          </w:p>
        </w:tc>
        <w:tc>
          <w:tcPr>
            <w:tcW w:w="1881" w:type="dxa"/>
            <w:shd w:val="clear" w:color="auto" w:fill="F5F5F5"/>
          </w:tcPr>
          <w:p w14:paraId="158D9545" w14:textId="77777777" w:rsidR="00A14AC1" w:rsidRDefault="00000000" w:rsidP="00656B30">
            <w:pPr>
              <w:spacing w:after="0"/>
            </w:pPr>
            <w:r>
              <w:rPr>
                <w:sz w:val="20"/>
              </w:rPr>
              <w:t>~3 anos</w:t>
            </w:r>
          </w:p>
        </w:tc>
      </w:tr>
    </w:tbl>
    <w:p w14:paraId="7CC83DEC" w14:textId="77777777" w:rsidR="00A14AC1" w:rsidRDefault="00A14AC1" w:rsidP="00656B30">
      <w:pPr>
        <w:spacing w:after="0"/>
      </w:pPr>
    </w:p>
    <w:p w14:paraId="28FC85E4" w14:textId="77777777" w:rsidR="00A14AC1" w:rsidRDefault="00000000" w:rsidP="00656B30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AA938BE" w14:textId="77777777" w:rsidR="00A14AC1" w:rsidRDefault="00000000" w:rsidP="00656B30">
      <w:pPr>
        <w:pStyle w:val="Ttulo2"/>
        <w:spacing w:after="0"/>
      </w:pPr>
      <w:r>
        <w:t>Referências</w:t>
      </w:r>
    </w:p>
    <w:p w14:paraId="48F2C4B6" w14:textId="77777777" w:rsidR="00A14AC1" w:rsidRDefault="00000000" w:rsidP="00656B30">
      <w:pPr>
        <w:spacing w:after="0"/>
      </w:pPr>
      <w:r>
        <w:t>[1]: AC Arquitetos — Custos Padrão na Reabilitação (https://www.ac-arquitetos.com)</w:t>
      </w:r>
    </w:p>
    <w:p w14:paraId="24716557" w14:textId="77777777" w:rsidR="00A14AC1" w:rsidRDefault="00000000" w:rsidP="00656B30">
      <w:pPr>
        <w:spacing w:after="0"/>
      </w:pPr>
      <w:r>
        <w:t>[2]: AirDNA — Aveiro Market Overview 2025 (https://www.airdna.co)</w:t>
      </w:r>
    </w:p>
    <w:p w14:paraId="4212F66D" w14:textId="72E5DDEA" w:rsidR="00A14AC1" w:rsidRDefault="00A14AC1" w:rsidP="00656B30">
      <w:pPr>
        <w:spacing w:after="0"/>
      </w:pPr>
    </w:p>
    <w:sectPr w:rsidR="00A14AC1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5E843" w14:textId="77777777" w:rsidR="00AF5EDA" w:rsidRDefault="00AF5EDA" w:rsidP="00656B30">
      <w:pPr>
        <w:spacing w:after="0" w:line="240" w:lineRule="auto"/>
      </w:pPr>
      <w:r>
        <w:separator/>
      </w:r>
    </w:p>
  </w:endnote>
  <w:endnote w:type="continuationSeparator" w:id="0">
    <w:p w14:paraId="3AC9EA5D" w14:textId="77777777" w:rsidR="00AF5EDA" w:rsidRDefault="00AF5EDA" w:rsidP="00656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20E3C" w14:textId="77777777" w:rsidR="00AF5EDA" w:rsidRDefault="00AF5EDA" w:rsidP="00656B30">
      <w:pPr>
        <w:spacing w:after="0" w:line="240" w:lineRule="auto"/>
      </w:pPr>
      <w:r>
        <w:separator/>
      </w:r>
    </w:p>
  </w:footnote>
  <w:footnote w:type="continuationSeparator" w:id="0">
    <w:p w14:paraId="60F45F04" w14:textId="77777777" w:rsidR="00AF5EDA" w:rsidRDefault="00AF5EDA" w:rsidP="00656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FD01" w14:textId="01E6DF76" w:rsidR="00656B30" w:rsidRDefault="00656B30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1175E9A" wp14:editId="2E9ED1C6">
          <wp:simplePos x="0" y="0"/>
          <wp:positionH relativeFrom="column">
            <wp:posOffset>-981307</wp:posOffset>
          </wp:positionH>
          <wp:positionV relativeFrom="paragraph">
            <wp:posOffset>-702527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338423">
    <w:abstractNumId w:val="8"/>
  </w:num>
  <w:num w:numId="2" w16cid:durableId="1887646181">
    <w:abstractNumId w:val="6"/>
  </w:num>
  <w:num w:numId="3" w16cid:durableId="1976596287">
    <w:abstractNumId w:val="5"/>
  </w:num>
  <w:num w:numId="4" w16cid:durableId="1777797094">
    <w:abstractNumId w:val="4"/>
  </w:num>
  <w:num w:numId="5" w16cid:durableId="141581967">
    <w:abstractNumId w:val="7"/>
  </w:num>
  <w:num w:numId="6" w16cid:durableId="1262224160">
    <w:abstractNumId w:val="3"/>
  </w:num>
  <w:num w:numId="7" w16cid:durableId="389773056">
    <w:abstractNumId w:val="2"/>
  </w:num>
  <w:num w:numId="8" w16cid:durableId="439682855">
    <w:abstractNumId w:val="1"/>
  </w:num>
  <w:num w:numId="9" w16cid:durableId="58812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6B30"/>
    <w:rsid w:val="00A14AC1"/>
    <w:rsid w:val="00AA1D8D"/>
    <w:rsid w:val="00AF5EDA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D961AB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3576</Characters>
  <Application>Microsoft Office Word</Application>
  <DocSecurity>0</DocSecurity>
  <Lines>298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2026-03-10T19:23:00Z</dcterms:created>
  <dcterms:modified xsi:type="dcterms:W3CDTF">2026-03-10T19:23:00Z</dcterms:modified>
  <cp:category/>
</cp:coreProperties>
</file>