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1C229" w14:textId="77777777" w:rsidR="00211F10" w:rsidRDefault="00000000">
      <w:pPr>
        <w:pStyle w:val="Ttulo1"/>
      </w:pPr>
      <w:r>
        <w:t>Protocolo de Cooperação — IPNS e IPSS Quinta do Visconde de Salreu</w:t>
      </w:r>
    </w:p>
    <w:p w14:paraId="7BC74C16" w14:textId="77777777" w:rsidR="00211F10" w:rsidRDefault="00000000">
      <w:pPr>
        <w:pStyle w:val="Ttulo2"/>
      </w:pPr>
      <w:r>
        <w:t>Preâmbulo</w:t>
      </w:r>
    </w:p>
    <w:p w14:paraId="27BED910" w14:textId="77777777" w:rsidR="00211F10" w:rsidRDefault="00000000">
      <w:r>
        <w:t>O presente Protocolo de Cooperação é celebrado entre:</w:t>
      </w:r>
    </w:p>
    <w:p w14:paraId="5F99F208" w14:textId="77777777" w:rsidR="00211F10" w:rsidRDefault="00000000">
      <w:r>
        <w:rPr>
          <w:b/>
        </w:rPr>
        <w:t>Primeiro Outorgante:</w:t>
      </w:r>
    </w:p>
    <w:p w14:paraId="2FE71817" w14:textId="77777777" w:rsidR="00211F10" w:rsidRDefault="00000000">
      <w:r>
        <w:t xml:space="preserve">Instituto Português de Negócios Sociais (IPNS), associação sem fins lucrativos, com sede na Rua 1.º de Maio, 41, 2590-502 Sobral de Monte Agraço, adiante designado por </w:t>
      </w:r>
      <w:r>
        <w:rPr>
          <w:b/>
        </w:rPr>
        <w:t>IPNS</w:t>
      </w:r>
      <w:r>
        <w:t>.</w:t>
      </w:r>
    </w:p>
    <w:p w14:paraId="4F93F582" w14:textId="77777777" w:rsidR="00211F10" w:rsidRDefault="00000000">
      <w:r>
        <w:rPr>
          <w:b/>
        </w:rPr>
        <w:t>Segundo Outorgante:</w:t>
      </w:r>
    </w:p>
    <w:p w14:paraId="7A3E5D2E" w14:textId="77777777" w:rsidR="00211F10" w:rsidRDefault="00000000">
      <w:r>
        <w:t xml:space="preserve">Associação para a Preservação e Valorização da Quinta do Visconde de Salreu, IPSS em constituição, com sede na Freguesia de Salreu, Concelho de Estarreja, Distrito de Aveiro, adiante designada por </w:t>
      </w:r>
      <w:r>
        <w:rPr>
          <w:b/>
        </w:rPr>
        <w:t>Associação</w:t>
      </w:r>
      <w:r>
        <w:t>.</w:t>
      </w:r>
    </w:p>
    <w:p w14:paraId="4589AF90" w14:textId="77777777" w:rsidR="00211F10" w:rsidRDefault="00000000">
      <w:r>
        <w:t>Considerando que:</w:t>
      </w:r>
    </w:p>
    <w:p w14:paraId="4E20F8E9" w14:textId="77777777" w:rsidR="00211F10" w:rsidRDefault="00000000">
      <w:r>
        <w:t>a) O IPNS tem por missão a promoção de negócios sociais, a preservação do património cultural e a formação profissional em artes e ofícios tradicionais;</w:t>
      </w:r>
    </w:p>
    <w:p w14:paraId="61F9D510" w14:textId="77777777" w:rsidR="00211F10" w:rsidRDefault="00000000">
      <w:r>
        <w:t>b) A Associação tem por objeto a preservação e valorização da Quinta do Visconde de Salreu, incluindo o restauro do solar, jardins e anexos, a promoção de formação profissional e turismo cultural;</w:t>
      </w:r>
    </w:p>
    <w:p w14:paraId="486FBF86" w14:textId="77777777" w:rsidR="00211F10" w:rsidRDefault="00000000">
      <w:r>
        <w:t>c) Ambas as partes reconhecem o interesse mútuo em cooperar para a concretização do projeto de restauro e requalificação da Quinta do Visconde de Salreu;</w:t>
      </w:r>
    </w:p>
    <w:p w14:paraId="02134310" w14:textId="77777777" w:rsidR="00211F10" w:rsidRDefault="00000000">
      <w:r>
        <w:t>É celebrado o presente Protocolo de Cooperação, nos termos e condições seguintes:</w:t>
      </w:r>
    </w:p>
    <w:p w14:paraId="380065F3" w14:textId="77777777" w:rsidR="00211F10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253EA68" w14:textId="77777777" w:rsidR="00211F10" w:rsidRDefault="00000000">
      <w:pPr>
        <w:pStyle w:val="Ttulo2"/>
      </w:pPr>
      <w:r>
        <w:t>Cláusula 1.ª — Objeto</w:t>
      </w:r>
    </w:p>
    <w:p w14:paraId="68545B11" w14:textId="77777777" w:rsidR="00211F10" w:rsidRDefault="00000000">
      <w:r>
        <w:t>O presente Protocolo tem por objeto estabelecer os termos da cooperação entre o IPNS e a Associação para a execução do projeto de restauro, formação e turismo cultural da Quinta do Visconde de Salreu, com investimento total estimado de €2.070.000 e duração de 30 meses.</w:t>
      </w:r>
    </w:p>
    <w:p w14:paraId="0736795E" w14:textId="77777777" w:rsidR="00211F10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FDABBA0" w14:textId="77777777" w:rsidR="00211F10" w:rsidRDefault="00000000">
      <w:pPr>
        <w:pStyle w:val="Ttulo2"/>
      </w:pPr>
      <w:r>
        <w:t>Cláusula 2.ª — Obrigações do IPNS</w:t>
      </w:r>
    </w:p>
    <w:p w14:paraId="155CD6F9" w14:textId="77777777" w:rsidR="00211F10" w:rsidRDefault="00000000">
      <w:r>
        <w:t>O IPNS compromete-se a:</w:t>
      </w:r>
    </w:p>
    <w:p w14:paraId="25AFCCE0" w14:textId="77777777" w:rsidR="00211F10" w:rsidRDefault="00000000">
      <w:r>
        <w:lastRenderedPageBreak/>
        <w:t>a) Prestar assessoria estratégica na elaboração e submissão de candidaturas a financiamento europeu e nacional;</w:t>
      </w:r>
    </w:p>
    <w:p w14:paraId="64536C9D" w14:textId="77777777" w:rsidR="00211F10" w:rsidRDefault="00000000">
      <w:r>
        <w:t>b) Apoiar o planeamento estratégico do projeto, incluindo a definição de programas de formação, modelo turístico e programação cultural;</w:t>
      </w:r>
    </w:p>
    <w:p w14:paraId="6F7AA88F" w14:textId="77777777" w:rsidR="00211F10" w:rsidRDefault="00000000">
      <w:r>
        <w:t>c) Coordenar a rede de parceiros estratégicos, nomeadamente a Banda Visconde de Salreu, a Escola de Laceiras, o IEFP e a Câmara Municipal de Estarreja;</w:t>
      </w:r>
    </w:p>
    <w:p w14:paraId="4FA17ADF" w14:textId="77777777" w:rsidR="00211F10" w:rsidRDefault="00000000">
      <w:r>
        <w:t>d) Acompanhar a execução técnica e financeira do projeto, incluindo a elaboração de relatórios de progresso e prestação de contas;</w:t>
      </w:r>
    </w:p>
    <w:p w14:paraId="00F39FB2" w14:textId="77777777" w:rsidR="00211F10" w:rsidRDefault="00000000">
      <w:r>
        <w:t>e) Apoiar a gestão operacional durante a fase de operação, incluindo marketing, promoção e gestão de plataformas digitais;</w:t>
      </w:r>
    </w:p>
    <w:p w14:paraId="1D422B9C" w14:textId="77777777" w:rsidR="00211F10" w:rsidRDefault="00000000">
      <w:r>
        <w:t>f) Disponibilizar a sua rede de contactos e conhecimento especializado em negócios sociais e economia solidária.</w:t>
      </w:r>
    </w:p>
    <w:p w14:paraId="0E8FBF24" w14:textId="77777777" w:rsidR="00211F10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BA48149" w14:textId="77777777" w:rsidR="00211F10" w:rsidRDefault="00000000">
      <w:pPr>
        <w:pStyle w:val="Ttulo2"/>
      </w:pPr>
      <w:r>
        <w:t>Cláusula 3.ª — Obrigações da Associação</w:t>
      </w:r>
    </w:p>
    <w:p w14:paraId="3100AE5E" w14:textId="77777777" w:rsidR="00211F10" w:rsidRDefault="00000000">
      <w:r>
        <w:t>A Associação compromete-se a:</w:t>
      </w:r>
    </w:p>
    <w:p w14:paraId="022E0A0B" w14:textId="77777777" w:rsidR="00211F10" w:rsidRDefault="00000000">
      <w:r>
        <w:t>a) Garantir a constituição formal da IPSS e o cumprimento de todas as obrigações legais e estatutárias;</w:t>
      </w:r>
    </w:p>
    <w:p w14:paraId="3B43FCD2" w14:textId="77777777" w:rsidR="00211F10" w:rsidRDefault="00000000">
      <w:r>
        <w:t>b) Assegurar a disponibilização da Quinta do Visconde de Salreu para a execução do projeto;</w:t>
      </w:r>
    </w:p>
    <w:p w14:paraId="3A46E04E" w14:textId="77777777" w:rsidR="00211F10" w:rsidRDefault="00000000">
      <w:r>
        <w:t>c) Garantir a contrapartida financeira necessária (capitais próprios) para a execução do projeto;</w:t>
      </w:r>
    </w:p>
    <w:p w14:paraId="4C17DCEA" w14:textId="77777777" w:rsidR="00211F10" w:rsidRDefault="00000000">
      <w:r>
        <w:t>d) Colaborar ativamente na elaboração de candidaturas e na prestação de informações necessárias;</w:t>
      </w:r>
    </w:p>
    <w:p w14:paraId="4A82C8E9" w14:textId="77777777" w:rsidR="00211F10" w:rsidRDefault="00000000">
      <w:r>
        <w:t>e) Assegurar a gestão corrente do projeto, incluindo a contratação de pessoal e a gestão de fornecedores;</w:t>
      </w:r>
    </w:p>
    <w:p w14:paraId="16626C90" w14:textId="77777777" w:rsidR="00211F10" w:rsidRDefault="00000000">
      <w:r>
        <w:t>f) Prestar contas regulares ao IPNS sobre a execução técnica e financeira do projeto.</w:t>
      </w:r>
    </w:p>
    <w:p w14:paraId="58EB8297" w14:textId="77777777" w:rsidR="00211F10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DFDB01F" w14:textId="77777777" w:rsidR="00211F10" w:rsidRDefault="00000000">
      <w:pPr>
        <w:pStyle w:val="Ttulo2"/>
      </w:pPr>
      <w:r>
        <w:t>Cláusula 4.ª — Remuneração do IPNS</w:t>
      </w:r>
    </w:p>
    <w:p w14:paraId="685A8A39" w14:textId="77777777" w:rsidR="00211F10" w:rsidRDefault="00000000">
      <w:pPr>
        <w:pStyle w:val="Ttulo3"/>
      </w:pPr>
      <w:r>
        <w:t>4.1. Modelo Misto</w:t>
      </w:r>
    </w:p>
    <w:p w14:paraId="74759B4C" w14:textId="77777777" w:rsidR="00211F10" w:rsidRDefault="00000000">
      <w:r>
        <w:t>A remuneração do IPNS obedece a um modelo misto, composto por quatro componentes: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11F10" w14:paraId="561309FA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5ED3B6B5" w14:textId="77777777" w:rsidR="00211F1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7B152095" w14:textId="77777777" w:rsidR="00211F1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2351" w:type="dxa"/>
            <w:shd w:val="clear" w:color="auto" w:fill="1A1A1A"/>
          </w:tcPr>
          <w:p w14:paraId="748FE45E" w14:textId="77777777" w:rsidR="00211F1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2351" w:type="dxa"/>
            <w:shd w:val="clear" w:color="auto" w:fill="1A1A1A"/>
          </w:tcPr>
          <w:p w14:paraId="4F38EE19" w14:textId="77777777" w:rsidR="00211F1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Periodicidade</w:t>
            </w:r>
          </w:p>
        </w:tc>
      </w:tr>
      <w:tr w:rsidR="00211F10" w14:paraId="7200D5BC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3728DF1" w14:textId="77777777" w:rsidR="00211F10" w:rsidRDefault="00000000">
            <w:r>
              <w:rPr>
                <w:b/>
                <w:sz w:val="20"/>
              </w:rPr>
              <w:t>Fee Fixo de Assessoria</w:t>
            </w:r>
          </w:p>
        </w:tc>
        <w:tc>
          <w:tcPr>
            <w:tcW w:w="2351" w:type="dxa"/>
            <w:shd w:val="clear" w:color="auto" w:fill="F5F5F5"/>
          </w:tcPr>
          <w:p w14:paraId="4CBC3363" w14:textId="77777777" w:rsidR="00211F10" w:rsidRDefault="00000000">
            <w:r>
              <w:rPr>
                <w:sz w:val="20"/>
              </w:rPr>
              <w:t>Assessoria contínua durante a fase de preparação e candidaturas</w:t>
            </w:r>
          </w:p>
        </w:tc>
        <w:tc>
          <w:tcPr>
            <w:tcW w:w="2351" w:type="dxa"/>
            <w:shd w:val="clear" w:color="auto" w:fill="F5F5F5"/>
          </w:tcPr>
          <w:p w14:paraId="6B0C38D3" w14:textId="77777777" w:rsidR="00211F10" w:rsidRDefault="00000000">
            <w:r>
              <w:rPr>
                <w:sz w:val="20"/>
              </w:rPr>
              <w:t>€3.000/mês</w:t>
            </w:r>
          </w:p>
        </w:tc>
        <w:tc>
          <w:tcPr>
            <w:tcW w:w="2351" w:type="dxa"/>
            <w:shd w:val="clear" w:color="auto" w:fill="F5F5F5"/>
          </w:tcPr>
          <w:p w14:paraId="4EECEB04" w14:textId="77777777" w:rsidR="00211F10" w:rsidRDefault="00000000">
            <w:r>
              <w:rPr>
                <w:sz w:val="20"/>
              </w:rPr>
              <w:t>Mensal (Meses 1-10)</w:t>
            </w:r>
          </w:p>
        </w:tc>
      </w:tr>
      <w:tr w:rsidR="00211F10" w14:paraId="7EE7BE22" w14:textId="77777777">
        <w:trPr>
          <w:jc w:val="center"/>
        </w:trPr>
        <w:tc>
          <w:tcPr>
            <w:tcW w:w="2351" w:type="dxa"/>
          </w:tcPr>
          <w:p w14:paraId="251492F9" w14:textId="77777777" w:rsidR="00211F10" w:rsidRDefault="00000000">
            <w:r>
              <w:rPr>
                <w:b/>
                <w:sz w:val="20"/>
              </w:rPr>
              <w:lastRenderedPageBreak/>
              <w:t>Fee Fixo de Acompanhamento</w:t>
            </w:r>
          </w:p>
        </w:tc>
        <w:tc>
          <w:tcPr>
            <w:tcW w:w="2351" w:type="dxa"/>
          </w:tcPr>
          <w:p w14:paraId="21570FBC" w14:textId="77777777" w:rsidR="00211F10" w:rsidRDefault="00000000">
            <w:r>
              <w:rPr>
                <w:sz w:val="20"/>
              </w:rPr>
              <w:t>Acompanhamento técnico durante a fase de execução</w:t>
            </w:r>
          </w:p>
        </w:tc>
        <w:tc>
          <w:tcPr>
            <w:tcW w:w="2351" w:type="dxa"/>
          </w:tcPr>
          <w:p w14:paraId="24035865" w14:textId="77777777" w:rsidR="00211F10" w:rsidRDefault="00000000">
            <w:r>
              <w:rPr>
                <w:sz w:val="20"/>
              </w:rPr>
              <w:t>€2.000/mês</w:t>
            </w:r>
          </w:p>
        </w:tc>
        <w:tc>
          <w:tcPr>
            <w:tcW w:w="2351" w:type="dxa"/>
          </w:tcPr>
          <w:p w14:paraId="2F62DDE7" w14:textId="77777777" w:rsidR="00211F10" w:rsidRDefault="00000000">
            <w:r>
              <w:rPr>
                <w:sz w:val="20"/>
              </w:rPr>
              <w:t>Mensal (Meses 11-30)</w:t>
            </w:r>
          </w:p>
        </w:tc>
      </w:tr>
      <w:tr w:rsidR="00211F10" w14:paraId="6EA50B1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B7608AD" w14:textId="77777777" w:rsidR="00211F10" w:rsidRDefault="00000000">
            <w:r>
              <w:rPr>
                <w:b/>
                <w:sz w:val="20"/>
              </w:rPr>
              <w:t>Success Fee</w:t>
            </w:r>
          </w:p>
        </w:tc>
        <w:tc>
          <w:tcPr>
            <w:tcW w:w="2351" w:type="dxa"/>
            <w:shd w:val="clear" w:color="auto" w:fill="F5F5F5"/>
          </w:tcPr>
          <w:p w14:paraId="1A37A519" w14:textId="77777777" w:rsidR="00211F10" w:rsidRDefault="00000000">
            <w:r>
              <w:rPr>
                <w:sz w:val="20"/>
              </w:rPr>
              <w:t>Percentagem sobre o valor de financiamento efetivamente captado</w:t>
            </w:r>
          </w:p>
        </w:tc>
        <w:tc>
          <w:tcPr>
            <w:tcW w:w="2351" w:type="dxa"/>
            <w:shd w:val="clear" w:color="auto" w:fill="F5F5F5"/>
          </w:tcPr>
          <w:p w14:paraId="63C57829" w14:textId="77777777" w:rsidR="00211F10" w:rsidRDefault="00000000">
            <w:r>
              <w:rPr>
                <w:sz w:val="20"/>
              </w:rPr>
              <w:t>5% do valor aprovado</w:t>
            </w:r>
          </w:p>
        </w:tc>
        <w:tc>
          <w:tcPr>
            <w:tcW w:w="2351" w:type="dxa"/>
            <w:shd w:val="clear" w:color="auto" w:fill="F5F5F5"/>
          </w:tcPr>
          <w:p w14:paraId="299FB30F" w14:textId="77777777" w:rsidR="00211F10" w:rsidRDefault="00000000">
            <w:r>
              <w:rPr>
                <w:sz w:val="20"/>
              </w:rPr>
              <w:t>Tranches proporcionais</w:t>
            </w:r>
          </w:p>
        </w:tc>
      </w:tr>
      <w:tr w:rsidR="00211F10" w14:paraId="467D8B44" w14:textId="77777777">
        <w:trPr>
          <w:jc w:val="center"/>
        </w:trPr>
        <w:tc>
          <w:tcPr>
            <w:tcW w:w="2351" w:type="dxa"/>
          </w:tcPr>
          <w:p w14:paraId="4CA70D27" w14:textId="77777777" w:rsidR="00211F10" w:rsidRDefault="00000000">
            <w:r>
              <w:rPr>
                <w:b/>
                <w:sz w:val="20"/>
              </w:rPr>
              <w:t>Taxa de Gestão Operacional</w:t>
            </w:r>
          </w:p>
        </w:tc>
        <w:tc>
          <w:tcPr>
            <w:tcW w:w="2351" w:type="dxa"/>
          </w:tcPr>
          <w:p w14:paraId="3FB079FE" w14:textId="77777777" w:rsidR="00211F10" w:rsidRDefault="00000000">
            <w:r>
              <w:rPr>
                <w:sz w:val="20"/>
              </w:rPr>
              <w:t>Gestão operacional na fase de operação</w:t>
            </w:r>
          </w:p>
        </w:tc>
        <w:tc>
          <w:tcPr>
            <w:tcW w:w="2351" w:type="dxa"/>
          </w:tcPr>
          <w:p w14:paraId="7044E388" w14:textId="77777777" w:rsidR="00211F10" w:rsidRDefault="00000000">
            <w:r>
              <w:rPr>
                <w:sz w:val="20"/>
              </w:rPr>
              <w:t>3% do orçamento anual</w:t>
            </w:r>
          </w:p>
        </w:tc>
        <w:tc>
          <w:tcPr>
            <w:tcW w:w="2351" w:type="dxa"/>
          </w:tcPr>
          <w:p w14:paraId="1DD9C594" w14:textId="77777777" w:rsidR="00211F10" w:rsidRDefault="00000000">
            <w:r>
              <w:rPr>
                <w:sz w:val="20"/>
              </w:rPr>
              <w:t>Anual</w:t>
            </w:r>
          </w:p>
        </w:tc>
      </w:tr>
    </w:tbl>
    <w:p w14:paraId="59549B00" w14:textId="77777777" w:rsidR="00211F10" w:rsidRDefault="00211F10"/>
    <w:p w14:paraId="1DCB2D0A" w14:textId="77777777" w:rsidR="00211F10" w:rsidRDefault="00000000">
      <w:pPr>
        <w:pStyle w:val="Ttulo3"/>
      </w:pPr>
      <w:r>
        <w:t>4.2. Estimativa de Remuneração Total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11F10" w14:paraId="522E43E4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168B8A8A" w14:textId="77777777" w:rsidR="00211F1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3135" w:type="dxa"/>
            <w:shd w:val="clear" w:color="auto" w:fill="1A1A1A"/>
          </w:tcPr>
          <w:p w14:paraId="024E8290" w14:textId="77777777" w:rsidR="00211F1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w="3135" w:type="dxa"/>
            <w:shd w:val="clear" w:color="auto" w:fill="1A1A1A"/>
          </w:tcPr>
          <w:p w14:paraId="18F38B28" w14:textId="77777777" w:rsidR="00211F1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211F10" w14:paraId="19DA4E9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3EF61CF" w14:textId="77777777" w:rsidR="00211F10" w:rsidRDefault="00000000">
            <w:r>
              <w:rPr>
                <w:sz w:val="20"/>
              </w:rPr>
              <w:t>Fee Fixo de Assessoria</w:t>
            </w:r>
          </w:p>
        </w:tc>
        <w:tc>
          <w:tcPr>
            <w:tcW w:w="3135" w:type="dxa"/>
            <w:shd w:val="clear" w:color="auto" w:fill="F5F5F5"/>
          </w:tcPr>
          <w:p w14:paraId="21883631" w14:textId="77777777" w:rsidR="00211F10" w:rsidRDefault="00000000">
            <w:r>
              <w:rPr>
                <w:sz w:val="20"/>
              </w:rPr>
              <w:t>10 meses × €3.000</w:t>
            </w:r>
          </w:p>
        </w:tc>
        <w:tc>
          <w:tcPr>
            <w:tcW w:w="3135" w:type="dxa"/>
            <w:shd w:val="clear" w:color="auto" w:fill="F5F5F5"/>
          </w:tcPr>
          <w:p w14:paraId="0193B02D" w14:textId="77777777" w:rsidR="00211F10" w:rsidRDefault="00000000">
            <w:r>
              <w:rPr>
                <w:sz w:val="20"/>
              </w:rPr>
              <w:t>€30.000</w:t>
            </w:r>
          </w:p>
        </w:tc>
      </w:tr>
      <w:tr w:rsidR="00211F10" w14:paraId="7C9BC947" w14:textId="77777777">
        <w:trPr>
          <w:jc w:val="center"/>
        </w:trPr>
        <w:tc>
          <w:tcPr>
            <w:tcW w:w="3135" w:type="dxa"/>
          </w:tcPr>
          <w:p w14:paraId="6704EE8F" w14:textId="77777777" w:rsidR="00211F10" w:rsidRDefault="00000000">
            <w:r>
              <w:rPr>
                <w:sz w:val="20"/>
              </w:rPr>
              <w:t>Fee Fixo de Acompanhamento</w:t>
            </w:r>
          </w:p>
        </w:tc>
        <w:tc>
          <w:tcPr>
            <w:tcW w:w="3135" w:type="dxa"/>
          </w:tcPr>
          <w:p w14:paraId="4340E025" w14:textId="77777777" w:rsidR="00211F10" w:rsidRDefault="00000000">
            <w:r>
              <w:rPr>
                <w:sz w:val="20"/>
              </w:rPr>
              <w:t>20 meses × €2.000</w:t>
            </w:r>
          </w:p>
        </w:tc>
        <w:tc>
          <w:tcPr>
            <w:tcW w:w="3135" w:type="dxa"/>
          </w:tcPr>
          <w:p w14:paraId="2AE3B4CC" w14:textId="77777777" w:rsidR="00211F10" w:rsidRDefault="00000000">
            <w:r>
              <w:rPr>
                <w:sz w:val="20"/>
              </w:rPr>
              <w:t>€40.000</w:t>
            </w:r>
          </w:p>
        </w:tc>
      </w:tr>
      <w:tr w:rsidR="00211F10" w14:paraId="6C72430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F859A75" w14:textId="77777777" w:rsidR="00211F10" w:rsidRDefault="00000000">
            <w:r>
              <w:rPr>
                <w:sz w:val="20"/>
              </w:rPr>
              <w:t>Success Fee</w:t>
            </w:r>
          </w:p>
        </w:tc>
        <w:tc>
          <w:tcPr>
            <w:tcW w:w="3135" w:type="dxa"/>
            <w:shd w:val="clear" w:color="auto" w:fill="F5F5F5"/>
          </w:tcPr>
          <w:p w14:paraId="43836979" w14:textId="77777777" w:rsidR="00211F10" w:rsidRDefault="00000000">
            <w:r>
              <w:rPr>
                <w:sz w:val="20"/>
              </w:rPr>
              <w:t>5% × €2.070.000</w:t>
            </w:r>
          </w:p>
        </w:tc>
        <w:tc>
          <w:tcPr>
            <w:tcW w:w="3135" w:type="dxa"/>
            <w:shd w:val="clear" w:color="auto" w:fill="F5F5F5"/>
          </w:tcPr>
          <w:p w14:paraId="2372213F" w14:textId="77777777" w:rsidR="00211F10" w:rsidRDefault="00000000">
            <w:r>
              <w:rPr>
                <w:sz w:val="20"/>
              </w:rPr>
              <w:t>€103.500</w:t>
            </w:r>
          </w:p>
        </w:tc>
      </w:tr>
      <w:tr w:rsidR="00211F10" w14:paraId="3570FD11" w14:textId="77777777">
        <w:trPr>
          <w:jc w:val="center"/>
        </w:trPr>
        <w:tc>
          <w:tcPr>
            <w:tcW w:w="3135" w:type="dxa"/>
          </w:tcPr>
          <w:p w14:paraId="76816463" w14:textId="77777777" w:rsidR="00211F10" w:rsidRDefault="00000000">
            <w:r>
              <w:rPr>
                <w:sz w:val="20"/>
              </w:rPr>
              <w:t>Taxa de Gestão Operacional</w:t>
            </w:r>
          </w:p>
        </w:tc>
        <w:tc>
          <w:tcPr>
            <w:tcW w:w="3135" w:type="dxa"/>
          </w:tcPr>
          <w:p w14:paraId="5CF520E0" w14:textId="77777777" w:rsidR="00211F10" w:rsidRDefault="00000000">
            <w:r>
              <w:rPr>
                <w:sz w:val="20"/>
              </w:rPr>
              <w:t>3% × €489.500 × 2 anos</w:t>
            </w:r>
          </w:p>
        </w:tc>
        <w:tc>
          <w:tcPr>
            <w:tcW w:w="3135" w:type="dxa"/>
          </w:tcPr>
          <w:p w14:paraId="42FB1568" w14:textId="77777777" w:rsidR="00211F10" w:rsidRDefault="00000000">
            <w:r>
              <w:rPr>
                <w:sz w:val="20"/>
              </w:rPr>
              <w:t>€29.370</w:t>
            </w:r>
          </w:p>
        </w:tc>
      </w:tr>
      <w:tr w:rsidR="00211F10" w14:paraId="48B7463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AA93730" w14:textId="77777777" w:rsidR="00211F10" w:rsidRDefault="00000000">
            <w:r>
              <w:rPr>
                <w:b/>
                <w:sz w:val="20"/>
              </w:rPr>
              <w:t>Total Estimado</w:t>
            </w:r>
          </w:p>
        </w:tc>
        <w:tc>
          <w:tcPr>
            <w:tcW w:w="3135" w:type="dxa"/>
            <w:shd w:val="clear" w:color="auto" w:fill="F5F5F5"/>
          </w:tcPr>
          <w:p w14:paraId="58B70740" w14:textId="77777777" w:rsidR="00211F10" w:rsidRDefault="00211F10"/>
        </w:tc>
        <w:tc>
          <w:tcPr>
            <w:tcW w:w="3135" w:type="dxa"/>
            <w:shd w:val="clear" w:color="auto" w:fill="F5F5F5"/>
          </w:tcPr>
          <w:p w14:paraId="009E01CA" w14:textId="77777777" w:rsidR="00211F10" w:rsidRDefault="00000000">
            <w:r>
              <w:rPr>
                <w:b/>
                <w:sz w:val="20"/>
              </w:rPr>
              <w:t>€202.870</w:t>
            </w:r>
          </w:p>
        </w:tc>
      </w:tr>
    </w:tbl>
    <w:p w14:paraId="3A0CE5A0" w14:textId="77777777" w:rsidR="00211F10" w:rsidRDefault="00211F10"/>
    <w:p w14:paraId="1BD1FAED" w14:textId="77777777" w:rsidR="00211F10" w:rsidRDefault="00000000">
      <w:pPr>
        <w:pStyle w:val="Ttulo3"/>
      </w:pPr>
      <w:r>
        <w:t>4.3. Condições de Pagamento</w:t>
      </w:r>
    </w:p>
    <w:p w14:paraId="61941ABB" w14:textId="77777777" w:rsidR="00211F10" w:rsidRDefault="00000000">
      <w:r>
        <w:t>a) O fee fixo de assessoria é pago mensalmente, mediante emissão de fatura pelo IPNS;</w:t>
      </w:r>
    </w:p>
    <w:p w14:paraId="09D26076" w14:textId="77777777" w:rsidR="00211F10" w:rsidRDefault="00000000">
      <w:r>
        <w:t>b) O fee fixo de acompanhamento é pago mensalmente, mediante emissão de fatura pelo IPNS;</w:t>
      </w:r>
    </w:p>
    <w:p w14:paraId="66CB5140" w14:textId="77777777" w:rsidR="00211F10" w:rsidRDefault="00000000">
      <w:r>
        <w:t>c) O success fee é pago em tranches proporcionais ao desembolso efetivo dos fundos aprovados;</w:t>
      </w:r>
    </w:p>
    <w:p w14:paraId="20F901E8" w14:textId="77777777" w:rsidR="00211F10" w:rsidRDefault="00000000">
      <w:r>
        <w:t>d) A taxa de gestão operacional é paga anualmente, com base nas receitas efetivas do projeto;</w:t>
      </w:r>
    </w:p>
    <w:p w14:paraId="0BCAEC37" w14:textId="77777777" w:rsidR="00211F10" w:rsidRDefault="00000000">
      <w:r>
        <w:t>e) Todos os pagamentos estão sujeitos a IVA à taxa legal em vigor, quando aplicável.</w:t>
      </w:r>
    </w:p>
    <w:p w14:paraId="02D49FAC" w14:textId="77777777" w:rsidR="00211F10" w:rsidRDefault="00000000">
      <w:pPr>
        <w:pStyle w:val="Ttulo3"/>
      </w:pPr>
      <w:r>
        <w:t>4.4. Elegibilidade como Custo de Projeto</w:t>
      </w:r>
    </w:p>
    <w:p w14:paraId="31FE4AF9" w14:textId="77777777" w:rsidR="00211F10" w:rsidRDefault="00000000">
      <w:r>
        <w:t>A remuneração do IPNS é elegível como custo de projeto nas candidaturas a fundos europeus e nacionais, na rubrica de "Consultoria e Assistência Técnica" (tipicamente 5-7% do custo total elegível). A Associação e o IPNS comprometem-se a incluir esta rubrica nas candidaturas submetidas.</w:t>
      </w:r>
    </w:p>
    <w:p w14:paraId="038F02DD" w14:textId="77777777" w:rsidR="00211F10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06D7895" w14:textId="77777777" w:rsidR="00211F10" w:rsidRDefault="00000000">
      <w:pPr>
        <w:pStyle w:val="Ttulo2"/>
      </w:pPr>
      <w:r>
        <w:lastRenderedPageBreak/>
        <w:t>Cláusula 5.ª — Duração e Renovação</w:t>
      </w:r>
    </w:p>
    <w:p w14:paraId="22B7AA9F" w14:textId="77777777" w:rsidR="00211F10" w:rsidRDefault="00000000">
      <w:r>
        <w:t>O presente Protocolo entra em vigor na data da sua assinatura e tem a duração de 30 meses, coincidente com o prazo de execução do projeto. O Protocolo é automaticamente renovável por períodos de 12 meses, salvo denúncia por qualquer das partes com aviso prévio de 90 dias.</w:t>
      </w:r>
    </w:p>
    <w:p w14:paraId="7B195BF7" w14:textId="77777777" w:rsidR="00211F10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6EA1A81" w14:textId="77777777" w:rsidR="00211F10" w:rsidRDefault="00000000">
      <w:pPr>
        <w:pStyle w:val="Ttulo2"/>
      </w:pPr>
      <w:r>
        <w:t>Cláusula 6.ª — Confidencialidade</w:t>
      </w:r>
    </w:p>
    <w:p w14:paraId="2E077F70" w14:textId="77777777" w:rsidR="00211F10" w:rsidRDefault="00000000">
      <w:r>
        <w:t>As partes comprometem-se a manter confidenciais todas as informações trocadas no âmbito do presente Protocolo, incluindo dados financeiros, estratégicos e pessoais, salvo quando a divulgação seja necessária para o cumprimento de obrigações legais ou contratuais.</w:t>
      </w:r>
    </w:p>
    <w:p w14:paraId="70B0A47B" w14:textId="77777777" w:rsidR="00211F10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3A2F6BF" w14:textId="77777777" w:rsidR="00211F10" w:rsidRDefault="00000000">
      <w:pPr>
        <w:pStyle w:val="Ttulo2"/>
      </w:pPr>
      <w:r>
        <w:t>Cláusula 7.ª — Resolução de Conflitos</w:t>
      </w:r>
    </w:p>
    <w:p w14:paraId="5DE0E529" w14:textId="77777777" w:rsidR="00211F10" w:rsidRDefault="00000000">
      <w:r>
        <w:t>Qualquer litígio emergente do presente Protocolo será resolvido preferencialmente por negociação direta entre as partes. Na impossibilidade de acordo, as partes recorrerão à mediação, nos termos da legislação aplicável em Portugal.</w:t>
      </w:r>
    </w:p>
    <w:p w14:paraId="17C445B1" w14:textId="77777777" w:rsidR="00211F10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FB24B13" w14:textId="77777777" w:rsidR="00211F10" w:rsidRDefault="00000000">
      <w:pPr>
        <w:pStyle w:val="Ttulo2"/>
      </w:pPr>
      <w:r>
        <w:t>Cláusula 8.ª — Disposições Finais</w:t>
      </w:r>
    </w:p>
    <w:p w14:paraId="55F70572" w14:textId="77777777" w:rsidR="00211F10" w:rsidRDefault="00000000">
      <w:r>
        <w:t>a) O presente Protocolo é regido pela legislação portuguesa;</w:t>
      </w:r>
    </w:p>
    <w:p w14:paraId="0098D5B0" w14:textId="77777777" w:rsidR="00211F10" w:rsidRDefault="00000000">
      <w:r>
        <w:t>b) Qualquer alteração ao presente Protocolo deverá ser formalizada por escrito e assinada por ambas as partes;</w:t>
      </w:r>
    </w:p>
    <w:p w14:paraId="024A6A4D" w14:textId="77777777" w:rsidR="00211F10" w:rsidRDefault="00000000">
      <w:r>
        <w:t>c) A nulidade de qualquer cláusula não afeta a validade das restantes.</w:t>
      </w:r>
    </w:p>
    <w:p w14:paraId="7BDCC9A3" w14:textId="77777777" w:rsidR="00211F10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0306A5C" w14:textId="77777777" w:rsidR="00211F10" w:rsidRDefault="00000000">
      <w:r>
        <w:rPr>
          <w:b/>
        </w:rPr>
        <w:t>Pelo IPNS:</w:t>
      </w:r>
    </w:p>
    <w:p w14:paraId="3C6D2B68" w14:textId="77777777" w:rsidR="00211F10" w:rsidRDefault="00000000">
      <w:r>
        <w:t>Nome: ___________________________</w:t>
      </w:r>
    </w:p>
    <w:p w14:paraId="43270268" w14:textId="77777777" w:rsidR="00211F10" w:rsidRDefault="00000000">
      <w:r>
        <w:t>Cargo: ___________________________</w:t>
      </w:r>
    </w:p>
    <w:p w14:paraId="4A943083" w14:textId="77777777" w:rsidR="00211F10" w:rsidRDefault="00000000">
      <w:r>
        <w:t>Data: ____/____/2026</w:t>
      </w:r>
    </w:p>
    <w:p w14:paraId="3215FE89" w14:textId="77777777" w:rsidR="00211F10" w:rsidRDefault="00000000">
      <w:r>
        <w:t>Assinatura: ___________________________</w:t>
      </w:r>
    </w:p>
    <w:p w14:paraId="10D2ABA8" w14:textId="77777777" w:rsidR="00211F10" w:rsidRDefault="00000000">
      <w:r>
        <w:rPr>
          <w:b/>
        </w:rPr>
        <w:t>Pela Associação:</w:t>
      </w:r>
    </w:p>
    <w:p w14:paraId="7D10165B" w14:textId="77777777" w:rsidR="00211F10" w:rsidRDefault="00000000">
      <w:r>
        <w:t>Nome: ___________________________</w:t>
      </w:r>
    </w:p>
    <w:p w14:paraId="6D36A874" w14:textId="77777777" w:rsidR="00211F10" w:rsidRDefault="00000000">
      <w:r>
        <w:t>Cargo: ___________________________</w:t>
      </w:r>
    </w:p>
    <w:p w14:paraId="64E94CAB" w14:textId="77777777" w:rsidR="00211F10" w:rsidRDefault="00000000">
      <w:r>
        <w:t>Data: ____/____/2026</w:t>
      </w:r>
    </w:p>
    <w:p w14:paraId="652F36ED" w14:textId="77777777" w:rsidR="00211F10" w:rsidRDefault="00000000">
      <w:r>
        <w:lastRenderedPageBreak/>
        <w:t>Assinatura: ___________________________</w:t>
      </w:r>
    </w:p>
    <w:p w14:paraId="662CB29F" w14:textId="1827784F" w:rsidR="00211F10" w:rsidRDefault="00211F10"/>
    <w:sectPr w:rsidR="00211F10" w:rsidSect="00034616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89042" w14:textId="77777777" w:rsidR="00CB7A87" w:rsidRDefault="00CB7A87" w:rsidP="00045DF0">
      <w:pPr>
        <w:spacing w:after="0" w:line="240" w:lineRule="auto"/>
      </w:pPr>
      <w:r>
        <w:separator/>
      </w:r>
    </w:p>
  </w:endnote>
  <w:endnote w:type="continuationSeparator" w:id="0">
    <w:p w14:paraId="7A4D9841" w14:textId="77777777" w:rsidR="00CB7A87" w:rsidRDefault="00CB7A87" w:rsidP="00045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9AF62" w14:textId="77777777" w:rsidR="00CB7A87" w:rsidRDefault="00CB7A87" w:rsidP="00045DF0">
      <w:pPr>
        <w:spacing w:after="0" w:line="240" w:lineRule="auto"/>
      </w:pPr>
      <w:r>
        <w:separator/>
      </w:r>
    </w:p>
  </w:footnote>
  <w:footnote w:type="continuationSeparator" w:id="0">
    <w:p w14:paraId="7BAAEDC1" w14:textId="77777777" w:rsidR="00CB7A87" w:rsidRDefault="00CB7A87" w:rsidP="00045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6D09B" w14:textId="65FCC103" w:rsidR="00045DF0" w:rsidRDefault="00045DF0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C858CFF" wp14:editId="7E29E7AF">
          <wp:simplePos x="0" y="0"/>
          <wp:positionH relativeFrom="column">
            <wp:posOffset>-1003609</wp:posOffset>
          </wp:positionH>
          <wp:positionV relativeFrom="paragraph">
            <wp:posOffset>-780585</wp:posOffset>
          </wp:positionV>
          <wp:extent cx="7860264" cy="10391636"/>
          <wp:effectExtent l="0" t="0" r="1270" b="0"/>
          <wp:wrapNone/>
          <wp:docPr id="2056105214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105214" name="Imagem 1" descr="Uma imagem contendo Interface gráfica do usuári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0264" cy="10391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200701">
    <w:abstractNumId w:val="8"/>
  </w:num>
  <w:num w:numId="2" w16cid:durableId="2105875115">
    <w:abstractNumId w:val="6"/>
  </w:num>
  <w:num w:numId="3" w16cid:durableId="575091023">
    <w:abstractNumId w:val="5"/>
  </w:num>
  <w:num w:numId="4" w16cid:durableId="584997418">
    <w:abstractNumId w:val="4"/>
  </w:num>
  <w:num w:numId="5" w16cid:durableId="382796477">
    <w:abstractNumId w:val="7"/>
  </w:num>
  <w:num w:numId="6" w16cid:durableId="1759138508">
    <w:abstractNumId w:val="3"/>
  </w:num>
  <w:num w:numId="7" w16cid:durableId="514269043">
    <w:abstractNumId w:val="2"/>
  </w:num>
  <w:num w:numId="8" w16cid:durableId="971905113">
    <w:abstractNumId w:val="1"/>
  </w:num>
  <w:num w:numId="9" w16cid:durableId="116216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DF0"/>
    <w:rsid w:val="0006063C"/>
    <w:rsid w:val="0015074B"/>
    <w:rsid w:val="00211F10"/>
    <w:rsid w:val="0029639D"/>
    <w:rsid w:val="00326F90"/>
    <w:rsid w:val="00AA1D8D"/>
    <w:rsid w:val="00B47730"/>
    <w:rsid w:val="00CB0664"/>
    <w:rsid w:val="00CB7A87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851AD4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899</Words>
  <Characters>5738</Characters>
  <Application>Microsoft Office Word</Application>
  <DocSecurity>0</DocSecurity>
  <Lines>147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3</cp:revision>
  <cp:lastPrinted>2026-03-10T19:24:00Z</cp:lastPrinted>
  <dcterms:created xsi:type="dcterms:W3CDTF">2026-03-10T19:24:00Z</dcterms:created>
  <dcterms:modified xsi:type="dcterms:W3CDTF">2026-03-10T19:24:00Z</dcterms:modified>
  <cp:category/>
</cp:coreProperties>
</file>