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3CE7" w14:textId="77777777" w:rsidR="00766322" w:rsidRDefault="00000000" w:rsidP="007242ED">
      <w:pPr>
        <w:pStyle w:val="Ttulo1"/>
        <w:jc w:val="both"/>
      </w:pPr>
      <w:r>
        <w:t>Sumário Executivo — Torre do Carvalhal</w:t>
      </w:r>
    </w:p>
    <w:p w14:paraId="7D5A2ED9" w14:textId="77777777" w:rsidR="00766322" w:rsidRDefault="00000000" w:rsidP="007242ED">
      <w:pPr>
        <w:jc w:val="both"/>
      </w:pPr>
      <w:r>
        <w:rPr>
          <w:b/>
        </w:rPr>
        <w:t>Projeto de Restauro, Formação e Turismo Rural Sustentável</w:t>
      </w:r>
    </w:p>
    <w:p w14:paraId="07C43F3C" w14:textId="77777777" w:rsidR="00766322" w:rsidRDefault="00000000" w:rsidP="007242ED">
      <w:pPr>
        <w:jc w:val="both"/>
      </w:pPr>
      <w:r>
        <w:rPr>
          <w:b/>
        </w:rPr>
        <w:t>Investimento:</w:t>
      </w:r>
      <w:r>
        <w:t xml:space="preserve"> €2.900.000 | </w:t>
      </w:r>
      <w:r>
        <w:rPr>
          <w:b/>
        </w:rPr>
        <w:t>Duração:</w:t>
      </w:r>
      <w:r>
        <w:t xml:space="preserve"> 36 meses | </w:t>
      </w:r>
      <w:r>
        <w:rPr>
          <w:b/>
        </w:rPr>
        <w:t>Localização:</w:t>
      </w:r>
      <w:r>
        <w:t xml:space="preserve"> Montemor-o-Novo, Évora</w:t>
      </w:r>
    </w:p>
    <w:p w14:paraId="0EBA92C7" w14:textId="77777777" w:rsidR="00766322" w:rsidRDefault="00000000" w:rsidP="007242E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69D95B1" w14:textId="77777777" w:rsidR="00766322" w:rsidRDefault="00000000" w:rsidP="007242ED">
      <w:pPr>
        <w:pStyle w:val="Ttulo2"/>
        <w:jc w:val="both"/>
      </w:pPr>
      <w:r>
        <w:t>Visão do Projeto</w:t>
      </w:r>
    </w:p>
    <w:p w14:paraId="06846006" w14:textId="77777777" w:rsidR="00766322" w:rsidRDefault="00000000" w:rsidP="007242ED">
      <w:pPr>
        <w:jc w:val="both"/>
      </w:pPr>
      <w:r>
        <w:t xml:space="preserve">A Torre do Carvalhal é um conjunto patrimonial de excecional valor histórico e natural, situado no concelho de Montemor-o-Novo, distrito de Évora, no coração do Alentejo. A propriedade abrange </w:t>
      </w:r>
      <w:r>
        <w:rPr>
          <w:b/>
        </w:rPr>
        <w:t>600 a 800 hectares</w:t>
      </w:r>
      <w:r>
        <w:t xml:space="preserve"> de montado de sobro e azinho, e inclui uma torre medieval, uma ermida com azulejaria do século XVI de influência mudejária, casas agrícolas tradicionais e um forno de cal histórico. O projeto visa transformar este património num polo de turismo rural sustentável, formação em ofícios alentejanos e investigação científica, gerando emprego, preservando saberes ancestrais e dinamizando a economia local.</w:t>
      </w:r>
    </w:p>
    <w:p w14:paraId="1F648CEA" w14:textId="77777777" w:rsidR="00766322" w:rsidRDefault="00000000" w:rsidP="007242ED">
      <w:pPr>
        <w:jc w:val="both"/>
      </w:pPr>
      <w:r>
        <w:t xml:space="preserve">A iniciativa é promovida pela </w:t>
      </w:r>
      <w:r>
        <w:rPr>
          <w:b/>
        </w:rPr>
        <w:t>Associação para a Preservação e Valorização da Torre do Carvalhal</w:t>
      </w:r>
      <w:r>
        <w:t xml:space="preserve">, uma IPSS constituída especificamente para este fim, com assessoria estratégica do </w:t>
      </w:r>
      <w:r>
        <w:rPr>
          <w:b/>
        </w:rPr>
        <w:t>Instituto Português de Negócios Sociais (IPNS)</w:t>
      </w:r>
      <w:r>
        <w:t xml:space="preserve"> e parceria académica com a </w:t>
      </w:r>
      <w:r>
        <w:rPr>
          <w:b/>
        </w:rPr>
        <w:t>Universidade de Évora</w:t>
      </w:r>
      <w:r>
        <w:t xml:space="preserve"> (Departamento de Artes Visuais e Design — especialização em azulejaria).</w:t>
      </w:r>
    </w:p>
    <w:p w14:paraId="6F7EB277" w14:textId="77777777" w:rsidR="00766322" w:rsidRDefault="00000000" w:rsidP="007242E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A9167AE" w14:textId="77777777" w:rsidR="00766322" w:rsidRDefault="00000000" w:rsidP="007242ED">
      <w:pPr>
        <w:pStyle w:val="Ttulo2"/>
        <w:jc w:val="both"/>
      </w:pPr>
      <w:r>
        <w:t>Investimento e Orçamento</w:t>
      </w:r>
    </w:p>
    <w:p w14:paraId="67435FFE" w14:textId="77777777" w:rsidR="00766322" w:rsidRDefault="00000000" w:rsidP="007242ED">
      <w:pPr>
        <w:jc w:val="both"/>
      </w:pPr>
      <w:r>
        <w:t xml:space="preserve">O investimento total de </w:t>
      </w:r>
      <w:r>
        <w:rPr>
          <w:b/>
        </w:rPr>
        <w:t>€2.900.000</w:t>
      </w:r>
      <w:r>
        <w:t xml:space="preserve"> está distribuído por seis rubricas principais, com valores validados por pesquisa de mercado extensiva baseada em custos reais de restauro patrimonial em Portugal (2025-2026) [1] [2].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6322" w14:paraId="0575996E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EC66EB0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3135" w:type="dxa"/>
            <w:shd w:val="clear" w:color="auto" w:fill="1A1A1A"/>
          </w:tcPr>
          <w:p w14:paraId="3D91207E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3135" w:type="dxa"/>
            <w:shd w:val="clear" w:color="auto" w:fill="1A1A1A"/>
          </w:tcPr>
          <w:p w14:paraId="0398515A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 w:rsidR="00766322" w14:paraId="77AC432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B8BB920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Torre Medieval (150 m²)</w:t>
            </w:r>
          </w:p>
        </w:tc>
        <w:tc>
          <w:tcPr>
            <w:tcW w:w="3135" w:type="dxa"/>
            <w:shd w:val="clear" w:color="auto" w:fill="F5F5F5"/>
          </w:tcPr>
          <w:p w14:paraId="0A49C1E4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€300.000</w:t>
            </w:r>
          </w:p>
        </w:tc>
        <w:tc>
          <w:tcPr>
            <w:tcW w:w="3135" w:type="dxa"/>
            <w:shd w:val="clear" w:color="auto" w:fill="F5F5F5"/>
          </w:tcPr>
          <w:p w14:paraId="4AA00352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10,3%</w:t>
            </w:r>
          </w:p>
        </w:tc>
      </w:tr>
      <w:tr w:rsidR="00766322" w14:paraId="4FC6DB34" w14:textId="77777777">
        <w:trPr>
          <w:jc w:val="center"/>
        </w:trPr>
        <w:tc>
          <w:tcPr>
            <w:tcW w:w="3135" w:type="dxa"/>
          </w:tcPr>
          <w:p w14:paraId="2699B56B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Ermida e Azulejaria Mudejária do Séc. XVI</w:t>
            </w:r>
          </w:p>
        </w:tc>
        <w:tc>
          <w:tcPr>
            <w:tcW w:w="3135" w:type="dxa"/>
          </w:tcPr>
          <w:p w14:paraId="71D199D1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€450.000</w:t>
            </w:r>
          </w:p>
        </w:tc>
        <w:tc>
          <w:tcPr>
            <w:tcW w:w="3135" w:type="dxa"/>
          </w:tcPr>
          <w:p w14:paraId="1106DFDD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15,5%</w:t>
            </w:r>
          </w:p>
        </w:tc>
      </w:tr>
      <w:tr w:rsidR="00766322" w14:paraId="3D2AD0A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AD44364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10 Unidades de Alojamento Rural</w:t>
            </w:r>
          </w:p>
        </w:tc>
        <w:tc>
          <w:tcPr>
            <w:tcW w:w="3135" w:type="dxa"/>
            <w:shd w:val="clear" w:color="auto" w:fill="F5F5F5"/>
          </w:tcPr>
          <w:p w14:paraId="5C2A2393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€650.000</w:t>
            </w:r>
          </w:p>
        </w:tc>
        <w:tc>
          <w:tcPr>
            <w:tcW w:w="3135" w:type="dxa"/>
            <w:shd w:val="clear" w:color="auto" w:fill="F5F5F5"/>
          </w:tcPr>
          <w:p w14:paraId="57A3ACD8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22,4%</w:t>
            </w:r>
          </w:p>
        </w:tc>
      </w:tr>
      <w:tr w:rsidR="00766322" w14:paraId="219B4DAD" w14:textId="77777777">
        <w:trPr>
          <w:jc w:val="center"/>
        </w:trPr>
        <w:tc>
          <w:tcPr>
            <w:tcW w:w="3135" w:type="dxa"/>
          </w:tcPr>
          <w:p w14:paraId="2E929B7D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Infraestrutura Rural (600-800 ha)</w:t>
            </w:r>
          </w:p>
        </w:tc>
        <w:tc>
          <w:tcPr>
            <w:tcW w:w="3135" w:type="dxa"/>
          </w:tcPr>
          <w:p w14:paraId="4963CC92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€350.000</w:t>
            </w:r>
          </w:p>
        </w:tc>
        <w:tc>
          <w:tcPr>
            <w:tcW w:w="3135" w:type="dxa"/>
          </w:tcPr>
          <w:p w14:paraId="14ABE5CB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12,1%</w:t>
            </w:r>
          </w:p>
        </w:tc>
      </w:tr>
      <w:tr w:rsidR="00766322" w14:paraId="27AB21B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DFFB0C6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Centro de Formação e Turismo</w:t>
            </w:r>
          </w:p>
        </w:tc>
        <w:tc>
          <w:tcPr>
            <w:tcW w:w="3135" w:type="dxa"/>
            <w:shd w:val="clear" w:color="auto" w:fill="F5F5F5"/>
          </w:tcPr>
          <w:p w14:paraId="352D8E59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€350.000</w:t>
            </w:r>
          </w:p>
        </w:tc>
        <w:tc>
          <w:tcPr>
            <w:tcW w:w="3135" w:type="dxa"/>
            <w:shd w:val="clear" w:color="auto" w:fill="F5F5F5"/>
          </w:tcPr>
          <w:p w14:paraId="2FBAADD2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12,1%</w:t>
            </w:r>
          </w:p>
        </w:tc>
      </w:tr>
      <w:tr w:rsidR="00766322" w14:paraId="2AE5AB05" w14:textId="77777777">
        <w:trPr>
          <w:jc w:val="center"/>
        </w:trPr>
        <w:tc>
          <w:tcPr>
            <w:tcW w:w="3135" w:type="dxa"/>
          </w:tcPr>
          <w:p w14:paraId="6B3832F4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Projetos, Licenciamento e Imprevistos (20%)</w:t>
            </w:r>
          </w:p>
        </w:tc>
        <w:tc>
          <w:tcPr>
            <w:tcW w:w="3135" w:type="dxa"/>
          </w:tcPr>
          <w:p w14:paraId="6607A88F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€680.000</w:t>
            </w:r>
          </w:p>
        </w:tc>
        <w:tc>
          <w:tcPr>
            <w:tcW w:w="3135" w:type="dxa"/>
          </w:tcPr>
          <w:p w14:paraId="4EDA61C5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23,4%</w:t>
            </w:r>
          </w:p>
        </w:tc>
      </w:tr>
      <w:tr w:rsidR="00766322" w14:paraId="153AE49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7DE9A3C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lastRenderedPageBreak/>
              <w:t>Contingência para Descobertas Arqueológicas</w:t>
            </w:r>
          </w:p>
        </w:tc>
        <w:tc>
          <w:tcPr>
            <w:tcW w:w="3135" w:type="dxa"/>
            <w:shd w:val="clear" w:color="auto" w:fill="F5F5F5"/>
          </w:tcPr>
          <w:p w14:paraId="41CFCB36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€120.000</w:t>
            </w:r>
          </w:p>
        </w:tc>
        <w:tc>
          <w:tcPr>
            <w:tcW w:w="3135" w:type="dxa"/>
            <w:shd w:val="clear" w:color="auto" w:fill="F5F5F5"/>
          </w:tcPr>
          <w:p w14:paraId="5BB3A12B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4,1%</w:t>
            </w:r>
          </w:p>
        </w:tc>
      </w:tr>
      <w:tr w:rsidR="00766322" w14:paraId="2B54EC69" w14:textId="77777777">
        <w:trPr>
          <w:jc w:val="center"/>
        </w:trPr>
        <w:tc>
          <w:tcPr>
            <w:tcW w:w="3135" w:type="dxa"/>
          </w:tcPr>
          <w:p w14:paraId="0F5F180C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3135" w:type="dxa"/>
          </w:tcPr>
          <w:p w14:paraId="4E2A2C85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€2.900.000</w:t>
            </w:r>
          </w:p>
        </w:tc>
        <w:tc>
          <w:tcPr>
            <w:tcW w:w="3135" w:type="dxa"/>
          </w:tcPr>
          <w:p w14:paraId="42FAD1F1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100%</w:t>
            </w:r>
          </w:p>
        </w:tc>
      </w:tr>
    </w:tbl>
    <w:p w14:paraId="73FE3429" w14:textId="77777777" w:rsidR="00766322" w:rsidRDefault="00766322" w:rsidP="007242ED">
      <w:pPr>
        <w:jc w:val="both"/>
      </w:pPr>
    </w:p>
    <w:p w14:paraId="7A23F5B0" w14:textId="77777777" w:rsidR="00766322" w:rsidRDefault="00000000" w:rsidP="007242ED">
      <w:pPr>
        <w:jc w:val="both"/>
      </w:pPr>
      <w:r>
        <w:t>A margem de imprevistos de 20% é justificada pela complexidade de intervenção em estruturas medievais e pela probabilidade de descobertas arqueológicas durante as obras.</w:t>
      </w:r>
    </w:p>
    <w:p w14:paraId="50955740" w14:textId="77777777" w:rsidR="00766322" w:rsidRDefault="00000000" w:rsidP="007242E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C4104E6" w14:textId="77777777" w:rsidR="00766322" w:rsidRDefault="00000000" w:rsidP="007242ED">
      <w:pPr>
        <w:pStyle w:val="Ttulo2"/>
        <w:jc w:val="both"/>
      </w:pPr>
      <w:r>
        <w:t>Programa de Formação</w:t>
      </w:r>
    </w:p>
    <w:p w14:paraId="3565AC72" w14:textId="77777777" w:rsidR="00766322" w:rsidRDefault="00000000" w:rsidP="007242ED">
      <w:pPr>
        <w:jc w:val="both"/>
      </w:pPr>
      <w:r>
        <w:t xml:space="preserve">O programa contempla </w:t>
      </w:r>
      <w:r>
        <w:rPr>
          <w:b/>
        </w:rPr>
        <w:t>5 áreas de formação</w:t>
      </w:r>
      <w:r>
        <w:t xml:space="preserve"> em artes e ofícios alentejanos, com 9 cursos longos (4-8 meses) e 15 workshops anuais, capacitando </w:t>
      </w:r>
      <w:r>
        <w:rPr>
          <w:b/>
        </w:rPr>
        <w:t>30-50 formandos por ano</w:t>
      </w:r>
      <w:r>
        <w:t xml:space="preserve"> em regime certificado pelo IEFP.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66322" w14:paraId="075BAB0E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1895506E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4703" w:type="dxa"/>
            <w:shd w:val="clear" w:color="auto" w:fill="1A1A1A"/>
          </w:tcPr>
          <w:p w14:paraId="333B5C96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Parceiro Estratégico</w:t>
            </w:r>
          </w:p>
        </w:tc>
      </w:tr>
      <w:tr w:rsidR="00766322" w14:paraId="02A06BAE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2BDF347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Azulejaria Mudejária e Restauro Cerâmico</w:t>
            </w:r>
          </w:p>
        </w:tc>
        <w:tc>
          <w:tcPr>
            <w:tcW w:w="4703" w:type="dxa"/>
            <w:shd w:val="clear" w:color="auto" w:fill="F5F5F5"/>
          </w:tcPr>
          <w:p w14:paraId="2C2AD7AA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Universidade de Évora</w:t>
            </w:r>
          </w:p>
        </w:tc>
      </w:tr>
      <w:tr w:rsidR="00766322" w14:paraId="0D31CBB0" w14:textId="77777777">
        <w:trPr>
          <w:jc w:val="center"/>
        </w:trPr>
        <w:tc>
          <w:tcPr>
            <w:tcW w:w="4703" w:type="dxa"/>
          </w:tcPr>
          <w:p w14:paraId="5F4F9A4C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Construção em Taipa e Pedra</w:t>
            </w:r>
          </w:p>
        </w:tc>
        <w:tc>
          <w:tcPr>
            <w:tcW w:w="4703" w:type="dxa"/>
          </w:tcPr>
          <w:p w14:paraId="0BDF3646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Mestres alentejanos</w:t>
            </w:r>
          </w:p>
        </w:tc>
      </w:tr>
      <w:tr w:rsidR="00766322" w14:paraId="5D320D69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A5FD184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Subericultura e Gestão do Montado</w:t>
            </w:r>
          </w:p>
        </w:tc>
        <w:tc>
          <w:tcPr>
            <w:tcW w:w="4703" w:type="dxa"/>
            <w:shd w:val="clear" w:color="auto" w:fill="F5F5F5"/>
          </w:tcPr>
          <w:p w14:paraId="58F57FBB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ICNF + Universidade de Évora</w:t>
            </w:r>
          </w:p>
        </w:tc>
      </w:tr>
      <w:tr w:rsidR="00766322" w14:paraId="1FD87643" w14:textId="77777777">
        <w:trPr>
          <w:jc w:val="center"/>
        </w:trPr>
        <w:tc>
          <w:tcPr>
            <w:tcW w:w="4703" w:type="dxa"/>
          </w:tcPr>
          <w:p w14:paraId="6439653C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Forno de Cal e Técnicas Históricas</w:t>
            </w:r>
          </w:p>
        </w:tc>
        <w:tc>
          <w:tcPr>
            <w:tcW w:w="4703" w:type="dxa"/>
          </w:tcPr>
          <w:p w14:paraId="08EDA4D0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Artesãos certificados</w:t>
            </w:r>
          </w:p>
        </w:tc>
      </w:tr>
      <w:tr w:rsidR="00766322" w14:paraId="6656C383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E3DB2BE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Turismo Rural e Hospitalidade</w:t>
            </w:r>
          </w:p>
        </w:tc>
        <w:tc>
          <w:tcPr>
            <w:tcW w:w="4703" w:type="dxa"/>
            <w:shd w:val="clear" w:color="auto" w:fill="F5F5F5"/>
          </w:tcPr>
          <w:p w14:paraId="2FFF0B06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Turismo do Alentejo</w:t>
            </w:r>
          </w:p>
        </w:tc>
      </w:tr>
    </w:tbl>
    <w:p w14:paraId="29976CBB" w14:textId="77777777" w:rsidR="00766322" w:rsidRDefault="00766322" w:rsidP="007242ED">
      <w:pPr>
        <w:jc w:val="both"/>
      </w:pPr>
    </w:p>
    <w:p w14:paraId="31330A3E" w14:textId="77777777" w:rsidR="00766322" w:rsidRDefault="00000000" w:rsidP="007242E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E1CAADE" w14:textId="77777777" w:rsidR="00766322" w:rsidRDefault="00000000" w:rsidP="007242ED">
      <w:pPr>
        <w:pStyle w:val="Ttulo2"/>
        <w:jc w:val="both"/>
      </w:pPr>
      <w:r>
        <w:t>Programa Turístico</w:t>
      </w:r>
    </w:p>
    <w:p w14:paraId="7CD3BEEB" w14:textId="77777777" w:rsidR="00766322" w:rsidRDefault="00000000" w:rsidP="007242ED">
      <w:pPr>
        <w:jc w:val="both"/>
      </w:pPr>
      <w:r>
        <w:t xml:space="preserve">O projeto prevê </w:t>
      </w:r>
      <w:r>
        <w:rPr>
          <w:b/>
        </w:rPr>
        <w:t>10 unidades de alojamento</w:t>
      </w:r>
      <w:r>
        <w:t xml:space="preserve"> em modelo de turismo rural sustentável, com tarifa média de €110/noite e taxa de ocupação estimada de 40% no Ano 3. A oferta turística é complementada por percursos no montado, observação de estrelas, passeios a cavalo e experiências gastronómicas.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66322" w14:paraId="255F7EB8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2502705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1A1A1A"/>
          </w:tcPr>
          <w:p w14:paraId="37F5C901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Ano 1</w:t>
            </w:r>
          </w:p>
        </w:tc>
        <w:tc>
          <w:tcPr>
            <w:tcW w:w="2351" w:type="dxa"/>
            <w:shd w:val="clear" w:color="auto" w:fill="1A1A1A"/>
          </w:tcPr>
          <w:p w14:paraId="6B2CEB33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Ano 2</w:t>
            </w:r>
          </w:p>
        </w:tc>
        <w:tc>
          <w:tcPr>
            <w:tcW w:w="2351" w:type="dxa"/>
            <w:shd w:val="clear" w:color="auto" w:fill="1A1A1A"/>
          </w:tcPr>
          <w:p w14:paraId="3547FA71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Ano 3</w:t>
            </w:r>
          </w:p>
        </w:tc>
      </w:tr>
      <w:tr w:rsidR="00766322" w14:paraId="0163854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B8D1F20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Taxa de ocupação</w:t>
            </w:r>
          </w:p>
        </w:tc>
        <w:tc>
          <w:tcPr>
            <w:tcW w:w="2351" w:type="dxa"/>
            <w:shd w:val="clear" w:color="auto" w:fill="F5F5F5"/>
          </w:tcPr>
          <w:p w14:paraId="4FEFF700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20%</w:t>
            </w:r>
          </w:p>
        </w:tc>
        <w:tc>
          <w:tcPr>
            <w:tcW w:w="2351" w:type="dxa"/>
            <w:shd w:val="clear" w:color="auto" w:fill="F5F5F5"/>
          </w:tcPr>
          <w:p w14:paraId="43E395D0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30%</w:t>
            </w:r>
          </w:p>
        </w:tc>
        <w:tc>
          <w:tcPr>
            <w:tcW w:w="2351" w:type="dxa"/>
            <w:shd w:val="clear" w:color="auto" w:fill="F5F5F5"/>
          </w:tcPr>
          <w:p w14:paraId="0CF72C19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40%</w:t>
            </w:r>
          </w:p>
        </w:tc>
      </w:tr>
      <w:tr w:rsidR="00766322" w14:paraId="38EACD51" w14:textId="77777777">
        <w:trPr>
          <w:jc w:val="center"/>
        </w:trPr>
        <w:tc>
          <w:tcPr>
            <w:tcW w:w="2351" w:type="dxa"/>
          </w:tcPr>
          <w:p w14:paraId="61FC2E6F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Receita de alojamento</w:t>
            </w:r>
          </w:p>
        </w:tc>
        <w:tc>
          <w:tcPr>
            <w:tcW w:w="2351" w:type="dxa"/>
          </w:tcPr>
          <w:p w14:paraId="228E4307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€80.300</w:t>
            </w:r>
          </w:p>
        </w:tc>
        <w:tc>
          <w:tcPr>
            <w:tcW w:w="2351" w:type="dxa"/>
          </w:tcPr>
          <w:p w14:paraId="46AE154C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€120.450</w:t>
            </w:r>
          </w:p>
        </w:tc>
        <w:tc>
          <w:tcPr>
            <w:tcW w:w="2351" w:type="dxa"/>
          </w:tcPr>
          <w:p w14:paraId="1F73CF77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€160.600</w:t>
            </w:r>
          </w:p>
        </w:tc>
      </w:tr>
      <w:tr w:rsidR="00766322" w14:paraId="706A129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2D36209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Visitantes/ano</w:t>
            </w:r>
          </w:p>
        </w:tc>
        <w:tc>
          <w:tcPr>
            <w:tcW w:w="2351" w:type="dxa"/>
            <w:shd w:val="clear" w:color="auto" w:fill="F5F5F5"/>
          </w:tcPr>
          <w:p w14:paraId="2264C34C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1.500</w:t>
            </w:r>
          </w:p>
        </w:tc>
        <w:tc>
          <w:tcPr>
            <w:tcW w:w="2351" w:type="dxa"/>
            <w:shd w:val="clear" w:color="auto" w:fill="F5F5F5"/>
          </w:tcPr>
          <w:p w14:paraId="0EA4EDCA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3.000</w:t>
            </w:r>
          </w:p>
        </w:tc>
        <w:tc>
          <w:tcPr>
            <w:tcW w:w="2351" w:type="dxa"/>
            <w:shd w:val="clear" w:color="auto" w:fill="F5F5F5"/>
          </w:tcPr>
          <w:p w14:paraId="6843142E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5.000</w:t>
            </w:r>
          </w:p>
        </w:tc>
      </w:tr>
    </w:tbl>
    <w:p w14:paraId="3057D138" w14:textId="77777777" w:rsidR="00766322" w:rsidRDefault="00766322" w:rsidP="007242ED">
      <w:pPr>
        <w:jc w:val="both"/>
      </w:pPr>
    </w:p>
    <w:p w14:paraId="34022B2F" w14:textId="77777777" w:rsidR="00766322" w:rsidRDefault="00000000" w:rsidP="007242E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23F7BBF" w14:textId="77777777" w:rsidR="00766322" w:rsidRDefault="00000000" w:rsidP="007242ED">
      <w:pPr>
        <w:pStyle w:val="Ttulo2"/>
        <w:jc w:val="both"/>
      </w:pPr>
      <w:r>
        <w:lastRenderedPageBreak/>
        <w:t>Sustentabilidade Financeira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66322" w14:paraId="5AD97911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687B27C6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4703" w:type="dxa"/>
            <w:shd w:val="clear" w:color="auto" w:fill="1A1A1A"/>
          </w:tcPr>
          <w:p w14:paraId="57B1CB84" w14:textId="77777777" w:rsidR="00766322" w:rsidRDefault="00000000" w:rsidP="007242ED">
            <w:pPr>
              <w:jc w:val="both"/>
            </w:pPr>
            <w:r>
              <w:rPr>
                <w:b/>
                <w:color w:val="FFFFFF"/>
                <w:sz w:val="20"/>
              </w:rPr>
              <w:t>Valor (Ano 3)</w:t>
            </w:r>
          </w:p>
        </w:tc>
      </w:tr>
      <w:tr w:rsidR="00766322" w14:paraId="67F13942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4067384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Receita total</w:t>
            </w:r>
          </w:p>
        </w:tc>
        <w:tc>
          <w:tcPr>
            <w:tcW w:w="4703" w:type="dxa"/>
            <w:shd w:val="clear" w:color="auto" w:fill="F5F5F5"/>
          </w:tcPr>
          <w:p w14:paraId="668A6FD5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€490.000</w:t>
            </w:r>
          </w:p>
        </w:tc>
      </w:tr>
      <w:tr w:rsidR="00766322" w14:paraId="7D6C9E1C" w14:textId="77777777">
        <w:trPr>
          <w:jc w:val="center"/>
        </w:trPr>
        <w:tc>
          <w:tcPr>
            <w:tcW w:w="4703" w:type="dxa"/>
          </w:tcPr>
          <w:p w14:paraId="2C2E94FC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Custos operacionais</w:t>
            </w:r>
          </w:p>
        </w:tc>
        <w:tc>
          <w:tcPr>
            <w:tcW w:w="4703" w:type="dxa"/>
          </w:tcPr>
          <w:p w14:paraId="121652A1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€308.360</w:t>
            </w:r>
          </w:p>
        </w:tc>
      </w:tr>
      <w:tr w:rsidR="00766322" w14:paraId="71E2E9D4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AFA9E25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Resultado operacional</w:t>
            </w:r>
          </w:p>
        </w:tc>
        <w:tc>
          <w:tcPr>
            <w:tcW w:w="4703" w:type="dxa"/>
            <w:shd w:val="clear" w:color="auto" w:fill="F5F5F5"/>
          </w:tcPr>
          <w:p w14:paraId="0B91C298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€181.640</w:t>
            </w:r>
          </w:p>
        </w:tc>
      </w:tr>
      <w:tr w:rsidR="00766322" w14:paraId="0746858D" w14:textId="77777777">
        <w:trPr>
          <w:jc w:val="center"/>
        </w:trPr>
        <w:tc>
          <w:tcPr>
            <w:tcW w:w="4703" w:type="dxa"/>
          </w:tcPr>
          <w:p w14:paraId="29315517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Margem operacional</w:t>
            </w:r>
          </w:p>
        </w:tc>
        <w:tc>
          <w:tcPr>
            <w:tcW w:w="4703" w:type="dxa"/>
          </w:tcPr>
          <w:p w14:paraId="649A1C8F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37,1%</w:t>
            </w:r>
          </w:p>
        </w:tc>
      </w:tr>
      <w:tr w:rsidR="00766322" w14:paraId="7A278E99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77E1F68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Retorno (com 50% fundo perdido)</w:t>
            </w:r>
          </w:p>
        </w:tc>
        <w:tc>
          <w:tcPr>
            <w:tcW w:w="4703" w:type="dxa"/>
            <w:shd w:val="clear" w:color="auto" w:fill="F5F5F5"/>
          </w:tcPr>
          <w:p w14:paraId="7C87A08F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~6,5 anos</w:t>
            </w:r>
          </w:p>
        </w:tc>
      </w:tr>
      <w:tr w:rsidR="00766322" w14:paraId="2039A558" w14:textId="77777777">
        <w:trPr>
          <w:jc w:val="center"/>
        </w:trPr>
        <w:tc>
          <w:tcPr>
            <w:tcW w:w="4703" w:type="dxa"/>
          </w:tcPr>
          <w:p w14:paraId="5A967F23" w14:textId="77777777" w:rsidR="00766322" w:rsidRDefault="00000000" w:rsidP="007242ED">
            <w:pPr>
              <w:jc w:val="both"/>
            </w:pPr>
            <w:r>
              <w:rPr>
                <w:b/>
                <w:sz w:val="20"/>
              </w:rPr>
              <w:t>Postos de trabalho</w:t>
            </w:r>
          </w:p>
        </w:tc>
        <w:tc>
          <w:tcPr>
            <w:tcW w:w="4703" w:type="dxa"/>
          </w:tcPr>
          <w:p w14:paraId="5A984FC9" w14:textId="77777777" w:rsidR="00766322" w:rsidRDefault="00000000" w:rsidP="007242ED">
            <w:pPr>
              <w:jc w:val="both"/>
            </w:pPr>
            <w:r>
              <w:rPr>
                <w:sz w:val="20"/>
              </w:rPr>
              <w:t>15 diretos + 20 indiretos</w:t>
            </w:r>
          </w:p>
        </w:tc>
      </w:tr>
    </w:tbl>
    <w:p w14:paraId="5E88D3D8" w14:textId="77777777" w:rsidR="00766322" w:rsidRDefault="00766322" w:rsidP="007242ED">
      <w:pPr>
        <w:jc w:val="both"/>
      </w:pPr>
    </w:p>
    <w:p w14:paraId="4233EC1F" w14:textId="77777777" w:rsidR="00766322" w:rsidRDefault="00000000" w:rsidP="007242E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CF63541" w14:textId="77777777" w:rsidR="00766322" w:rsidRDefault="00000000" w:rsidP="007242ED">
      <w:pPr>
        <w:pStyle w:val="Ttulo2"/>
        <w:jc w:val="both"/>
      </w:pPr>
      <w:r>
        <w:t>Elementos Diferenciadores</w:t>
      </w:r>
    </w:p>
    <w:p w14:paraId="6C65F034" w14:textId="77777777" w:rsidR="00766322" w:rsidRDefault="00000000" w:rsidP="007242ED">
      <w:pPr>
        <w:jc w:val="both"/>
      </w:pPr>
      <w:r>
        <w:t>A Torre do Carvalhal distingue-se por três elementos únicos que não encontram paralelo noutros projetos de turismo rural em Portugal:</w:t>
      </w:r>
    </w:p>
    <w:p w14:paraId="1DBCE2D2" w14:textId="77777777" w:rsidR="00766322" w:rsidRDefault="00000000" w:rsidP="007242ED">
      <w:pPr>
        <w:jc w:val="both"/>
      </w:pPr>
      <w:r>
        <w:rPr>
          <w:b/>
        </w:rPr>
        <w:t>Ermida com Azulejaria Mudejária do Século XVI.</w:t>
      </w:r>
      <w:r>
        <w:t xml:space="preserve"> A ermida contém painéis de azulejaria de influência mudejária (islâmica), datados do século XVI, que constituem um testemunho raro da herança cultural árabe no Alentejo. O restauro será realizado em parceria com a Universidade de Évora, criando simultaneamente um programa de formação em restauro cerâmico.</w:t>
      </w:r>
    </w:p>
    <w:p w14:paraId="7256435D" w14:textId="77777777" w:rsidR="00766322" w:rsidRDefault="00000000" w:rsidP="007242ED">
      <w:pPr>
        <w:jc w:val="both"/>
      </w:pPr>
      <w:r>
        <w:rPr>
          <w:b/>
        </w:rPr>
        <w:t>Montado de Sobro (600-800 hectares).</w:t>
      </w:r>
      <w:r>
        <w:t xml:space="preserve"> O montado é um ecossistema protegido pela União Europeia, classificado como habitat prioritário (Diretiva Habitats). A gestão sustentável do montado gera receitas de cortiça (€30.000-€50.000/ciclo de 9 anos), mel, cogumelos e turismo de natureza, além de contribuir para o sequestro de carbono.</w:t>
      </w:r>
    </w:p>
    <w:p w14:paraId="72634603" w14:textId="77777777" w:rsidR="00766322" w:rsidRDefault="00000000" w:rsidP="007242ED">
      <w:pPr>
        <w:jc w:val="both"/>
      </w:pPr>
      <w:r>
        <w:rPr>
          <w:b/>
        </w:rPr>
        <w:t>Conceito "Off-Grid" Sustentável.</w:t>
      </w:r>
      <w:r>
        <w:t xml:space="preserve"> O projeto incorpora painéis solares, captação de água da chuva, biodigestor para metano e filtro biológico, criando um modelo de autossuficiência energética e hídrica que serve de referência para o turismo rural sustentável no Alentejo.</w:t>
      </w:r>
    </w:p>
    <w:p w14:paraId="6581CB43" w14:textId="77777777" w:rsidR="00766322" w:rsidRDefault="00000000" w:rsidP="007242E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F5FB204" w14:textId="77777777" w:rsidR="00766322" w:rsidRDefault="00000000" w:rsidP="007242ED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53D13C6" w14:textId="77777777" w:rsidR="00766322" w:rsidRDefault="00000000" w:rsidP="007242ED">
      <w:pPr>
        <w:pStyle w:val="Ttulo2"/>
        <w:jc w:val="both"/>
      </w:pPr>
      <w:r>
        <w:t>Próximos Passos</w:t>
      </w:r>
    </w:p>
    <w:p w14:paraId="232C8858" w14:textId="77777777" w:rsidR="00766322" w:rsidRDefault="00000000" w:rsidP="007242ED">
      <w:pPr>
        <w:pStyle w:val="Numerada"/>
        <w:jc w:val="both"/>
      </w:pPr>
      <w:r>
        <w:t>Constituição formal da Associação (IPSS)</w:t>
      </w:r>
    </w:p>
    <w:p w14:paraId="7E7763A5" w14:textId="77777777" w:rsidR="00766322" w:rsidRDefault="00000000" w:rsidP="007242ED">
      <w:pPr>
        <w:pStyle w:val="Numerada"/>
        <w:jc w:val="both"/>
      </w:pPr>
      <w:r>
        <w:t>Obtenção de estudo prévio e levantamento arqueológico</w:t>
      </w:r>
    </w:p>
    <w:p w14:paraId="45369C50" w14:textId="77777777" w:rsidR="00766322" w:rsidRDefault="00000000" w:rsidP="007242ED">
      <w:pPr>
        <w:pStyle w:val="Numerada"/>
        <w:jc w:val="both"/>
      </w:pPr>
      <w:r>
        <w:t>Elaboração de candidaturas a Portugal 2030, PRR e ICNF</w:t>
      </w:r>
    </w:p>
    <w:p w14:paraId="5B178E24" w14:textId="77777777" w:rsidR="00766322" w:rsidRDefault="00000000" w:rsidP="007242ED">
      <w:pPr>
        <w:pStyle w:val="Numerada"/>
        <w:jc w:val="both"/>
      </w:pPr>
      <w:r>
        <w:t>Celebração de protocolos com parceiros (U. Évora, ICNF, Câmara)</w:t>
      </w:r>
    </w:p>
    <w:p w14:paraId="31B4D631" w14:textId="77777777" w:rsidR="00766322" w:rsidRDefault="00000000" w:rsidP="007242ED">
      <w:pPr>
        <w:pStyle w:val="Numerada"/>
        <w:jc w:val="both"/>
      </w:pPr>
      <w:r>
        <w:t>Início dos projetos de arquitetura e licenciamento</w:t>
      </w:r>
    </w:p>
    <w:p w14:paraId="0189EAD9" w14:textId="77777777" w:rsidR="00766322" w:rsidRDefault="00000000" w:rsidP="007242ED">
      <w:pPr>
        <w:pStyle w:val="Numerada"/>
        <w:jc w:val="both"/>
      </w:pPr>
      <w:r>
        <w:t>Arranque das obras de restauro (Mês 9)</w:t>
      </w:r>
    </w:p>
    <w:p w14:paraId="1BD2FA52" w14:textId="277DB0F3" w:rsidR="00766322" w:rsidRDefault="00766322" w:rsidP="007242ED">
      <w:pPr>
        <w:jc w:val="both"/>
      </w:pPr>
    </w:p>
    <w:sectPr w:rsidR="0076632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010974">
    <w:abstractNumId w:val="8"/>
  </w:num>
  <w:num w:numId="2" w16cid:durableId="785195145">
    <w:abstractNumId w:val="6"/>
  </w:num>
  <w:num w:numId="3" w16cid:durableId="422607226">
    <w:abstractNumId w:val="5"/>
  </w:num>
  <w:num w:numId="4" w16cid:durableId="1895235733">
    <w:abstractNumId w:val="4"/>
  </w:num>
  <w:num w:numId="5" w16cid:durableId="1750928944">
    <w:abstractNumId w:val="7"/>
  </w:num>
  <w:num w:numId="6" w16cid:durableId="1362513731">
    <w:abstractNumId w:val="3"/>
  </w:num>
  <w:num w:numId="7" w16cid:durableId="1210411472">
    <w:abstractNumId w:val="2"/>
  </w:num>
  <w:num w:numId="8" w16cid:durableId="1230267800">
    <w:abstractNumId w:val="1"/>
  </w:num>
  <w:num w:numId="9" w16cid:durableId="52799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2ED"/>
    <w:rsid w:val="00766322"/>
    <w:rsid w:val="00AA1D8D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BAEA74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666</Words>
  <Characters>4483</Characters>
  <Application>Microsoft Office Word</Application>
  <DocSecurity>0</DocSecurity>
  <Lines>135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2026-03-10T19:33:00Z</dcterms:modified>
  <cp:category/>
</cp:coreProperties>
</file>