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4A78" w14:textId="77777777" w:rsidR="002F61F3" w:rsidRDefault="00000000">
      <w:pPr>
        <w:pStyle w:val="Ttulo1"/>
      </w:pPr>
      <w:r>
        <w:t>Quadro Resumo — Remuneração do IPNS nos Projetos</w:t>
      </w:r>
    </w:p>
    <w:p w14:paraId="2C2F9977" w14:textId="77777777" w:rsidR="002F61F3" w:rsidRDefault="00000000">
      <w:r>
        <w:rPr>
          <w:b/>
        </w:rPr>
        <w:t>Versão:</w:t>
      </w:r>
      <w:r>
        <w:t xml:space="preserve"> 1.0</w:t>
      </w:r>
    </w:p>
    <w:p w14:paraId="391F22BA" w14:textId="77777777" w:rsidR="002F61F3" w:rsidRDefault="00000000">
      <w:r>
        <w:rPr>
          <w:b/>
        </w:rPr>
        <w:t>Data:</w:t>
      </w:r>
      <w:r>
        <w:t xml:space="preserve"> 10 de março de 2026</w:t>
      </w:r>
    </w:p>
    <w:p w14:paraId="182635B9" w14:textId="77777777" w:rsidR="002F61F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CE7C032" w14:textId="77777777" w:rsidR="002F61F3" w:rsidRDefault="00000000">
      <w:pPr>
        <w:pStyle w:val="Ttulo2"/>
      </w:pPr>
      <w:r>
        <w:t>1. Modelo Misto de Remuneração</w:t>
      </w:r>
    </w:p>
    <w:p w14:paraId="31C4E44E" w14:textId="77777777" w:rsidR="002F61F3" w:rsidRDefault="00000000">
      <w:r>
        <w:t xml:space="preserve">O Instituto Português de Negócios Sociais (IPNS) adota um </w:t>
      </w:r>
      <w:r>
        <w:rPr>
          <w:b/>
        </w:rPr>
        <w:t>modelo misto de remuneração</w:t>
      </w:r>
      <w:r>
        <w:t xml:space="preserve"> para os seus serviços de assessoria estratégica, captação de recursos e gestão de projetos. Este modelo está alinhado com a prática de mercado em Portugal para consultoria de captação de fundos europeus e gestão de projetos sociais, conforme documentado pela REWARD Consulting (modelo de success fee), pela Comissão Europeia (taxas de overhead de 5-15%) e pelo Portugal 2030 (custos elegíveis de consultoria até 5-7% do custo total) [1] [2] [3].</w:t>
      </w:r>
    </w:p>
    <w:p w14:paraId="69774945" w14:textId="77777777" w:rsidR="002F61F3" w:rsidRDefault="00000000">
      <w:r>
        <w:t>O modelo é composto por quatro componentes que se aplicam em diferentes fases do ciclo de vida de cada projeto, garantindo o alinhamento de interesses entre o IPNS e as entidades assessoradas.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1F3" w14:paraId="322A45C5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042BA1B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3AEA4FB6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4A00D1E8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Padrão</w:t>
            </w:r>
          </w:p>
        </w:tc>
        <w:tc>
          <w:tcPr>
            <w:tcW w:w="2351" w:type="dxa"/>
            <w:shd w:val="clear" w:color="auto" w:fill="1A1A1A"/>
          </w:tcPr>
          <w:p w14:paraId="1C81947D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 de Aplicação</w:t>
            </w:r>
          </w:p>
        </w:tc>
      </w:tr>
      <w:tr w:rsidR="002F61F3" w14:paraId="49BFA19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AC35F8D" w14:textId="77777777" w:rsidR="002F61F3" w:rsidRDefault="00000000">
            <w:r>
              <w:rPr>
                <w:b/>
                <w:sz w:val="20"/>
              </w:rPr>
              <w:t>Fee Fixo de Assessoria</w:t>
            </w:r>
          </w:p>
        </w:tc>
        <w:tc>
          <w:tcPr>
            <w:tcW w:w="2351" w:type="dxa"/>
            <w:shd w:val="clear" w:color="auto" w:fill="F5F5F5"/>
          </w:tcPr>
          <w:p w14:paraId="5435548D" w14:textId="77777777" w:rsidR="002F61F3" w:rsidRDefault="00000000">
            <w:r>
              <w:rPr>
                <w:sz w:val="20"/>
              </w:rPr>
              <w:t>Assessoria contínua: preparação, elaboração de candidaturas, acompanhamento institucional, planeamento estratégico</w:t>
            </w:r>
          </w:p>
        </w:tc>
        <w:tc>
          <w:tcPr>
            <w:tcW w:w="2351" w:type="dxa"/>
            <w:shd w:val="clear" w:color="auto" w:fill="F5F5F5"/>
          </w:tcPr>
          <w:p w14:paraId="1CF98522" w14:textId="77777777" w:rsidR="002F61F3" w:rsidRDefault="00000000">
            <w:r>
              <w:rPr>
                <w:sz w:val="20"/>
              </w:rPr>
              <w:t>€3.000/mês (projetos &gt;€1M) ou €1.500/mês (projetos &lt;€500K)</w:t>
            </w:r>
          </w:p>
        </w:tc>
        <w:tc>
          <w:tcPr>
            <w:tcW w:w="2351" w:type="dxa"/>
            <w:shd w:val="clear" w:color="auto" w:fill="F5F5F5"/>
          </w:tcPr>
          <w:p w14:paraId="2B753003" w14:textId="77777777" w:rsidR="002F61F3" w:rsidRDefault="00000000">
            <w:r>
              <w:rPr>
                <w:sz w:val="20"/>
              </w:rPr>
              <w:t>Fase de Candidatura</w:t>
            </w:r>
          </w:p>
        </w:tc>
      </w:tr>
      <w:tr w:rsidR="002F61F3" w14:paraId="1093407E" w14:textId="77777777">
        <w:trPr>
          <w:jc w:val="center"/>
        </w:trPr>
        <w:tc>
          <w:tcPr>
            <w:tcW w:w="2351" w:type="dxa"/>
          </w:tcPr>
          <w:p w14:paraId="57A69756" w14:textId="77777777" w:rsidR="002F61F3" w:rsidRDefault="00000000">
            <w:r>
              <w:rPr>
                <w:b/>
                <w:sz w:val="20"/>
              </w:rPr>
              <w:t>Fee Fixo de Acompanhamento</w:t>
            </w:r>
          </w:p>
        </w:tc>
        <w:tc>
          <w:tcPr>
            <w:tcW w:w="2351" w:type="dxa"/>
          </w:tcPr>
          <w:p w14:paraId="2D089FA7" w14:textId="77777777" w:rsidR="002F61F3" w:rsidRDefault="00000000">
            <w:r>
              <w:rPr>
                <w:sz w:val="20"/>
              </w:rPr>
              <w:t>Acompanhamento técnico: supervisão de obras, coordenação de parceiros, reporte a financiadores</w:t>
            </w:r>
          </w:p>
        </w:tc>
        <w:tc>
          <w:tcPr>
            <w:tcW w:w="2351" w:type="dxa"/>
          </w:tcPr>
          <w:p w14:paraId="3EE1823D" w14:textId="77777777" w:rsidR="002F61F3" w:rsidRDefault="00000000">
            <w:r>
              <w:rPr>
                <w:sz w:val="20"/>
              </w:rPr>
              <w:t>€2.000/mês (projetos &gt;€1M) ou €1.000/mês (projetos &lt;€500K)</w:t>
            </w:r>
          </w:p>
        </w:tc>
        <w:tc>
          <w:tcPr>
            <w:tcW w:w="2351" w:type="dxa"/>
          </w:tcPr>
          <w:p w14:paraId="6C4E3D51" w14:textId="77777777" w:rsidR="002F61F3" w:rsidRDefault="00000000">
            <w:r>
              <w:rPr>
                <w:sz w:val="20"/>
              </w:rPr>
              <w:t>Fase de Execução</w:t>
            </w:r>
          </w:p>
        </w:tc>
      </w:tr>
      <w:tr w:rsidR="002F61F3" w14:paraId="0E58A29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C1DE32F" w14:textId="77777777" w:rsidR="002F61F3" w:rsidRDefault="00000000">
            <w:r>
              <w:rPr>
                <w:b/>
                <w:sz w:val="20"/>
              </w:rPr>
              <w:t>Success Fee</w:t>
            </w:r>
          </w:p>
        </w:tc>
        <w:tc>
          <w:tcPr>
            <w:tcW w:w="2351" w:type="dxa"/>
            <w:shd w:val="clear" w:color="auto" w:fill="F5F5F5"/>
          </w:tcPr>
          <w:p w14:paraId="21A171DF" w14:textId="77777777" w:rsidR="002F61F3" w:rsidRDefault="00000000">
            <w:r>
              <w:rPr>
                <w:sz w:val="20"/>
              </w:rPr>
              <w:t>Percentagem sobre o valor efetivamente captado e aprovado junto de entidades financiadoras</w:t>
            </w:r>
          </w:p>
        </w:tc>
        <w:tc>
          <w:tcPr>
            <w:tcW w:w="2351" w:type="dxa"/>
            <w:shd w:val="clear" w:color="auto" w:fill="F5F5F5"/>
          </w:tcPr>
          <w:p w14:paraId="499A2BC9" w14:textId="77777777" w:rsidR="002F61F3" w:rsidRDefault="00000000">
            <w:r>
              <w:rPr>
                <w:sz w:val="20"/>
              </w:rPr>
              <w:t>5% do valor aprovado</w:t>
            </w:r>
          </w:p>
        </w:tc>
        <w:tc>
          <w:tcPr>
            <w:tcW w:w="2351" w:type="dxa"/>
            <w:shd w:val="clear" w:color="auto" w:fill="F5F5F5"/>
          </w:tcPr>
          <w:p w14:paraId="3A8EAB91" w14:textId="77777777" w:rsidR="002F61F3" w:rsidRDefault="00000000">
            <w:r>
              <w:rPr>
                <w:sz w:val="20"/>
              </w:rPr>
              <w:t>Após Aprovação</w:t>
            </w:r>
          </w:p>
        </w:tc>
      </w:tr>
      <w:tr w:rsidR="002F61F3" w14:paraId="55066F3E" w14:textId="77777777">
        <w:trPr>
          <w:jc w:val="center"/>
        </w:trPr>
        <w:tc>
          <w:tcPr>
            <w:tcW w:w="2351" w:type="dxa"/>
          </w:tcPr>
          <w:p w14:paraId="7961FDD9" w14:textId="77777777" w:rsidR="002F61F3" w:rsidRDefault="00000000">
            <w:r>
              <w:rPr>
                <w:b/>
                <w:sz w:val="20"/>
              </w:rPr>
              <w:t>Taxa de Gestão Operacional</w:t>
            </w:r>
          </w:p>
        </w:tc>
        <w:tc>
          <w:tcPr>
            <w:tcW w:w="2351" w:type="dxa"/>
          </w:tcPr>
          <w:p w14:paraId="3F54783A" w14:textId="77777777" w:rsidR="002F61F3" w:rsidRDefault="00000000">
            <w:r>
              <w:rPr>
                <w:sz w:val="20"/>
              </w:rPr>
              <w:t xml:space="preserve">Gestão operacional: coordenação, reporte, controlo de qualidade, </w:t>
            </w:r>
            <w:r>
              <w:rPr>
                <w:sz w:val="20"/>
              </w:rPr>
              <w:lastRenderedPageBreak/>
              <w:t>avaliação de impacto</w:t>
            </w:r>
          </w:p>
        </w:tc>
        <w:tc>
          <w:tcPr>
            <w:tcW w:w="2351" w:type="dxa"/>
          </w:tcPr>
          <w:p w14:paraId="26950F6E" w14:textId="77777777" w:rsidR="002F61F3" w:rsidRDefault="00000000">
            <w:r>
              <w:rPr>
                <w:sz w:val="20"/>
              </w:rPr>
              <w:lastRenderedPageBreak/>
              <w:t>3% do orçamento anual do projeto</w:t>
            </w:r>
          </w:p>
        </w:tc>
        <w:tc>
          <w:tcPr>
            <w:tcW w:w="2351" w:type="dxa"/>
          </w:tcPr>
          <w:p w14:paraId="3F7DB7F1" w14:textId="77777777" w:rsidR="002F61F3" w:rsidRDefault="00000000">
            <w:r>
              <w:rPr>
                <w:sz w:val="20"/>
              </w:rPr>
              <w:t>Fase de Operação</w:t>
            </w:r>
          </w:p>
        </w:tc>
      </w:tr>
    </w:tbl>
    <w:p w14:paraId="72E67D6E" w14:textId="77777777" w:rsidR="002F61F3" w:rsidRDefault="002F61F3"/>
    <w:p w14:paraId="0F66D1FC" w14:textId="77777777" w:rsidR="002F61F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6926F1C" w14:textId="77777777" w:rsidR="002F61F3" w:rsidRDefault="00000000">
      <w:pPr>
        <w:pStyle w:val="Ttulo2"/>
      </w:pPr>
      <w:r>
        <w:t>2. Quadro Comparativo — Três Projetos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1F3" w14:paraId="0189BBB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ABD78B6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01CCBB68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Quinta do Visconde (€2.070.000)</w:t>
            </w:r>
          </w:p>
        </w:tc>
        <w:tc>
          <w:tcPr>
            <w:tcW w:w="2351" w:type="dxa"/>
            <w:shd w:val="clear" w:color="auto" w:fill="1A1A1A"/>
          </w:tcPr>
          <w:p w14:paraId="263E3DBB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Torre do Carvalhal (€2.900.000)</w:t>
            </w:r>
          </w:p>
        </w:tc>
        <w:tc>
          <w:tcPr>
            <w:tcW w:w="2351" w:type="dxa"/>
            <w:shd w:val="clear" w:color="auto" w:fill="1A1A1A"/>
          </w:tcPr>
          <w:p w14:paraId="3CD2E436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Banda Visconde de Salreu (~€150.000)</w:t>
            </w:r>
          </w:p>
        </w:tc>
      </w:tr>
      <w:tr w:rsidR="002F61F3" w14:paraId="3CBBA2A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F33BFE" w14:textId="77777777" w:rsidR="002F61F3" w:rsidRDefault="00000000">
            <w:r>
              <w:rPr>
                <w:b/>
                <w:sz w:val="20"/>
              </w:rPr>
              <w:t>Fee Fixo de Assessoria</w:t>
            </w:r>
          </w:p>
        </w:tc>
        <w:tc>
          <w:tcPr>
            <w:tcW w:w="2351" w:type="dxa"/>
            <w:shd w:val="clear" w:color="auto" w:fill="F5F5F5"/>
          </w:tcPr>
          <w:p w14:paraId="5D5130F3" w14:textId="77777777" w:rsidR="002F61F3" w:rsidRDefault="00000000">
            <w:r>
              <w:rPr>
                <w:sz w:val="20"/>
              </w:rPr>
              <w:t xml:space="preserve">10 meses × €3.000 = </w:t>
            </w:r>
            <w:r>
              <w:rPr>
                <w:b/>
                <w:sz w:val="20"/>
              </w:rPr>
              <w:t>€30.000</w:t>
            </w:r>
          </w:p>
        </w:tc>
        <w:tc>
          <w:tcPr>
            <w:tcW w:w="2351" w:type="dxa"/>
            <w:shd w:val="clear" w:color="auto" w:fill="F5F5F5"/>
          </w:tcPr>
          <w:p w14:paraId="0ECFD008" w14:textId="77777777" w:rsidR="002F61F3" w:rsidRDefault="00000000">
            <w:r>
              <w:rPr>
                <w:sz w:val="20"/>
              </w:rPr>
              <w:t xml:space="preserve">12 meses × €3.000 = </w:t>
            </w:r>
            <w:r>
              <w:rPr>
                <w:b/>
                <w:sz w:val="20"/>
              </w:rPr>
              <w:t>€36.000</w:t>
            </w:r>
          </w:p>
        </w:tc>
        <w:tc>
          <w:tcPr>
            <w:tcW w:w="2351" w:type="dxa"/>
            <w:shd w:val="clear" w:color="auto" w:fill="F5F5F5"/>
          </w:tcPr>
          <w:p w14:paraId="556C746F" w14:textId="77777777" w:rsidR="002F61F3" w:rsidRDefault="00000000">
            <w:r>
              <w:rPr>
                <w:sz w:val="20"/>
              </w:rPr>
              <w:t xml:space="preserve">8 meses × €1.500 = </w:t>
            </w:r>
            <w:r>
              <w:rPr>
                <w:b/>
                <w:sz w:val="20"/>
              </w:rPr>
              <w:t>€12.000</w:t>
            </w:r>
          </w:p>
        </w:tc>
      </w:tr>
      <w:tr w:rsidR="002F61F3" w14:paraId="3C68B3CE" w14:textId="77777777">
        <w:trPr>
          <w:jc w:val="center"/>
        </w:trPr>
        <w:tc>
          <w:tcPr>
            <w:tcW w:w="2351" w:type="dxa"/>
          </w:tcPr>
          <w:p w14:paraId="055B18AA" w14:textId="77777777" w:rsidR="002F61F3" w:rsidRDefault="00000000">
            <w:r>
              <w:rPr>
                <w:b/>
                <w:sz w:val="20"/>
              </w:rPr>
              <w:t>Fee Fixo de Acompanhamento</w:t>
            </w:r>
          </w:p>
        </w:tc>
        <w:tc>
          <w:tcPr>
            <w:tcW w:w="2351" w:type="dxa"/>
          </w:tcPr>
          <w:p w14:paraId="12CDF63F" w14:textId="77777777" w:rsidR="002F61F3" w:rsidRDefault="00000000">
            <w:r>
              <w:rPr>
                <w:sz w:val="20"/>
              </w:rPr>
              <w:t xml:space="preserve">20 meses × €2.000 = </w:t>
            </w:r>
            <w:r>
              <w:rPr>
                <w:b/>
                <w:sz w:val="20"/>
              </w:rPr>
              <w:t>€40.000</w:t>
            </w:r>
          </w:p>
        </w:tc>
        <w:tc>
          <w:tcPr>
            <w:tcW w:w="2351" w:type="dxa"/>
          </w:tcPr>
          <w:p w14:paraId="026C831E" w14:textId="77777777" w:rsidR="002F61F3" w:rsidRDefault="00000000">
            <w:r>
              <w:rPr>
                <w:sz w:val="20"/>
              </w:rPr>
              <w:t xml:space="preserve">24 meses × €2.000 = </w:t>
            </w:r>
            <w:r>
              <w:rPr>
                <w:b/>
                <w:sz w:val="20"/>
              </w:rPr>
              <w:t>€48.000</w:t>
            </w:r>
          </w:p>
        </w:tc>
        <w:tc>
          <w:tcPr>
            <w:tcW w:w="2351" w:type="dxa"/>
          </w:tcPr>
          <w:p w14:paraId="17EEBA2B" w14:textId="77777777" w:rsidR="002F61F3" w:rsidRDefault="00000000">
            <w:r>
              <w:rPr>
                <w:sz w:val="20"/>
              </w:rPr>
              <w:t xml:space="preserve">16 meses × €1.000 = </w:t>
            </w:r>
            <w:r>
              <w:rPr>
                <w:b/>
                <w:sz w:val="20"/>
              </w:rPr>
              <w:t>€16.000</w:t>
            </w:r>
          </w:p>
        </w:tc>
      </w:tr>
      <w:tr w:rsidR="002F61F3" w14:paraId="7E10998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7C6A873" w14:textId="77777777" w:rsidR="002F61F3" w:rsidRDefault="00000000">
            <w:r>
              <w:rPr>
                <w:b/>
                <w:sz w:val="20"/>
              </w:rPr>
              <w:t>Success Fee (5%)</w:t>
            </w:r>
          </w:p>
        </w:tc>
        <w:tc>
          <w:tcPr>
            <w:tcW w:w="2351" w:type="dxa"/>
            <w:shd w:val="clear" w:color="auto" w:fill="F5F5F5"/>
          </w:tcPr>
          <w:p w14:paraId="3B39099C" w14:textId="77777777" w:rsidR="002F61F3" w:rsidRDefault="00000000">
            <w:r>
              <w:rPr>
                <w:sz w:val="20"/>
              </w:rPr>
              <w:t xml:space="preserve">5% × €2.070.000 = </w:t>
            </w:r>
            <w:r>
              <w:rPr>
                <w:b/>
                <w:sz w:val="20"/>
              </w:rPr>
              <w:t>€103.500</w:t>
            </w:r>
          </w:p>
        </w:tc>
        <w:tc>
          <w:tcPr>
            <w:tcW w:w="2351" w:type="dxa"/>
            <w:shd w:val="clear" w:color="auto" w:fill="F5F5F5"/>
          </w:tcPr>
          <w:p w14:paraId="16328A9A" w14:textId="77777777" w:rsidR="002F61F3" w:rsidRDefault="00000000">
            <w:r>
              <w:rPr>
                <w:sz w:val="20"/>
              </w:rPr>
              <w:t xml:space="preserve">5% × €2.900.000 = </w:t>
            </w:r>
            <w:r>
              <w:rPr>
                <w:b/>
                <w:sz w:val="20"/>
              </w:rPr>
              <w:t>€145.000</w:t>
            </w:r>
          </w:p>
        </w:tc>
        <w:tc>
          <w:tcPr>
            <w:tcW w:w="2351" w:type="dxa"/>
            <w:shd w:val="clear" w:color="auto" w:fill="F5F5F5"/>
          </w:tcPr>
          <w:p w14:paraId="2BFC031F" w14:textId="77777777" w:rsidR="002F61F3" w:rsidRDefault="00000000">
            <w:r>
              <w:rPr>
                <w:sz w:val="20"/>
              </w:rPr>
              <w:t xml:space="preserve">5% × €150.000 = </w:t>
            </w:r>
            <w:r>
              <w:rPr>
                <w:b/>
                <w:sz w:val="20"/>
              </w:rPr>
              <w:t>€7.500</w:t>
            </w:r>
          </w:p>
        </w:tc>
      </w:tr>
      <w:tr w:rsidR="002F61F3" w14:paraId="62FE08C5" w14:textId="77777777">
        <w:trPr>
          <w:jc w:val="center"/>
        </w:trPr>
        <w:tc>
          <w:tcPr>
            <w:tcW w:w="2351" w:type="dxa"/>
          </w:tcPr>
          <w:p w14:paraId="5DDF6F2B" w14:textId="77777777" w:rsidR="002F61F3" w:rsidRDefault="00000000">
            <w:r>
              <w:rPr>
                <w:b/>
                <w:sz w:val="20"/>
              </w:rPr>
              <w:t>Taxa de Gestão (3% × 2 anos)</w:t>
            </w:r>
          </w:p>
        </w:tc>
        <w:tc>
          <w:tcPr>
            <w:tcW w:w="2351" w:type="dxa"/>
          </w:tcPr>
          <w:p w14:paraId="5FB8A042" w14:textId="77777777" w:rsidR="002F61F3" w:rsidRDefault="00000000">
            <w:r>
              <w:rPr>
                <w:sz w:val="20"/>
              </w:rPr>
              <w:t xml:space="preserve">3% × €489.500 × 2 = </w:t>
            </w:r>
            <w:r>
              <w:rPr>
                <w:b/>
                <w:sz w:val="20"/>
              </w:rPr>
              <w:t>€29.370</w:t>
            </w:r>
          </w:p>
        </w:tc>
        <w:tc>
          <w:tcPr>
            <w:tcW w:w="2351" w:type="dxa"/>
          </w:tcPr>
          <w:p w14:paraId="48E8E36F" w14:textId="77777777" w:rsidR="002F61F3" w:rsidRDefault="00000000">
            <w:r>
              <w:rPr>
                <w:sz w:val="20"/>
              </w:rPr>
              <w:t xml:space="preserve">3% × €490.000 × 2 = </w:t>
            </w:r>
            <w:r>
              <w:rPr>
                <w:b/>
                <w:sz w:val="20"/>
              </w:rPr>
              <w:t>€29.400</w:t>
            </w:r>
          </w:p>
        </w:tc>
        <w:tc>
          <w:tcPr>
            <w:tcW w:w="2351" w:type="dxa"/>
          </w:tcPr>
          <w:p w14:paraId="296A02E6" w14:textId="77777777" w:rsidR="002F61F3" w:rsidRDefault="00000000">
            <w:r>
              <w:rPr>
                <w:sz w:val="20"/>
              </w:rPr>
              <w:t xml:space="preserve">3% × €100.000 × 1 = </w:t>
            </w:r>
            <w:r>
              <w:rPr>
                <w:b/>
                <w:sz w:val="20"/>
              </w:rPr>
              <w:t>€3.000</w:t>
            </w:r>
          </w:p>
        </w:tc>
      </w:tr>
      <w:tr w:rsidR="002F61F3" w14:paraId="109587C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6A357E4" w14:textId="77777777" w:rsidR="002F61F3" w:rsidRDefault="00000000">
            <w:r>
              <w:rPr>
                <w:b/>
                <w:sz w:val="20"/>
              </w:rPr>
              <w:t>TOTAL ESTIMADO</w:t>
            </w:r>
          </w:p>
        </w:tc>
        <w:tc>
          <w:tcPr>
            <w:tcW w:w="2351" w:type="dxa"/>
            <w:shd w:val="clear" w:color="auto" w:fill="F5F5F5"/>
          </w:tcPr>
          <w:p w14:paraId="036F9601" w14:textId="77777777" w:rsidR="002F61F3" w:rsidRDefault="00000000">
            <w:r>
              <w:rPr>
                <w:b/>
                <w:sz w:val="20"/>
              </w:rPr>
              <w:t>€202.870</w:t>
            </w:r>
          </w:p>
        </w:tc>
        <w:tc>
          <w:tcPr>
            <w:tcW w:w="2351" w:type="dxa"/>
            <w:shd w:val="clear" w:color="auto" w:fill="F5F5F5"/>
          </w:tcPr>
          <w:p w14:paraId="6ADA6579" w14:textId="77777777" w:rsidR="002F61F3" w:rsidRDefault="00000000">
            <w:r>
              <w:rPr>
                <w:b/>
                <w:sz w:val="20"/>
              </w:rPr>
              <w:t>€258.400</w:t>
            </w:r>
          </w:p>
        </w:tc>
        <w:tc>
          <w:tcPr>
            <w:tcW w:w="2351" w:type="dxa"/>
            <w:shd w:val="clear" w:color="auto" w:fill="F5F5F5"/>
          </w:tcPr>
          <w:p w14:paraId="5773CD3D" w14:textId="77777777" w:rsidR="002F61F3" w:rsidRDefault="00000000">
            <w:r>
              <w:rPr>
                <w:b/>
                <w:sz w:val="20"/>
              </w:rPr>
              <w:t>€38.500</w:t>
            </w:r>
          </w:p>
        </w:tc>
      </w:tr>
    </w:tbl>
    <w:p w14:paraId="5386EFB4" w14:textId="77777777" w:rsidR="002F61F3" w:rsidRDefault="002F61F3"/>
    <w:p w14:paraId="7AA6A361" w14:textId="77777777" w:rsidR="002F61F3" w:rsidRDefault="00000000">
      <w:pPr>
        <w:pStyle w:val="Ttulo3"/>
      </w:pPr>
      <w:r>
        <w:t>Remuneração Total Agregada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F61F3" w14:paraId="3699AB0C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5D6BC05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79F7E85A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2F61F3" w14:paraId="28BBAE24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043C9D8" w14:textId="77777777" w:rsidR="002F61F3" w:rsidRDefault="00000000">
            <w:r>
              <w:rPr>
                <w:sz w:val="20"/>
              </w:rPr>
              <w:t>Investimento total dos 3 projetos</w:t>
            </w:r>
          </w:p>
        </w:tc>
        <w:tc>
          <w:tcPr>
            <w:tcW w:w="4703" w:type="dxa"/>
            <w:shd w:val="clear" w:color="auto" w:fill="F5F5F5"/>
          </w:tcPr>
          <w:p w14:paraId="03A33F2F" w14:textId="77777777" w:rsidR="002F61F3" w:rsidRDefault="00000000">
            <w:r>
              <w:rPr>
                <w:sz w:val="20"/>
              </w:rPr>
              <w:t>€5.120.000</w:t>
            </w:r>
          </w:p>
        </w:tc>
      </w:tr>
      <w:tr w:rsidR="002F61F3" w14:paraId="25592D6C" w14:textId="77777777">
        <w:trPr>
          <w:jc w:val="center"/>
        </w:trPr>
        <w:tc>
          <w:tcPr>
            <w:tcW w:w="4703" w:type="dxa"/>
          </w:tcPr>
          <w:p w14:paraId="43145A2B" w14:textId="77777777" w:rsidR="002F61F3" w:rsidRDefault="00000000">
            <w:r>
              <w:rPr>
                <w:sz w:val="20"/>
              </w:rPr>
              <w:t>Remuneração total IPNS (3 projetos)</w:t>
            </w:r>
          </w:p>
        </w:tc>
        <w:tc>
          <w:tcPr>
            <w:tcW w:w="4703" w:type="dxa"/>
          </w:tcPr>
          <w:p w14:paraId="7ED3FB35" w14:textId="77777777" w:rsidR="002F61F3" w:rsidRDefault="00000000">
            <w:r>
              <w:rPr>
                <w:b/>
                <w:sz w:val="20"/>
              </w:rPr>
              <w:t>€499.770</w:t>
            </w:r>
          </w:p>
        </w:tc>
      </w:tr>
      <w:tr w:rsidR="002F61F3" w14:paraId="294778F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93043CD" w14:textId="77777777" w:rsidR="002F61F3" w:rsidRDefault="00000000">
            <w:r>
              <w:rPr>
                <w:sz w:val="20"/>
              </w:rPr>
              <w:t>Percentagem sobre investimento total</w:t>
            </w:r>
          </w:p>
        </w:tc>
        <w:tc>
          <w:tcPr>
            <w:tcW w:w="4703" w:type="dxa"/>
            <w:shd w:val="clear" w:color="auto" w:fill="F5F5F5"/>
          </w:tcPr>
          <w:p w14:paraId="7BA5F8D2" w14:textId="77777777" w:rsidR="002F61F3" w:rsidRDefault="00000000">
            <w:r>
              <w:rPr>
                <w:b/>
                <w:sz w:val="20"/>
              </w:rPr>
              <w:t>9,8%</w:t>
            </w:r>
          </w:p>
        </w:tc>
      </w:tr>
      <w:tr w:rsidR="002F61F3" w14:paraId="6FFB8848" w14:textId="77777777">
        <w:trPr>
          <w:jc w:val="center"/>
        </w:trPr>
        <w:tc>
          <w:tcPr>
            <w:tcW w:w="4703" w:type="dxa"/>
          </w:tcPr>
          <w:p w14:paraId="35F86C21" w14:textId="77777777" w:rsidR="002F61F3" w:rsidRDefault="00000000">
            <w:r>
              <w:rPr>
                <w:sz w:val="20"/>
              </w:rPr>
              <w:t>Duração média dos contratos</w:t>
            </w:r>
          </w:p>
        </w:tc>
        <w:tc>
          <w:tcPr>
            <w:tcW w:w="4703" w:type="dxa"/>
          </w:tcPr>
          <w:p w14:paraId="16590402" w14:textId="77777777" w:rsidR="002F61F3" w:rsidRDefault="00000000">
            <w:r>
              <w:rPr>
                <w:sz w:val="20"/>
              </w:rPr>
              <w:t>30 meses</w:t>
            </w:r>
          </w:p>
        </w:tc>
      </w:tr>
    </w:tbl>
    <w:p w14:paraId="1FA81DE8" w14:textId="77777777" w:rsidR="002F61F3" w:rsidRDefault="002F61F3"/>
    <w:p w14:paraId="0F900867" w14:textId="77777777" w:rsidR="002F61F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39F16F6" w14:textId="77777777" w:rsidR="002F61F3" w:rsidRDefault="00000000">
      <w:pPr>
        <w:pStyle w:val="Ttulo2"/>
      </w:pPr>
      <w:r>
        <w:t>3. Cronograma de Pagamentos</w:t>
      </w:r>
    </w:p>
    <w:p w14:paraId="2940900B" w14:textId="77777777" w:rsidR="002F61F3" w:rsidRDefault="00000000">
      <w:pPr>
        <w:pStyle w:val="Ttulo3"/>
      </w:pPr>
      <w:r>
        <w:t>3.1. Quinta do Visconde de Salreu (30 meses)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1F3" w14:paraId="6C3B0179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CE2C413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2351" w:type="dxa"/>
            <w:shd w:val="clear" w:color="auto" w:fill="1A1A1A"/>
          </w:tcPr>
          <w:p w14:paraId="1288CAB9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24D5C911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Mensal</w:t>
            </w:r>
          </w:p>
        </w:tc>
        <w:tc>
          <w:tcPr>
            <w:tcW w:w="2351" w:type="dxa"/>
            <w:shd w:val="clear" w:color="auto" w:fill="1A1A1A"/>
          </w:tcPr>
          <w:p w14:paraId="388F4AF2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Período</w:t>
            </w:r>
          </w:p>
        </w:tc>
      </w:tr>
      <w:tr w:rsidR="002F61F3" w14:paraId="3E76C9B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EB47DD0" w14:textId="77777777" w:rsidR="002F61F3" w:rsidRDefault="00000000">
            <w:r>
              <w:rPr>
                <w:sz w:val="20"/>
              </w:rPr>
              <w:t>Meses 1-10</w:t>
            </w:r>
          </w:p>
        </w:tc>
        <w:tc>
          <w:tcPr>
            <w:tcW w:w="2351" w:type="dxa"/>
            <w:shd w:val="clear" w:color="auto" w:fill="F5F5F5"/>
          </w:tcPr>
          <w:p w14:paraId="5D4B5BF8" w14:textId="77777777" w:rsidR="002F61F3" w:rsidRDefault="00000000">
            <w:r>
              <w:rPr>
                <w:sz w:val="20"/>
              </w:rPr>
              <w:t>Fee Fixo de Assessoria</w:t>
            </w:r>
          </w:p>
        </w:tc>
        <w:tc>
          <w:tcPr>
            <w:tcW w:w="2351" w:type="dxa"/>
            <w:shd w:val="clear" w:color="auto" w:fill="F5F5F5"/>
          </w:tcPr>
          <w:p w14:paraId="2F1416E8" w14:textId="77777777" w:rsidR="002F61F3" w:rsidRDefault="00000000">
            <w:r>
              <w:rPr>
                <w:sz w:val="20"/>
              </w:rPr>
              <w:t>€3.000</w:t>
            </w:r>
          </w:p>
        </w:tc>
        <w:tc>
          <w:tcPr>
            <w:tcW w:w="2351" w:type="dxa"/>
            <w:shd w:val="clear" w:color="auto" w:fill="F5F5F5"/>
          </w:tcPr>
          <w:p w14:paraId="30BF85A5" w14:textId="77777777" w:rsidR="002F61F3" w:rsidRDefault="00000000">
            <w:r>
              <w:rPr>
                <w:sz w:val="20"/>
              </w:rPr>
              <w:t>€30.000</w:t>
            </w:r>
          </w:p>
        </w:tc>
      </w:tr>
      <w:tr w:rsidR="002F61F3" w14:paraId="312C48F0" w14:textId="77777777">
        <w:trPr>
          <w:jc w:val="center"/>
        </w:trPr>
        <w:tc>
          <w:tcPr>
            <w:tcW w:w="2351" w:type="dxa"/>
          </w:tcPr>
          <w:p w14:paraId="6E25ED03" w14:textId="77777777" w:rsidR="002F61F3" w:rsidRDefault="00000000">
            <w:r>
              <w:rPr>
                <w:sz w:val="20"/>
              </w:rPr>
              <w:t>Meses 11-30</w:t>
            </w:r>
          </w:p>
        </w:tc>
        <w:tc>
          <w:tcPr>
            <w:tcW w:w="2351" w:type="dxa"/>
          </w:tcPr>
          <w:p w14:paraId="40028360" w14:textId="77777777" w:rsidR="002F61F3" w:rsidRDefault="00000000">
            <w:r>
              <w:rPr>
                <w:sz w:val="20"/>
              </w:rPr>
              <w:t>Fee Fixo de Acompanhamento</w:t>
            </w:r>
          </w:p>
        </w:tc>
        <w:tc>
          <w:tcPr>
            <w:tcW w:w="2351" w:type="dxa"/>
          </w:tcPr>
          <w:p w14:paraId="3B76DA4F" w14:textId="77777777" w:rsidR="002F61F3" w:rsidRDefault="00000000">
            <w:r>
              <w:rPr>
                <w:sz w:val="20"/>
              </w:rPr>
              <w:t>€2.000</w:t>
            </w:r>
          </w:p>
        </w:tc>
        <w:tc>
          <w:tcPr>
            <w:tcW w:w="2351" w:type="dxa"/>
          </w:tcPr>
          <w:p w14:paraId="59A1D9C5" w14:textId="77777777" w:rsidR="002F61F3" w:rsidRDefault="00000000">
            <w:r>
              <w:rPr>
                <w:sz w:val="20"/>
              </w:rPr>
              <w:t>€40.000</w:t>
            </w:r>
          </w:p>
        </w:tc>
      </w:tr>
      <w:tr w:rsidR="002F61F3" w14:paraId="5DE875B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AF6E805" w14:textId="77777777" w:rsidR="002F61F3" w:rsidRDefault="00000000">
            <w:r>
              <w:rPr>
                <w:sz w:val="20"/>
              </w:rPr>
              <w:lastRenderedPageBreak/>
              <w:t>Após aprovação</w:t>
            </w:r>
          </w:p>
        </w:tc>
        <w:tc>
          <w:tcPr>
            <w:tcW w:w="2351" w:type="dxa"/>
            <w:shd w:val="clear" w:color="auto" w:fill="F5F5F5"/>
          </w:tcPr>
          <w:p w14:paraId="3D2FD093" w14:textId="77777777" w:rsidR="002F61F3" w:rsidRDefault="00000000">
            <w:r>
              <w:rPr>
                <w:sz w:val="20"/>
              </w:rPr>
              <w:t>Success Fee (tranches)</w:t>
            </w:r>
          </w:p>
        </w:tc>
        <w:tc>
          <w:tcPr>
            <w:tcW w:w="2351" w:type="dxa"/>
            <w:shd w:val="clear" w:color="auto" w:fill="F5F5F5"/>
          </w:tcPr>
          <w:p w14:paraId="6E615930" w14:textId="77777777" w:rsidR="002F61F3" w:rsidRDefault="00000000">
            <w:r>
              <w:rPr>
                <w:sz w:val="20"/>
              </w:rPr>
              <w:t>Variável</w:t>
            </w:r>
          </w:p>
        </w:tc>
        <w:tc>
          <w:tcPr>
            <w:tcW w:w="2351" w:type="dxa"/>
            <w:shd w:val="clear" w:color="auto" w:fill="F5F5F5"/>
          </w:tcPr>
          <w:p w14:paraId="27A772B6" w14:textId="77777777" w:rsidR="002F61F3" w:rsidRDefault="00000000">
            <w:r>
              <w:rPr>
                <w:sz w:val="20"/>
              </w:rPr>
              <w:t>€103.500</w:t>
            </w:r>
          </w:p>
        </w:tc>
      </w:tr>
      <w:tr w:rsidR="002F61F3" w14:paraId="309F0815" w14:textId="77777777">
        <w:trPr>
          <w:jc w:val="center"/>
        </w:trPr>
        <w:tc>
          <w:tcPr>
            <w:tcW w:w="2351" w:type="dxa"/>
          </w:tcPr>
          <w:p w14:paraId="39F93098" w14:textId="77777777" w:rsidR="002F61F3" w:rsidRDefault="00000000">
            <w:r>
              <w:rPr>
                <w:sz w:val="20"/>
              </w:rPr>
              <w:t>Anos 2-3</w:t>
            </w:r>
          </w:p>
        </w:tc>
        <w:tc>
          <w:tcPr>
            <w:tcW w:w="2351" w:type="dxa"/>
          </w:tcPr>
          <w:p w14:paraId="27CA10C3" w14:textId="77777777" w:rsidR="002F61F3" w:rsidRDefault="00000000">
            <w:r>
              <w:rPr>
                <w:sz w:val="20"/>
              </w:rPr>
              <w:t>Taxa de Gestão Operacional</w:t>
            </w:r>
          </w:p>
        </w:tc>
        <w:tc>
          <w:tcPr>
            <w:tcW w:w="2351" w:type="dxa"/>
          </w:tcPr>
          <w:p w14:paraId="0DF1BEA4" w14:textId="77777777" w:rsidR="002F61F3" w:rsidRDefault="00000000">
            <w:r>
              <w:rPr>
                <w:sz w:val="20"/>
              </w:rPr>
              <w:t>Variável</w:t>
            </w:r>
          </w:p>
        </w:tc>
        <w:tc>
          <w:tcPr>
            <w:tcW w:w="2351" w:type="dxa"/>
          </w:tcPr>
          <w:p w14:paraId="0E2B5D18" w14:textId="77777777" w:rsidR="002F61F3" w:rsidRDefault="00000000">
            <w:r>
              <w:rPr>
                <w:sz w:val="20"/>
              </w:rPr>
              <w:t>€29.370</w:t>
            </w:r>
          </w:p>
        </w:tc>
      </w:tr>
    </w:tbl>
    <w:p w14:paraId="6005E777" w14:textId="77777777" w:rsidR="002F61F3" w:rsidRDefault="002F61F3"/>
    <w:p w14:paraId="5D8DB844" w14:textId="77777777" w:rsidR="002F61F3" w:rsidRDefault="00000000">
      <w:pPr>
        <w:pStyle w:val="Ttulo3"/>
      </w:pPr>
      <w:r>
        <w:t>3.2. Torre do Carvalhal (36 meses)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1F3" w14:paraId="39D022F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0E2E218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2351" w:type="dxa"/>
            <w:shd w:val="clear" w:color="auto" w:fill="1A1A1A"/>
          </w:tcPr>
          <w:p w14:paraId="3B0880F2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50478FAA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Mensal</w:t>
            </w:r>
          </w:p>
        </w:tc>
        <w:tc>
          <w:tcPr>
            <w:tcW w:w="2351" w:type="dxa"/>
            <w:shd w:val="clear" w:color="auto" w:fill="1A1A1A"/>
          </w:tcPr>
          <w:p w14:paraId="645F5F19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Período</w:t>
            </w:r>
          </w:p>
        </w:tc>
      </w:tr>
      <w:tr w:rsidR="002F61F3" w14:paraId="35337BE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0DA3241" w14:textId="77777777" w:rsidR="002F61F3" w:rsidRDefault="00000000">
            <w:r>
              <w:rPr>
                <w:sz w:val="20"/>
              </w:rPr>
              <w:t>Meses 1-12</w:t>
            </w:r>
          </w:p>
        </w:tc>
        <w:tc>
          <w:tcPr>
            <w:tcW w:w="2351" w:type="dxa"/>
            <w:shd w:val="clear" w:color="auto" w:fill="F5F5F5"/>
          </w:tcPr>
          <w:p w14:paraId="4DC696E4" w14:textId="77777777" w:rsidR="002F61F3" w:rsidRDefault="00000000">
            <w:r>
              <w:rPr>
                <w:sz w:val="20"/>
              </w:rPr>
              <w:t>Fee Fixo de Assessoria</w:t>
            </w:r>
          </w:p>
        </w:tc>
        <w:tc>
          <w:tcPr>
            <w:tcW w:w="2351" w:type="dxa"/>
            <w:shd w:val="clear" w:color="auto" w:fill="F5F5F5"/>
          </w:tcPr>
          <w:p w14:paraId="56979A45" w14:textId="77777777" w:rsidR="002F61F3" w:rsidRDefault="00000000">
            <w:r>
              <w:rPr>
                <w:sz w:val="20"/>
              </w:rPr>
              <w:t>€3.000</w:t>
            </w:r>
          </w:p>
        </w:tc>
        <w:tc>
          <w:tcPr>
            <w:tcW w:w="2351" w:type="dxa"/>
            <w:shd w:val="clear" w:color="auto" w:fill="F5F5F5"/>
          </w:tcPr>
          <w:p w14:paraId="11062E86" w14:textId="77777777" w:rsidR="002F61F3" w:rsidRDefault="00000000">
            <w:r>
              <w:rPr>
                <w:sz w:val="20"/>
              </w:rPr>
              <w:t>€36.000</w:t>
            </w:r>
          </w:p>
        </w:tc>
      </w:tr>
      <w:tr w:rsidR="002F61F3" w14:paraId="59E148D7" w14:textId="77777777">
        <w:trPr>
          <w:jc w:val="center"/>
        </w:trPr>
        <w:tc>
          <w:tcPr>
            <w:tcW w:w="2351" w:type="dxa"/>
          </w:tcPr>
          <w:p w14:paraId="13255A16" w14:textId="77777777" w:rsidR="002F61F3" w:rsidRDefault="00000000">
            <w:r>
              <w:rPr>
                <w:sz w:val="20"/>
              </w:rPr>
              <w:t>Meses 13-36</w:t>
            </w:r>
          </w:p>
        </w:tc>
        <w:tc>
          <w:tcPr>
            <w:tcW w:w="2351" w:type="dxa"/>
          </w:tcPr>
          <w:p w14:paraId="1AFDB990" w14:textId="77777777" w:rsidR="002F61F3" w:rsidRDefault="00000000">
            <w:r>
              <w:rPr>
                <w:sz w:val="20"/>
              </w:rPr>
              <w:t>Fee Fixo de Acompanhamento</w:t>
            </w:r>
          </w:p>
        </w:tc>
        <w:tc>
          <w:tcPr>
            <w:tcW w:w="2351" w:type="dxa"/>
          </w:tcPr>
          <w:p w14:paraId="12C48C4D" w14:textId="77777777" w:rsidR="002F61F3" w:rsidRDefault="00000000">
            <w:r>
              <w:rPr>
                <w:sz w:val="20"/>
              </w:rPr>
              <w:t>€2.000</w:t>
            </w:r>
          </w:p>
        </w:tc>
        <w:tc>
          <w:tcPr>
            <w:tcW w:w="2351" w:type="dxa"/>
          </w:tcPr>
          <w:p w14:paraId="19472849" w14:textId="77777777" w:rsidR="002F61F3" w:rsidRDefault="00000000">
            <w:r>
              <w:rPr>
                <w:sz w:val="20"/>
              </w:rPr>
              <w:t>€48.000</w:t>
            </w:r>
          </w:p>
        </w:tc>
      </w:tr>
      <w:tr w:rsidR="002F61F3" w14:paraId="773D930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2B45585" w14:textId="77777777" w:rsidR="002F61F3" w:rsidRDefault="00000000">
            <w:r>
              <w:rPr>
                <w:sz w:val="20"/>
              </w:rPr>
              <w:t>Após aprovação</w:t>
            </w:r>
          </w:p>
        </w:tc>
        <w:tc>
          <w:tcPr>
            <w:tcW w:w="2351" w:type="dxa"/>
            <w:shd w:val="clear" w:color="auto" w:fill="F5F5F5"/>
          </w:tcPr>
          <w:p w14:paraId="4B419AFE" w14:textId="77777777" w:rsidR="002F61F3" w:rsidRDefault="00000000">
            <w:r>
              <w:rPr>
                <w:sz w:val="20"/>
              </w:rPr>
              <w:t>Success Fee (tranches)</w:t>
            </w:r>
          </w:p>
        </w:tc>
        <w:tc>
          <w:tcPr>
            <w:tcW w:w="2351" w:type="dxa"/>
            <w:shd w:val="clear" w:color="auto" w:fill="F5F5F5"/>
          </w:tcPr>
          <w:p w14:paraId="2EE3EDA6" w14:textId="77777777" w:rsidR="002F61F3" w:rsidRDefault="00000000">
            <w:r>
              <w:rPr>
                <w:sz w:val="20"/>
              </w:rPr>
              <w:t>Variável</w:t>
            </w:r>
          </w:p>
        </w:tc>
        <w:tc>
          <w:tcPr>
            <w:tcW w:w="2351" w:type="dxa"/>
            <w:shd w:val="clear" w:color="auto" w:fill="F5F5F5"/>
          </w:tcPr>
          <w:p w14:paraId="7920B7F1" w14:textId="77777777" w:rsidR="002F61F3" w:rsidRDefault="00000000">
            <w:r>
              <w:rPr>
                <w:sz w:val="20"/>
              </w:rPr>
              <w:t>€145.000</w:t>
            </w:r>
          </w:p>
        </w:tc>
      </w:tr>
      <w:tr w:rsidR="002F61F3" w14:paraId="5D4F665C" w14:textId="77777777">
        <w:trPr>
          <w:jc w:val="center"/>
        </w:trPr>
        <w:tc>
          <w:tcPr>
            <w:tcW w:w="2351" w:type="dxa"/>
          </w:tcPr>
          <w:p w14:paraId="103F7FB1" w14:textId="77777777" w:rsidR="002F61F3" w:rsidRDefault="00000000">
            <w:r>
              <w:rPr>
                <w:sz w:val="20"/>
              </w:rPr>
              <w:t>Anos 2-3</w:t>
            </w:r>
          </w:p>
        </w:tc>
        <w:tc>
          <w:tcPr>
            <w:tcW w:w="2351" w:type="dxa"/>
          </w:tcPr>
          <w:p w14:paraId="6F1269A9" w14:textId="77777777" w:rsidR="002F61F3" w:rsidRDefault="00000000">
            <w:r>
              <w:rPr>
                <w:sz w:val="20"/>
              </w:rPr>
              <w:t>Taxa de Gestão Operacional</w:t>
            </w:r>
          </w:p>
        </w:tc>
        <w:tc>
          <w:tcPr>
            <w:tcW w:w="2351" w:type="dxa"/>
          </w:tcPr>
          <w:p w14:paraId="306C79B9" w14:textId="77777777" w:rsidR="002F61F3" w:rsidRDefault="00000000">
            <w:r>
              <w:rPr>
                <w:sz w:val="20"/>
              </w:rPr>
              <w:t>Variável</w:t>
            </w:r>
          </w:p>
        </w:tc>
        <w:tc>
          <w:tcPr>
            <w:tcW w:w="2351" w:type="dxa"/>
          </w:tcPr>
          <w:p w14:paraId="4C867550" w14:textId="77777777" w:rsidR="002F61F3" w:rsidRDefault="00000000">
            <w:r>
              <w:rPr>
                <w:sz w:val="20"/>
              </w:rPr>
              <w:t>€29.400</w:t>
            </w:r>
          </w:p>
        </w:tc>
      </w:tr>
    </w:tbl>
    <w:p w14:paraId="4A16D1A1" w14:textId="77777777" w:rsidR="002F61F3" w:rsidRDefault="002F61F3"/>
    <w:p w14:paraId="6874F124" w14:textId="77777777" w:rsidR="002F61F3" w:rsidRDefault="00000000">
      <w:pPr>
        <w:pStyle w:val="Ttulo3"/>
      </w:pPr>
      <w:r>
        <w:t>3.3. Banda Visconde de Salreu (24 meses)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1F3" w14:paraId="06E40A85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953E23E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2351" w:type="dxa"/>
            <w:shd w:val="clear" w:color="auto" w:fill="1A1A1A"/>
          </w:tcPr>
          <w:p w14:paraId="521B6181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7F786ACD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Mensal</w:t>
            </w:r>
          </w:p>
        </w:tc>
        <w:tc>
          <w:tcPr>
            <w:tcW w:w="2351" w:type="dxa"/>
            <w:shd w:val="clear" w:color="auto" w:fill="1A1A1A"/>
          </w:tcPr>
          <w:p w14:paraId="49A62B9D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Período</w:t>
            </w:r>
          </w:p>
        </w:tc>
      </w:tr>
      <w:tr w:rsidR="002F61F3" w14:paraId="0F97DDF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57433AE" w14:textId="77777777" w:rsidR="002F61F3" w:rsidRDefault="00000000">
            <w:r>
              <w:rPr>
                <w:sz w:val="20"/>
              </w:rPr>
              <w:t>Meses 1-2</w:t>
            </w:r>
          </w:p>
        </w:tc>
        <w:tc>
          <w:tcPr>
            <w:tcW w:w="2351" w:type="dxa"/>
            <w:shd w:val="clear" w:color="auto" w:fill="F5F5F5"/>
          </w:tcPr>
          <w:p w14:paraId="05EF903A" w14:textId="77777777" w:rsidR="002F61F3" w:rsidRDefault="00000000">
            <w:r>
              <w:rPr>
                <w:sz w:val="20"/>
              </w:rPr>
              <w:t>Diagnóstico (pro bono)</w:t>
            </w:r>
          </w:p>
        </w:tc>
        <w:tc>
          <w:tcPr>
            <w:tcW w:w="2351" w:type="dxa"/>
            <w:shd w:val="clear" w:color="auto" w:fill="F5F5F5"/>
          </w:tcPr>
          <w:p w14:paraId="527CB7D8" w14:textId="77777777" w:rsidR="002F61F3" w:rsidRDefault="00000000">
            <w:r>
              <w:rPr>
                <w:sz w:val="20"/>
              </w:rPr>
              <w:t>€0</w:t>
            </w:r>
          </w:p>
        </w:tc>
        <w:tc>
          <w:tcPr>
            <w:tcW w:w="2351" w:type="dxa"/>
            <w:shd w:val="clear" w:color="auto" w:fill="F5F5F5"/>
          </w:tcPr>
          <w:p w14:paraId="15A5AAD8" w14:textId="77777777" w:rsidR="002F61F3" w:rsidRDefault="00000000">
            <w:r>
              <w:rPr>
                <w:sz w:val="20"/>
              </w:rPr>
              <w:t>€0</w:t>
            </w:r>
          </w:p>
        </w:tc>
      </w:tr>
      <w:tr w:rsidR="002F61F3" w14:paraId="3293E982" w14:textId="77777777">
        <w:trPr>
          <w:jc w:val="center"/>
        </w:trPr>
        <w:tc>
          <w:tcPr>
            <w:tcW w:w="2351" w:type="dxa"/>
          </w:tcPr>
          <w:p w14:paraId="502BEB41" w14:textId="77777777" w:rsidR="002F61F3" w:rsidRDefault="00000000">
            <w:r>
              <w:rPr>
                <w:sz w:val="20"/>
              </w:rPr>
              <w:t>Meses 3-8</w:t>
            </w:r>
          </w:p>
        </w:tc>
        <w:tc>
          <w:tcPr>
            <w:tcW w:w="2351" w:type="dxa"/>
          </w:tcPr>
          <w:p w14:paraId="3FED0D3B" w14:textId="77777777" w:rsidR="002F61F3" w:rsidRDefault="00000000">
            <w:r>
              <w:rPr>
                <w:sz w:val="20"/>
              </w:rPr>
              <w:t>Fee Fixo de Assessoria</w:t>
            </w:r>
          </w:p>
        </w:tc>
        <w:tc>
          <w:tcPr>
            <w:tcW w:w="2351" w:type="dxa"/>
          </w:tcPr>
          <w:p w14:paraId="04216A80" w14:textId="77777777" w:rsidR="002F61F3" w:rsidRDefault="00000000">
            <w:r>
              <w:rPr>
                <w:sz w:val="20"/>
              </w:rPr>
              <w:t>€1.500</w:t>
            </w:r>
          </w:p>
        </w:tc>
        <w:tc>
          <w:tcPr>
            <w:tcW w:w="2351" w:type="dxa"/>
          </w:tcPr>
          <w:p w14:paraId="10FF70B7" w14:textId="77777777" w:rsidR="002F61F3" w:rsidRDefault="00000000">
            <w:r>
              <w:rPr>
                <w:sz w:val="20"/>
              </w:rPr>
              <w:t>€9.000</w:t>
            </w:r>
          </w:p>
        </w:tc>
      </w:tr>
      <w:tr w:rsidR="002F61F3" w14:paraId="3AA8916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F71EF93" w14:textId="77777777" w:rsidR="002F61F3" w:rsidRDefault="00000000">
            <w:r>
              <w:rPr>
                <w:sz w:val="20"/>
              </w:rPr>
              <w:t>Meses 9-24</w:t>
            </w:r>
          </w:p>
        </w:tc>
        <w:tc>
          <w:tcPr>
            <w:tcW w:w="2351" w:type="dxa"/>
            <w:shd w:val="clear" w:color="auto" w:fill="F5F5F5"/>
          </w:tcPr>
          <w:p w14:paraId="0100C1F5" w14:textId="77777777" w:rsidR="002F61F3" w:rsidRDefault="00000000">
            <w:r>
              <w:rPr>
                <w:sz w:val="20"/>
              </w:rPr>
              <w:t>Fee Fixo de Acompanhamento</w:t>
            </w:r>
          </w:p>
        </w:tc>
        <w:tc>
          <w:tcPr>
            <w:tcW w:w="2351" w:type="dxa"/>
            <w:shd w:val="clear" w:color="auto" w:fill="F5F5F5"/>
          </w:tcPr>
          <w:p w14:paraId="151D8888" w14:textId="77777777" w:rsidR="002F61F3" w:rsidRDefault="00000000">
            <w:r>
              <w:rPr>
                <w:sz w:val="20"/>
              </w:rPr>
              <w:t>€1.000</w:t>
            </w:r>
          </w:p>
        </w:tc>
        <w:tc>
          <w:tcPr>
            <w:tcW w:w="2351" w:type="dxa"/>
            <w:shd w:val="clear" w:color="auto" w:fill="F5F5F5"/>
          </w:tcPr>
          <w:p w14:paraId="290B898C" w14:textId="77777777" w:rsidR="002F61F3" w:rsidRDefault="00000000">
            <w:r>
              <w:rPr>
                <w:sz w:val="20"/>
              </w:rPr>
              <w:t>€16.000</w:t>
            </w:r>
          </w:p>
        </w:tc>
      </w:tr>
      <w:tr w:rsidR="002F61F3" w14:paraId="56C7446B" w14:textId="77777777">
        <w:trPr>
          <w:jc w:val="center"/>
        </w:trPr>
        <w:tc>
          <w:tcPr>
            <w:tcW w:w="2351" w:type="dxa"/>
          </w:tcPr>
          <w:p w14:paraId="6FDF97FD" w14:textId="77777777" w:rsidR="002F61F3" w:rsidRDefault="00000000">
            <w:r>
              <w:rPr>
                <w:sz w:val="20"/>
              </w:rPr>
              <w:t>Após aprovação</w:t>
            </w:r>
          </w:p>
        </w:tc>
        <w:tc>
          <w:tcPr>
            <w:tcW w:w="2351" w:type="dxa"/>
          </w:tcPr>
          <w:p w14:paraId="6FD6AC89" w14:textId="77777777" w:rsidR="002F61F3" w:rsidRDefault="00000000">
            <w:r>
              <w:rPr>
                <w:sz w:val="20"/>
              </w:rPr>
              <w:t>Success Fee (tranches)</w:t>
            </w:r>
          </w:p>
        </w:tc>
        <w:tc>
          <w:tcPr>
            <w:tcW w:w="2351" w:type="dxa"/>
          </w:tcPr>
          <w:p w14:paraId="19A5E5B4" w14:textId="77777777" w:rsidR="002F61F3" w:rsidRDefault="00000000">
            <w:r>
              <w:rPr>
                <w:sz w:val="20"/>
              </w:rPr>
              <w:t>Variável</w:t>
            </w:r>
          </w:p>
        </w:tc>
        <w:tc>
          <w:tcPr>
            <w:tcW w:w="2351" w:type="dxa"/>
          </w:tcPr>
          <w:p w14:paraId="0C69ED74" w14:textId="77777777" w:rsidR="002F61F3" w:rsidRDefault="00000000">
            <w:r>
              <w:rPr>
                <w:sz w:val="20"/>
              </w:rPr>
              <w:t>€7.500</w:t>
            </w:r>
          </w:p>
        </w:tc>
      </w:tr>
      <w:tr w:rsidR="002F61F3" w14:paraId="13A0330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598AF70" w14:textId="77777777" w:rsidR="002F61F3" w:rsidRDefault="00000000">
            <w:r>
              <w:rPr>
                <w:sz w:val="20"/>
              </w:rPr>
              <w:t>Ano 2</w:t>
            </w:r>
          </w:p>
        </w:tc>
        <w:tc>
          <w:tcPr>
            <w:tcW w:w="2351" w:type="dxa"/>
            <w:shd w:val="clear" w:color="auto" w:fill="F5F5F5"/>
          </w:tcPr>
          <w:p w14:paraId="3D8F2B1D" w14:textId="77777777" w:rsidR="002F61F3" w:rsidRDefault="00000000">
            <w:r>
              <w:rPr>
                <w:sz w:val="20"/>
              </w:rPr>
              <w:t>Taxa de Gestão Operacional</w:t>
            </w:r>
          </w:p>
        </w:tc>
        <w:tc>
          <w:tcPr>
            <w:tcW w:w="2351" w:type="dxa"/>
            <w:shd w:val="clear" w:color="auto" w:fill="F5F5F5"/>
          </w:tcPr>
          <w:p w14:paraId="3875BFB1" w14:textId="77777777" w:rsidR="002F61F3" w:rsidRDefault="00000000">
            <w:r>
              <w:rPr>
                <w:sz w:val="20"/>
              </w:rPr>
              <w:t>Variável</w:t>
            </w:r>
          </w:p>
        </w:tc>
        <w:tc>
          <w:tcPr>
            <w:tcW w:w="2351" w:type="dxa"/>
            <w:shd w:val="clear" w:color="auto" w:fill="F5F5F5"/>
          </w:tcPr>
          <w:p w14:paraId="1847C012" w14:textId="77777777" w:rsidR="002F61F3" w:rsidRDefault="00000000">
            <w:r>
              <w:rPr>
                <w:sz w:val="20"/>
              </w:rPr>
              <w:t>€3.000</w:t>
            </w:r>
          </w:p>
        </w:tc>
      </w:tr>
    </w:tbl>
    <w:p w14:paraId="03D362A0" w14:textId="77777777" w:rsidR="002F61F3" w:rsidRDefault="002F61F3"/>
    <w:p w14:paraId="5F7B52FD" w14:textId="77777777" w:rsidR="002F61F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92B9CF6" w14:textId="77777777" w:rsidR="002F61F3" w:rsidRDefault="00000000">
      <w:pPr>
        <w:pStyle w:val="Ttulo2"/>
      </w:pPr>
      <w:r>
        <w:t>4. Elegibilidade como Custo de Projeto</w:t>
      </w:r>
    </w:p>
    <w:p w14:paraId="3931562B" w14:textId="77777777" w:rsidR="002F61F3" w:rsidRDefault="00000000">
      <w:r>
        <w:t xml:space="preserve">A remuneração do IPNS é estruturada para ser incluída como </w:t>
      </w:r>
      <w:r>
        <w:rPr>
          <w:b/>
        </w:rPr>
        <w:t>custo elegível</w:t>
      </w:r>
      <w:r>
        <w:t xml:space="preserve"> nas candidaturas a fundos europeus e nacionais, minimizando o encargo direto para as entidades assessoradas.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F61F3" w14:paraId="42743F5A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4C3906E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2351" w:type="dxa"/>
            <w:shd w:val="clear" w:color="auto" w:fill="1A1A1A"/>
          </w:tcPr>
          <w:p w14:paraId="4D889983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 Elegível</w:t>
            </w:r>
          </w:p>
        </w:tc>
        <w:tc>
          <w:tcPr>
            <w:tcW w:w="2351" w:type="dxa"/>
            <w:shd w:val="clear" w:color="auto" w:fill="1A1A1A"/>
          </w:tcPr>
          <w:p w14:paraId="0C76105B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Taxa Máxima</w:t>
            </w:r>
          </w:p>
        </w:tc>
        <w:tc>
          <w:tcPr>
            <w:tcW w:w="2351" w:type="dxa"/>
            <w:shd w:val="clear" w:color="auto" w:fill="1A1A1A"/>
          </w:tcPr>
          <w:p w14:paraId="285E3DC4" w14:textId="77777777" w:rsidR="002F61F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Referência</w:t>
            </w:r>
          </w:p>
        </w:tc>
      </w:tr>
      <w:tr w:rsidR="002F61F3" w14:paraId="5A5997C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0AF2D8D" w14:textId="77777777" w:rsidR="002F61F3" w:rsidRDefault="00000000">
            <w:r>
              <w:rPr>
                <w:b/>
                <w:sz w:val="20"/>
              </w:rPr>
              <w:t>Portugal 2030</w:t>
            </w:r>
          </w:p>
        </w:tc>
        <w:tc>
          <w:tcPr>
            <w:tcW w:w="2351" w:type="dxa"/>
            <w:shd w:val="clear" w:color="auto" w:fill="F5F5F5"/>
          </w:tcPr>
          <w:p w14:paraId="5B732322" w14:textId="77777777" w:rsidR="002F61F3" w:rsidRDefault="00000000">
            <w:r>
              <w:rPr>
                <w:sz w:val="20"/>
              </w:rPr>
              <w:t>Consultoria externa e gestão de projeto</w:t>
            </w:r>
          </w:p>
        </w:tc>
        <w:tc>
          <w:tcPr>
            <w:tcW w:w="2351" w:type="dxa"/>
            <w:shd w:val="clear" w:color="auto" w:fill="F5F5F5"/>
          </w:tcPr>
          <w:p w14:paraId="6B17AFEF" w14:textId="77777777" w:rsidR="002F61F3" w:rsidRDefault="00000000">
            <w:r>
              <w:rPr>
                <w:sz w:val="20"/>
              </w:rPr>
              <w:t>5-7% do custo total</w:t>
            </w:r>
          </w:p>
        </w:tc>
        <w:tc>
          <w:tcPr>
            <w:tcW w:w="2351" w:type="dxa"/>
            <w:shd w:val="clear" w:color="auto" w:fill="F5F5F5"/>
          </w:tcPr>
          <w:p w14:paraId="06C54E4D" w14:textId="77777777" w:rsidR="002F61F3" w:rsidRDefault="00000000">
            <w:r>
              <w:rPr>
                <w:sz w:val="20"/>
              </w:rPr>
              <w:t>Regulamento Específico PT2030</w:t>
            </w:r>
          </w:p>
        </w:tc>
      </w:tr>
      <w:tr w:rsidR="002F61F3" w14:paraId="1CE7130C" w14:textId="77777777">
        <w:trPr>
          <w:jc w:val="center"/>
        </w:trPr>
        <w:tc>
          <w:tcPr>
            <w:tcW w:w="2351" w:type="dxa"/>
          </w:tcPr>
          <w:p w14:paraId="3A212CF3" w14:textId="77777777" w:rsidR="002F61F3" w:rsidRDefault="00000000">
            <w:r>
              <w:rPr>
                <w:b/>
                <w:sz w:val="20"/>
              </w:rPr>
              <w:t>PRR</w:t>
            </w:r>
          </w:p>
        </w:tc>
        <w:tc>
          <w:tcPr>
            <w:tcW w:w="2351" w:type="dxa"/>
          </w:tcPr>
          <w:p w14:paraId="25C636D4" w14:textId="77777777" w:rsidR="002F61F3" w:rsidRDefault="00000000">
            <w:r>
              <w:rPr>
                <w:sz w:val="20"/>
              </w:rPr>
              <w:t>Custos de assistência técnica</w:t>
            </w:r>
          </w:p>
        </w:tc>
        <w:tc>
          <w:tcPr>
            <w:tcW w:w="2351" w:type="dxa"/>
          </w:tcPr>
          <w:p w14:paraId="4032209B" w14:textId="77777777" w:rsidR="002F61F3" w:rsidRDefault="00000000">
            <w:r>
              <w:rPr>
                <w:sz w:val="20"/>
              </w:rPr>
              <w:t>5% do custo total</w:t>
            </w:r>
          </w:p>
        </w:tc>
        <w:tc>
          <w:tcPr>
            <w:tcW w:w="2351" w:type="dxa"/>
          </w:tcPr>
          <w:p w14:paraId="5E19BFFC" w14:textId="77777777" w:rsidR="002F61F3" w:rsidRDefault="00000000">
            <w:r>
              <w:rPr>
                <w:sz w:val="20"/>
              </w:rPr>
              <w:t>Regulamento PRR</w:t>
            </w:r>
          </w:p>
        </w:tc>
      </w:tr>
      <w:tr w:rsidR="002F61F3" w14:paraId="1541185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7D2676F" w14:textId="77777777" w:rsidR="002F61F3" w:rsidRDefault="00000000">
            <w:r>
              <w:rPr>
                <w:b/>
                <w:sz w:val="20"/>
              </w:rPr>
              <w:lastRenderedPageBreak/>
              <w:t>IEFP</w:t>
            </w:r>
          </w:p>
        </w:tc>
        <w:tc>
          <w:tcPr>
            <w:tcW w:w="2351" w:type="dxa"/>
            <w:shd w:val="clear" w:color="auto" w:fill="F5F5F5"/>
          </w:tcPr>
          <w:p w14:paraId="0DD6F062" w14:textId="77777777" w:rsidR="002F61F3" w:rsidRDefault="00000000">
            <w:r>
              <w:rPr>
                <w:sz w:val="20"/>
              </w:rPr>
              <w:t>Custos de coordenação e gestão</w:t>
            </w:r>
          </w:p>
        </w:tc>
        <w:tc>
          <w:tcPr>
            <w:tcW w:w="2351" w:type="dxa"/>
            <w:shd w:val="clear" w:color="auto" w:fill="F5F5F5"/>
          </w:tcPr>
          <w:p w14:paraId="09D09807" w14:textId="77777777" w:rsidR="002F61F3" w:rsidRDefault="00000000">
            <w:r>
              <w:rPr>
                <w:sz w:val="20"/>
              </w:rPr>
              <w:t>10% do custo total</w:t>
            </w:r>
          </w:p>
        </w:tc>
        <w:tc>
          <w:tcPr>
            <w:tcW w:w="2351" w:type="dxa"/>
            <w:shd w:val="clear" w:color="auto" w:fill="F5F5F5"/>
          </w:tcPr>
          <w:p w14:paraId="2264EF67" w14:textId="77777777" w:rsidR="002F61F3" w:rsidRDefault="00000000">
            <w:r>
              <w:rPr>
                <w:sz w:val="20"/>
              </w:rPr>
              <w:t>Regulamento IEFP</w:t>
            </w:r>
          </w:p>
        </w:tc>
      </w:tr>
      <w:tr w:rsidR="002F61F3" w14:paraId="0BC068DE" w14:textId="77777777">
        <w:trPr>
          <w:jc w:val="center"/>
        </w:trPr>
        <w:tc>
          <w:tcPr>
            <w:tcW w:w="2351" w:type="dxa"/>
          </w:tcPr>
          <w:p w14:paraId="7D50685F" w14:textId="77777777" w:rsidR="002F61F3" w:rsidRDefault="00000000">
            <w:r>
              <w:rPr>
                <w:b/>
                <w:sz w:val="20"/>
              </w:rPr>
              <w:t>Fundos Europeus (geral)</w:t>
            </w:r>
          </w:p>
        </w:tc>
        <w:tc>
          <w:tcPr>
            <w:tcW w:w="2351" w:type="dxa"/>
          </w:tcPr>
          <w:p w14:paraId="10C0F462" w14:textId="77777777" w:rsidR="002F61F3" w:rsidRDefault="00000000">
            <w:r>
              <w:rPr>
                <w:sz w:val="20"/>
              </w:rPr>
              <w:t>Indirect costs / overhead</w:t>
            </w:r>
          </w:p>
        </w:tc>
        <w:tc>
          <w:tcPr>
            <w:tcW w:w="2351" w:type="dxa"/>
          </w:tcPr>
          <w:p w14:paraId="556C0E6B" w14:textId="77777777" w:rsidR="002F61F3" w:rsidRDefault="00000000">
            <w:r>
              <w:rPr>
                <w:sz w:val="20"/>
              </w:rPr>
              <w:t>7-25% dos custos diretos</w:t>
            </w:r>
          </w:p>
        </w:tc>
        <w:tc>
          <w:tcPr>
            <w:tcW w:w="2351" w:type="dxa"/>
          </w:tcPr>
          <w:p w14:paraId="2D720F44" w14:textId="77777777" w:rsidR="002F61F3" w:rsidRDefault="00000000">
            <w:r>
              <w:rPr>
                <w:sz w:val="20"/>
              </w:rPr>
              <w:t>Comissão Europeia — SCO</w:t>
            </w:r>
          </w:p>
        </w:tc>
      </w:tr>
    </w:tbl>
    <w:p w14:paraId="6F83B2DC" w14:textId="77777777" w:rsidR="002F61F3" w:rsidRDefault="002F61F3"/>
    <w:p w14:paraId="2A719430" w14:textId="77777777" w:rsidR="002F61F3" w:rsidRDefault="00000000">
      <w:r>
        <w:t xml:space="preserve">Na prática, estima-se que </w:t>
      </w:r>
      <w:r>
        <w:rPr>
          <w:b/>
        </w:rPr>
        <w:t>60-80% da remuneração do IPNS</w:t>
      </w:r>
      <w:r>
        <w:t xml:space="preserve"> possa ser coberta por fundos aprovados, reduzindo significativamente o encargo líquido para cada Associação.</w:t>
      </w:r>
    </w:p>
    <w:p w14:paraId="624ECF6D" w14:textId="77777777" w:rsidR="002F61F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4786836" w14:textId="77777777" w:rsidR="002F61F3" w:rsidRDefault="00000000">
      <w:pPr>
        <w:pStyle w:val="Ttulo2"/>
      </w:pPr>
      <w:r>
        <w:t>5. Condições Gerais</w:t>
      </w:r>
    </w:p>
    <w:p w14:paraId="1A428A67" w14:textId="77777777" w:rsidR="002F61F3" w:rsidRDefault="00000000">
      <w:r>
        <w:t>O protocolo de cooperação entre o IPNS e cada entidade assessorada será celebrado por escrito e incluirá as seguintes cláusulas:</w:t>
      </w:r>
    </w:p>
    <w:p w14:paraId="05C46065" w14:textId="77777777" w:rsidR="002F61F3" w:rsidRDefault="00000000">
      <w:r>
        <w:t xml:space="preserve">O </w:t>
      </w:r>
      <w:r>
        <w:rPr>
          <w:b/>
        </w:rPr>
        <w:t>success fee</w:t>
      </w:r>
      <w:r>
        <w:t xml:space="preserve"> está condicionado à efetiva aprovação e desembolso dos fundos, garantindo o alinhamento de interesses. O </w:t>
      </w:r>
      <w:r>
        <w:rPr>
          <w:b/>
        </w:rPr>
        <w:t>fee fixo mensal</w:t>
      </w:r>
      <w:r>
        <w:t xml:space="preserve"> é devido independentemente do resultado das candidaturas, cobrindo os custos operacionais de assessoria contínua. A </w:t>
      </w:r>
      <w:r>
        <w:rPr>
          <w:b/>
        </w:rPr>
        <w:t>taxa de gestão operacional</w:t>
      </w:r>
      <w:r>
        <w:t xml:space="preserve"> é aplicável apenas durante a fase de operação, quando as entidades já geram receitas próprias.</w:t>
      </w:r>
    </w:p>
    <w:p w14:paraId="59B2C766" w14:textId="77777777" w:rsidR="002F61F3" w:rsidRDefault="00000000">
      <w:r>
        <w:t xml:space="preserve">Cada protocolo incluirá cláusulas de </w:t>
      </w:r>
      <w:r>
        <w:rPr>
          <w:b/>
        </w:rPr>
        <w:t>confidencialidade</w:t>
      </w:r>
      <w:r>
        <w:t xml:space="preserve">, </w:t>
      </w:r>
      <w:r>
        <w:rPr>
          <w:b/>
        </w:rPr>
        <w:t>exclusividade territorial</w:t>
      </w:r>
      <w:r>
        <w:t xml:space="preserve"> (por projeto), </w:t>
      </w:r>
      <w:r>
        <w:rPr>
          <w:b/>
        </w:rPr>
        <w:t>reporte trimestral</w:t>
      </w:r>
      <w:r>
        <w:t xml:space="preserve"> de atividades e </w:t>
      </w:r>
      <w:r>
        <w:rPr>
          <w:b/>
        </w:rPr>
        <w:t>resolução de conflitos</w:t>
      </w:r>
      <w:r>
        <w:t xml:space="preserve"> por mediação ou arbitragem.</w:t>
      </w:r>
    </w:p>
    <w:p w14:paraId="3A98838C" w14:textId="77777777" w:rsidR="002F61F3" w:rsidRDefault="00000000">
      <w:r>
        <w:t>O IPNS compromete-se a manter total transparência na gestão dos recursos captados e a respeitar a autonomia de cada entidade enquanto associação independente.</w:t>
      </w:r>
    </w:p>
    <w:p w14:paraId="07FB767E" w14:textId="77777777" w:rsidR="002F61F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4FD7113" w14:textId="77777777" w:rsidR="002F61F3" w:rsidRDefault="00000000">
      <w:pPr>
        <w:pStyle w:val="Ttulo2"/>
      </w:pPr>
      <w:r>
        <w:t>Referências</w:t>
      </w:r>
    </w:p>
    <w:p w14:paraId="19E7D3AD" w14:textId="77777777" w:rsidR="002F61F3" w:rsidRDefault="00000000">
      <w:r>
        <w:t>[1]: REWARD Consulting — Modelo de honorários 100% success fee para candidaturas a sistemas de incentivos (https://reward.pt)</w:t>
      </w:r>
    </w:p>
    <w:p w14:paraId="6DB04B4B" w14:textId="77777777" w:rsidR="002F61F3" w:rsidRDefault="00000000">
      <w:r>
        <w:t>[2]: Comissão Europeia — Simplified Cost Options: taxa de overhead de 5-15% para custos de gestão de projetos financiados por fundos europeus (https://ec.europa.eu)</w:t>
      </w:r>
    </w:p>
    <w:p w14:paraId="1F4565F9" w14:textId="77777777" w:rsidR="002F61F3" w:rsidRDefault="00000000">
      <w:r>
        <w:t>[3]: Portugal 2030 — Custos elegíveis incluem consultoria externa e gestão de projeto até 5-7% do custo total (https://portugal2030.pt)</w:t>
      </w:r>
    </w:p>
    <w:p w14:paraId="4363EEE8" w14:textId="60482B2B" w:rsidR="002F61F3" w:rsidRDefault="002F61F3"/>
    <w:sectPr w:rsidR="002F61F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263974">
    <w:abstractNumId w:val="8"/>
  </w:num>
  <w:num w:numId="2" w16cid:durableId="965038348">
    <w:abstractNumId w:val="6"/>
  </w:num>
  <w:num w:numId="3" w16cid:durableId="1526868917">
    <w:abstractNumId w:val="5"/>
  </w:num>
  <w:num w:numId="4" w16cid:durableId="1041587961">
    <w:abstractNumId w:val="4"/>
  </w:num>
  <w:num w:numId="5" w16cid:durableId="427115101">
    <w:abstractNumId w:val="7"/>
  </w:num>
  <w:num w:numId="6" w16cid:durableId="1396004586">
    <w:abstractNumId w:val="3"/>
  </w:num>
  <w:num w:numId="7" w16cid:durableId="214002845">
    <w:abstractNumId w:val="2"/>
  </w:num>
  <w:num w:numId="8" w16cid:durableId="1994093242">
    <w:abstractNumId w:val="1"/>
  </w:num>
  <w:num w:numId="9" w16cid:durableId="194379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1F3"/>
    <w:rsid w:val="00326F90"/>
    <w:rsid w:val="00AA1D8D"/>
    <w:rsid w:val="00B47730"/>
    <w:rsid w:val="00CB0664"/>
    <w:rsid w:val="00D04833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3DAF0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820</Words>
  <Characters>5064</Characters>
  <Application>Microsoft Office Word</Application>
  <DocSecurity>0</DocSecurity>
  <Lines>253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2026-03-10T19:37:00Z</dcterms:modified>
  <cp:category/>
</cp:coreProperties>
</file>