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Times New Roman" w:cs="Times New Roman" w:eastAsia="Times New Roman" w:hAnsi="Times New Roman"/>
          <w:b/>
          <w:bCs/>
          <w:sz w:val="28"/>
          <w:szCs w:val="28"/>
        </w:rPr>
        <w:t xml:space="preserve">4. Visual Interactive Analysis Workspace</w:t>
      </w:r>
    </w:p>
    <w:p>
      <w:pPr>
        <w:spacing w:after="160" w:before="0" w:line="360"/>
        <w:ind w:firstLine="720"/>
        <w:jc w:val="both"/>
      </w:pPr>
      <w:r>
        <w:rPr>
          <w:rFonts w:ascii="Times New Roman" w:cs="Times New Roman" w:eastAsia="Times New Roman" w:hAnsi="Times New Roman"/>
          <w:sz w:val="22"/>
          <w:szCs w:val="22"/>
        </w:rPr>
        <w:t xml:space="preserve">This section describes the design rationale, system architecture, interaction mechanisms, and analytical algorithms that underpin VariVis — a browser-based visual analytics workspace for the comparative study of theme-and-variation compositions. The system enables musicologists and performers to investigate how thematic material is transformed across a set of variations, combining symbolic score analysis with audio-derived performance features within a unified, interactive environment.</w:t>
      </w:r>
    </w:p>
    <w:p>
      <w:pPr>
        <w:pStyle w:val="Heading2"/>
        <w:spacing w:after="100" w:before="280"/>
      </w:pPr>
      <w:r>
        <w:rPr>
          <w:rFonts w:ascii="Times New Roman" w:cs="Times New Roman" w:eastAsia="Times New Roman" w:hAnsi="Times New Roman"/>
          <w:b/>
          <w:bCs/>
          <w:sz w:val="24"/>
          <w:szCs w:val="24"/>
        </w:rPr>
        <w:t xml:space="preserve">4.1  Design Rationale</w:t>
      </w:r>
    </w:p>
    <w:p>
      <w:pPr>
        <w:spacing w:after="160" w:before="0" w:line="360"/>
        <w:ind w:firstLine="720"/>
        <w:jc w:val="both"/>
      </w:pPr>
      <w:r>
        <w:rPr>
          <w:rFonts w:ascii="Times New Roman" w:cs="Times New Roman" w:eastAsia="Times New Roman" w:hAnsi="Times New Roman"/>
          <w:sz w:val="22"/>
          <w:szCs w:val="22"/>
        </w:rPr>
        <w:t xml:space="preserve">The workspace adheres to Shneiderman’s </w:t>
      </w:r>
      <w:r>
        <w:rPr>
          <w:rFonts w:ascii="Times New Roman" w:cs="Times New Roman" w:eastAsia="Times New Roman" w:hAnsi="Times New Roman"/>
          <w:i/>
          <w:iCs/>
          <w:sz w:val="22"/>
          <w:szCs w:val="22"/>
        </w:rPr>
        <w:t xml:space="preserve">Visual Information Seeking Mantra</w:t>
      </w:r>
      <w:r>
        <w:rPr>
          <w:rFonts w:ascii="Times New Roman" w:cs="Times New Roman" w:eastAsia="Times New Roman" w:hAnsi="Times New Roman"/>
          <w:sz w:val="22"/>
          <w:szCs w:val="22"/>
        </w:rPr>
        <w:t xml:space="preserve"> [CITE]: “Overview first, zoom and filter, then details on demand.” This principle maps directly onto the analytical workflow of variation study: an analyst first requires a birds-eye view of how all variations relate to the theme, then narrows attention to a specific variation or structural section, and finally interrogates individual features — harmonic function, rhythmic density, melodic contour — at measure or beat resolution. Each design decision in VariVis is anchored to this progression from macro to micro.</w:t>
      </w:r>
    </w:p>
    <w:p>
      <w:pPr>
        <w:spacing w:after="160" w:before="0" w:line="360"/>
        <w:ind w:firstLine="720"/>
        <w:jc w:val="both"/>
      </w:pPr>
      <w:r>
        <w:rPr>
          <w:rFonts w:ascii="Times New Roman" w:cs="Times New Roman" w:eastAsia="Times New Roman" w:hAnsi="Times New Roman"/>
          <w:sz w:val="22"/>
          <w:szCs w:val="22"/>
        </w:rPr>
        <w:t xml:space="preserve">Beyond navigation, the system is informed by the </w:t>
      </w:r>
      <w:r>
        <w:rPr>
          <w:rFonts w:ascii="Times New Roman" w:cs="Times New Roman" w:eastAsia="Times New Roman" w:hAnsi="Times New Roman"/>
          <w:i/>
          <w:iCs/>
          <w:sz w:val="22"/>
          <w:szCs w:val="22"/>
        </w:rPr>
        <w:t xml:space="preserve">multiple coordinated views</w:t>
      </w:r>
      <w:r>
        <w:rPr>
          <w:rFonts w:ascii="Times New Roman" w:cs="Times New Roman" w:eastAsia="Times New Roman" w:hAnsi="Times New Roman"/>
          <w:sz w:val="22"/>
          <w:szCs w:val="22"/>
        </w:rPr>
        <w:t xml:space="preserve"> paradigm [CITE], which posits that complex analytical tasks are best supported by several juxtaposed representations of the same data, each revealing a different facet. Theme-and-variation analysis is inherently multi-dimensional: a variation may preserve the harmonic skeleton while radically altering rhythmic texture, or retain the melodic contour while shifting modal affect. No single representation suffices; coordinated views allow analysts to triangulate evidence across dimensions simultaneously.</w:t>
      </w:r>
    </w:p>
    <w:p>
      <w:pPr>
        <w:pStyle w:val="Heading2"/>
        <w:spacing w:after="100" w:before="280"/>
      </w:pPr>
      <w:r>
        <w:rPr>
          <w:rFonts w:ascii="Times New Roman" w:cs="Times New Roman" w:eastAsia="Times New Roman" w:hAnsi="Times New Roman"/>
          <w:b/>
          <w:bCs/>
          <w:sz w:val="24"/>
          <w:szCs w:val="24"/>
        </w:rPr>
        <w:t xml:space="preserve">4.2  System Architecture</w:t>
      </w:r>
    </w:p>
    <w:p>
      <w:pPr>
        <w:spacing w:after="160" w:before="0" w:line="360"/>
        <w:ind w:firstLine="720"/>
        <w:jc w:val="both"/>
      </w:pPr>
      <w:r>
        <w:rPr>
          <w:rFonts w:ascii="Times New Roman" w:cs="Times New Roman" w:eastAsia="Times New Roman" w:hAnsi="Times New Roman"/>
          <w:sz w:val="22"/>
          <w:szCs w:val="22"/>
        </w:rPr>
        <w:t xml:space="preserve">VariVis is implemented as a single-page web application (React, TypeScript) communicating with a Python/FastAPI backend. The frontend is structured around a persistent three-column shell — </w:t>
      </w:r>
      <w:r>
        <w:rPr>
          <w:rFonts w:ascii="Times New Roman" w:cs="Times New Roman" w:eastAsia="Times New Roman" w:hAnsi="Times New Roman"/>
          <w:b/>
          <w:bCs/>
          <w:sz w:val="22"/>
          <w:szCs w:val="22"/>
        </w:rPr>
        <w:t xml:space="preserve">sidebar</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main workspace</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score panel</w:t>
      </w:r>
      <w:r>
        <w:rPr>
          <w:rFonts w:ascii="Times New Roman" w:cs="Times New Roman" w:eastAsia="Times New Roman" w:hAnsi="Times New Roman"/>
          <w:sz w:val="22"/>
          <w:szCs w:val="22"/>
        </w:rPr>
        <w:t xml:space="preserve"> — within which a set of loosely coupled analytical views are rendered on demand.</w:t>
      </w:r>
    </w:p>
    <w:p>
      <w:pPr>
        <w:spacing w:after="160" w:before="0" w:line="360"/>
        <w:ind w:firstLine="720"/>
        <w:jc w:val="both"/>
      </w:pPr>
      <w:r>
        <w:rPr>
          <w:rFonts w:ascii="Times New Roman" w:cs="Times New Roman" w:eastAsia="Times New Roman" w:hAnsi="Times New Roman"/>
          <w:sz w:val="22"/>
          <w:szCs w:val="22"/>
        </w:rPr>
        <w:t xml:space="preserve">The sidebar serves a dual function: (1) a hierarchical corpus browser organised by composer and catalogue number, enabling piece and performance-version selection; and (2) a persistent Delta Heatmap that compares all extracted features across variations for the currently focused piece. This placement ensures that high-level variation statistics remain visible regardless of which analytical view occupies the main workspace.</w:t>
      </w:r>
    </w:p>
    <w:p>
      <w:pPr>
        <w:spacing w:after="160" w:before="0" w:line="360"/>
        <w:ind w:firstLine="720"/>
        <w:jc w:val="both"/>
      </w:pPr>
      <w:r>
        <w:rPr>
          <w:rFonts w:ascii="Times New Roman" w:cs="Times New Roman" w:eastAsia="Times New Roman" w:hAnsi="Times New Roman"/>
          <w:sz w:val="22"/>
          <w:szCs w:val="22"/>
        </w:rPr>
        <w:t xml:space="preserve">The main workspace hosts six coordinated analytical views, selectable via a tab bar:</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Focus View (Corpus Style View). </w:t>
      </w:r>
      <w:r>
        <w:rPr>
          <w:rFonts w:ascii="Times New Roman" w:cs="Times New Roman" w:eastAsia="Times New Roman" w:hAnsi="Times New Roman"/>
          <w:sz w:val="22"/>
          <w:szCs w:val="22"/>
        </w:rPr>
        <w:t xml:space="preserve">The default landing view. A compact strip comparison of all variations, with four embedded sub-views — Chroma Ring, Pitch Contour, Rhythm Bubble, and Russell Valence/Arousal — displayed side by side across the variation strip. Segment-level selection propagates to all other views.</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Mental Landscape. </w:t>
      </w:r>
      <w:r>
        <w:rPr>
          <w:rFonts w:ascii="Times New Roman" w:cs="Times New Roman" w:eastAsia="Times New Roman" w:hAnsi="Times New Roman"/>
          <w:sz w:val="22"/>
          <w:szCs w:val="22"/>
        </w:rPr>
        <w:t xml:space="preserve">A continuous landscape metaphor mapping audio-derived tension, brightness, and mode indicators over time, designed to communicate large-scale structural shape to non-expert audiences.</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Tension × Ornament. </w:t>
      </w:r>
      <w:r>
        <w:rPr>
          <w:rFonts w:ascii="Times New Roman" w:cs="Times New Roman" w:eastAsia="Times New Roman" w:hAnsi="Times New Roman"/>
          <w:sz w:val="22"/>
          <w:szCs w:val="22"/>
        </w:rPr>
        <w:t xml:space="preserve">A dual-panel view combining a tension curve (onset density and harmonic dissonance) with ornament event markers extracted from MIDI and symbolic analysis, supporting segment-level tooltip inspection.</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Delta Heatmap. </w:t>
      </w:r>
      <w:r>
        <w:rPr>
          <w:rFonts w:ascii="Times New Roman" w:cs="Times New Roman" w:eastAsia="Times New Roman" w:hAnsi="Times New Roman"/>
          <w:sz w:val="22"/>
          <w:szCs w:val="22"/>
        </w:rPr>
        <w:t xml:space="preserve">An expanded feature-comparison view supporting five chart types (heatmap, radar, bar, line, scatter) across 33 symbolic and audio features, designed for systematic cross-variation comparison.</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Timbre PCA. </w:t>
      </w:r>
      <w:r>
        <w:rPr>
          <w:rFonts w:ascii="Times New Roman" w:cs="Times New Roman" w:eastAsia="Times New Roman" w:hAnsi="Times New Roman"/>
          <w:sz w:val="22"/>
          <w:szCs w:val="22"/>
        </w:rPr>
        <w:t xml:space="preserve">Projects MFCC-derived timbre vectors for each variation segment onto a two-dimensional plane via Principal Component Analysis, revealing timbral clustering and outliers across the variation set.</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A composite summary panel aggregating key statistics from all feature categories, serving as a starting point for first-time exploration of an unfamiliar piece.</w:t>
      </w:r>
    </w:p>
    <w:p>
      <w:pPr>
        <w:spacing w:after="160" w:before="0" w:line="360"/>
        <w:ind w:firstLine="720"/>
        <w:jc w:val="both"/>
      </w:pPr>
      <w:r>
        <w:rPr>
          <w:rFonts w:ascii="Times New Roman" w:cs="Times New Roman" w:eastAsia="Times New Roman" w:hAnsi="Times New Roman"/>
          <w:sz w:val="22"/>
          <w:szCs w:val="22"/>
        </w:rPr>
        <w:t xml:space="preserve">The score panel displays either a PDF facsimile (IMSLP edition) or an interactive MusicXML rendering powered by OpenSheetMusicDisplay (OSMD). In MusicXML mode, the score is augmented with colour-coded harmonic function overlays and the main workspace is hidden, allowing the score to expand to full width.</w:t>
      </w:r>
    </w:p>
    <w:p>
      <w:pPr>
        <w:pStyle w:val="Heading2"/>
        <w:spacing w:after="100" w:before="280"/>
      </w:pPr>
      <w:r>
        <w:rPr>
          <w:rFonts w:ascii="Times New Roman" w:cs="Times New Roman" w:eastAsia="Times New Roman" w:hAnsi="Times New Roman"/>
          <w:b/>
          <w:bCs/>
          <w:sz w:val="24"/>
          <w:szCs w:val="24"/>
        </w:rPr>
        <w:t xml:space="preserve">4.3  Interaction Mechanisms</w:t>
      </w:r>
    </w:p>
    <w:p>
      <w:pPr>
        <w:spacing w:after="160" w:before="0" w:line="360"/>
        <w:ind w:firstLine="720"/>
        <w:jc w:val="both"/>
      </w:pPr>
      <w:r>
        <w:rPr>
          <w:rFonts w:ascii="Times New Roman" w:cs="Times New Roman" w:eastAsia="Times New Roman" w:hAnsi="Times New Roman"/>
          <w:sz w:val="22"/>
          <w:szCs w:val="22"/>
        </w:rPr>
        <w:t xml:space="preserve">The core interaction paradigm is </w:t>
      </w:r>
      <w:r>
        <w:rPr>
          <w:rFonts w:ascii="Times New Roman" w:cs="Times New Roman" w:eastAsia="Times New Roman" w:hAnsi="Times New Roman"/>
          <w:i/>
          <w:iCs/>
          <w:sz w:val="22"/>
          <w:szCs w:val="22"/>
        </w:rPr>
        <w:t xml:space="preserve">linking and brushing</w:t>
      </w:r>
      <w:r>
        <w:rPr>
          <w:rFonts w:ascii="Times New Roman" w:cs="Times New Roman" w:eastAsia="Times New Roman" w:hAnsi="Times New Roman"/>
          <w:sz w:val="22"/>
          <w:szCs w:val="22"/>
        </w:rPr>
        <w:t xml:space="preserve"> [CITE]: a selection or filter applied in one view propagates instantaneously to all other views, so that the analyst always sees multiple perspectives on the same data subset. In VariVis, linking operates across three granularity levels:</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Corpus level. </w:t>
      </w:r>
      <w:r>
        <w:rPr>
          <w:rFonts w:ascii="Times New Roman" w:cs="Times New Roman" w:eastAsia="Times New Roman" w:hAnsi="Times New Roman"/>
          <w:sz w:val="22"/>
          <w:szCs w:val="22"/>
        </w:rPr>
        <w:t xml:space="preserve">Selecting a piece version from the sidebar corpus browser sets the global focused file. All main workspace views and the score panel reload to reflect the new piece. Multiple pieces can be loaded simultaneously; focus shifts between them without unloading data.</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Segment level. </w:t>
      </w:r>
      <w:r>
        <w:rPr>
          <w:rFonts w:ascii="Times New Roman" w:cs="Times New Roman" w:eastAsia="Times New Roman" w:hAnsi="Times New Roman"/>
          <w:sz w:val="22"/>
          <w:szCs w:val="22"/>
        </w:rPr>
        <w:t xml:space="preserve">Clicking a variation strip in the Focus View, or a segment label in any detail view, filters feature sub-views to that segment. Chroma Ring, Pitch Contour, Rhythm Bubble, and Russell V/A all update, with the Theme always rendered as a reference baseline.</w:t>
      </w:r>
    </w:p>
    <w:p>
      <w:pPr>
        <w:pStyle w:val="ListParagraph"/>
        <w:numPr>
          <w:ilvl w:val="0"/>
          <w:numId w:val="2"/>
        </w:numPr>
        <w:spacing w:after="80" w:before="0" w:line="320"/>
      </w:pPr>
      <w:r>
        <w:rPr>
          <w:rFonts w:ascii="Times New Roman" w:cs="Times New Roman" w:eastAsia="Times New Roman" w:hAnsi="Times New Roman"/>
          <w:b/>
          <w:bCs/>
          <w:sz w:val="22"/>
          <w:szCs w:val="22"/>
        </w:rPr>
        <w:t xml:space="preserve">Playback level. </w:t>
      </w:r>
      <w:r>
        <w:rPr>
          <w:rFonts w:ascii="Times New Roman" w:cs="Times New Roman" w:eastAsia="Times New Roman" w:hAnsi="Times New Roman"/>
          <w:sz w:val="22"/>
          <w:szCs w:val="22"/>
        </w:rPr>
        <w:t xml:space="preserve">An embedded audio player in each piece header drives a shared playback-time state, broadcast to sub-views that support temporal scrubbing. This enables analysts to correlate sonic events with their visual counterparts in real time.</w:t>
      </w:r>
    </w:p>
    <w:p>
      <w:pPr>
        <w:spacing w:after="160" w:before="0" w:line="360"/>
        <w:ind w:firstLine="720"/>
        <w:jc w:val="both"/>
      </w:pPr>
      <w:r>
        <w:rPr>
          <w:rFonts w:ascii="Times New Roman" w:cs="Times New Roman" w:eastAsia="Times New Roman" w:hAnsi="Times New Roman"/>
          <w:sz w:val="22"/>
          <w:szCs w:val="22"/>
        </w:rPr>
        <w:t xml:space="preserve">In addition to linking, the system supports progressive disclosure through on-demand detail overlays. Hovering an ornament event marker in the Tension × Ornament view triggers a tooltip showing ornament type, beat position, and MIDI pitch. In the Delta Heatmap, hovering a cell reveals the raw feature value alongside a distribution indicator contextualising the variation within the corpus. These mechanisms implement the "details on demand" tier of Shneiderman’s mantra without permanently occupying screen real estate.</w:t>
      </w:r>
    </w:p>
    <w:p>
      <w:pPr>
        <w:pStyle w:val="Heading2"/>
        <w:spacing w:after="100" w:before="280"/>
      </w:pPr>
      <w:r>
        <w:rPr>
          <w:rFonts w:ascii="Times New Roman" w:cs="Times New Roman" w:eastAsia="Times New Roman" w:hAnsi="Times New Roman"/>
          <w:b/>
          <w:bCs/>
          <w:sz w:val="24"/>
          <w:szCs w:val="24"/>
        </w:rPr>
        <w:t xml:space="preserve">4.4  Analytical Algorithms</w:t>
      </w:r>
    </w:p>
    <w:p>
      <w:pPr>
        <w:spacing w:after="160" w:before="0" w:line="360"/>
        <w:ind w:firstLine="720"/>
        <w:jc w:val="both"/>
      </w:pPr>
      <w:r>
        <w:rPr>
          <w:rFonts w:ascii="Times New Roman" w:cs="Times New Roman" w:eastAsia="Times New Roman" w:hAnsi="Times New Roman"/>
          <w:sz w:val="22"/>
          <w:szCs w:val="22"/>
        </w:rPr>
        <w:t xml:space="preserve">VariVis integrates several computational methods, each addressing a distinct analytical question.</w:t>
      </w:r>
    </w:p>
    <w:p>
      <w:pPr>
        <w:spacing w:after="160" w:before="0" w:line="360"/>
        <w:ind w:firstLine="720"/>
        <w:jc w:val="both"/>
      </w:pPr>
      <w:r>
        <w:rPr>
          <w:rFonts w:ascii="Times New Roman" w:cs="Times New Roman" w:eastAsia="Times New Roman" w:hAnsi="Times New Roman"/>
          <w:b/>
          <w:bCs/>
          <w:sz w:val="22"/>
          <w:szCs w:val="22"/>
        </w:rPr>
        <w:t xml:space="preserve">Pitch Extraction (pYIN). </w:t>
      </w:r>
      <w:r>
        <w:rPr>
          <w:rFonts w:ascii="Times New Roman" w:cs="Times New Roman" w:eastAsia="Times New Roman" w:hAnsi="Times New Roman"/>
          <w:sz w:val="22"/>
          <w:szCs w:val="22"/>
        </w:rPr>
        <w:t xml:space="preserve">Fundamental frequency contours are extracted from audio using the Probabilistic YIN algorithm [CITE]. pYIN produces a beat-aligned sequence of MIDI pitch estimates, serving as input for pitch contour visualisation, melodic distance computation, and Russell V/A mapping. For recordings where pYIN yields insufficient coverage, chroma-based fallback features are used.</w:t>
      </w:r>
    </w:p>
    <w:p>
      <w:pPr>
        <w:spacing w:after="160" w:before="0" w:line="360"/>
        <w:ind w:firstLine="720"/>
        <w:jc w:val="both"/>
      </w:pPr>
      <w:r>
        <w:rPr>
          <w:rFonts w:ascii="Times New Roman" w:cs="Times New Roman" w:eastAsia="Times New Roman" w:hAnsi="Times New Roman"/>
          <w:b/>
          <w:bCs/>
          <w:sz w:val="22"/>
          <w:szCs w:val="22"/>
        </w:rPr>
        <w:t xml:space="preserve">Melody Skeleton Extraction. </w:t>
      </w:r>
      <w:r>
        <w:rPr>
          <w:rFonts w:ascii="Times New Roman" w:cs="Times New Roman" w:eastAsia="Times New Roman" w:hAnsi="Times New Roman"/>
          <w:sz w:val="22"/>
          <w:szCs w:val="22"/>
        </w:rPr>
        <w:t xml:space="preserve">Melodic reduction follows the graph-theoretic framework of Wang et al. [CITE: ISMIR 2025]. The top voice of a MusicXML score is modelled as a directed weighted graph in which nodes correspond to notes and edge costs encode tonal relationships: Passing Edge (PE = 0.1), Leaping Edge (LE = 0.3), Implied Passing Edge (IPE = 1.0), Implied Leaping Edge (ILE = 1.3), Arpeggiation Edge (AE = 1.5), and Unrelated Edge (UE = 3.0). Dijkstra’s shortest-path algorithm identifies the minimum-cost path through this graph, yielding a structurally significant melodic skeleton. Note importance is further modulated by a composite weight α = α_p × α_o × α_d × α_h capturing metric position, ornamental status, duration, and harmonic function, with a temporal exponent η = 1.6 penalising long temporal gaps between retained notes.</w:t>
      </w:r>
    </w:p>
    <w:p>
      <w:pPr>
        <w:spacing w:after="160" w:before="0" w:line="360"/>
        <w:ind w:firstLine="720"/>
        <w:jc w:val="both"/>
      </w:pPr>
      <w:r>
        <w:rPr>
          <w:rFonts w:ascii="Times New Roman" w:cs="Times New Roman" w:eastAsia="Times New Roman" w:hAnsi="Times New Roman"/>
          <w:b/>
          <w:bCs/>
          <w:sz w:val="22"/>
          <w:szCs w:val="22"/>
        </w:rPr>
        <w:t xml:space="preserve">Three-Level Schenkerian Reduction. </w:t>
      </w:r>
      <w:r>
        <w:rPr>
          <w:rFonts w:ascii="Times New Roman" w:cs="Times New Roman" w:eastAsia="Times New Roman" w:hAnsi="Times New Roman"/>
          <w:sz w:val="22"/>
          <w:szCs w:val="22"/>
        </w:rPr>
        <w:t xml:space="preserve">Building on the Dijkstra skeleton, VariVis implements a three-level hierarchical reduction inspired by Schenkerian analysis. The </w:t>
      </w:r>
      <w:r>
        <w:rPr>
          <w:rFonts w:ascii="Times New Roman" w:cs="Times New Roman" w:eastAsia="Times New Roman" w:hAnsi="Times New Roman"/>
          <w:i/>
          <w:iCs/>
          <w:sz w:val="22"/>
          <w:szCs w:val="22"/>
        </w:rPr>
        <w:t xml:space="preserve">foreground</w:t>
      </w:r>
      <w:r>
        <w:rPr>
          <w:rFonts w:ascii="Times New Roman" w:cs="Times New Roman" w:eastAsia="Times New Roman" w:hAnsi="Times New Roman"/>
          <w:sz w:val="22"/>
          <w:szCs w:val="22"/>
        </w:rPr>
        <w:t xml:space="preserve"> level (metric weight ≥ 0.0, span ≤ 2 measures) reproduces the full Dijkstra skeleton. The </w:t>
      </w:r>
      <w:r>
        <w:rPr>
          <w:rFonts w:ascii="Times New Roman" w:cs="Times New Roman" w:eastAsia="Times New Roman" w:hAnsi="Times New Roman"/>
          <w:i/>
          <w:iCs/>
          <w:sz w:val="22"/>
          <w:szCs w:val="22"/>
        </w:rPr>
        <w:t xml:space="preserve">midground</w:t>
      </w:r>
      <w:r>
        <w:rPr>
          <w:rFonts w:ascii="Times New Roman" w:cs="Times New Roman" w:eastAsia="Times New Roman" w:hAnsi="Times New Roman"/>
          <w:sz w:val="22"/>
          <w:szCs w:val="22"/>
        </w:rPr>
        <w:t xml:space="preserve"> level (weight ≥ 2.0, span ≤ 4 measures) retains only notes on strong metric positions (beats 1 and 3 in common time). The </w:t>
      </w:r>
      <w:r>
        <w:rPr>
          <w:rFonts w:ascii="Times New Roman" w:cs="Times New Roman" w:eastAsia="Times New Roman" w:hAnsi="Times New Roman"/>
          <w:i/>
          <w:iCs/>
          <w:sz w:val="22"/>
          <w:szCs w:val="22"/>
        </w:rPr>
        <w:t xml:space="preserve">background</w:t>
      </w:r>
      <w:r>
        <w:rPr>
          <w:rFonts w:ascii="Times New Roman" w:cs="Times New Roman" w:eastAsia="Times New Roman" w:hAnsi="Times New Roman"/>
          <w:sz w:val="22"/>
          <w:szCs w:val="22"/>
        </w:rPr>
        <w:t xml:space="preserve"> level (weight ≥ 4.0, span ≤ 8 measures) captures downbeat structural tones approximating the Ursatz. The three levels are rendered with distinct visual encodings in the piano roll visualisation: filled note rectangles for the foreground, orange outlines for the midground, and gold outlines for the background, each accompanied by a connecting polyline.</w:t>
      </w:r>
    </w:p>
    <w:p>
      <w:pPr>
        <w:spacing w:after="160" w:before="0" w:line="360"/>
        <w:ind w:firstLine="720"/>
        <w:jc w:val="both"/>
      </w:pPr>
      <w:r>
        <w:rPr>
          <w:rFonts w:ascii="Times New Roman" w:cs="Times New Roman" w:eastAsia="Times New Roman" w:hAnsi="Times New Roman"/>
          <w:b/>
          <w:bCs/>
          <w:sz w:val="22"/>
          <w:szCs w:val="22"/>
        </w:rPr>
        <w:t xml:space="preserve">Melodic Distance Analysis (MDA). </w:t>
      </w:r>
      <w:r>
        <w:rPr>
          <w:rFonts w:ascii="Times New Roman" w:cs="Times New Roman" w:eastAsia="Times New Roman" w:hAnsi="Times New Roman"/>
          <w:sz w:val="22"/>
          <w:szCs w:val="22"/>
        </w:rPr>
        <w:t xml:space="preserve">Cross-variation similarity is quantified using a composite distance k = w_p·k_p + w_t·k_t + w_h·k_h, where k_p is pitch-contour distance (cosine dissimilarity of pYIN beat-MIDI sequences), k_t is rhythmic distance (onset density and tempo ratio), and k_h is harmonic distance (chroma cosine dissimilarity). Default weights are w_p = 0.5, w_t = 0.3, w_h = 0.2. Sub-distances are displayed independently, allowing analysts to identify which dimension — melodic, rhythmic, or harmonic — is most preserved or transformed in each variation.</w:t>
      </w:r>
    </w:p>
    <w:p>
      <w:pPr>
        <w:spacing w:after="160" w:before="0" w:line="360"/>
        <w:ind w:firstLine="720"/>
        <w:jc w:val="both"/>
      </w:pPr>
      <w:r>
        <w:rPr>
          <w:rFonts w:ascii="Times New Roman" w:cs="Times New Roman" w:eastAsia="Times New Roman" w:hAnsi="Times New Roman"/>
          <w:b/>
          <w:bCs/>
          <w:sz w:val="22"/>
          <w:szCs w:val="22"/>
        </w:rPr>
        <w:t xml:space="preserve">Harmonic Function Analysis. </w:t>
      </w:r>
      <w:r>
        <w:rPr>
          <w:rFonts w:ascii="Times New Roman" w:cs="Times New Roman" w:eastAsia="Times New Roman" w:hAnsi="Times New Roman"/>
          <w:sz w:val="22"/>
          <w:szCs w:val="22"/>
        </w:rPr>
        <w:t xml:space="preserve">Harmonic content is analysed per measure via a music21-based chord recognition pipeline. Each measure is labelled with a tonal function: Tonic (T), Subdominant (S), Dominant (D), or Other (O), using the key inferred by music21’s key-finding algorithm. In the MusicXML score panel, measures are overlaid with translucent colour rectangles (T = green, S = indigo, D = red, O = grey), and a stacked-bar chart beneath the score summarises harmonic function proportions per section. This operationalises the observation that variations typically preserve the theme’s harmonic rhythm while altering surface-level texture.</w:t>
      </w:r>
    </w:p>
    <w:p>
      <w:pPr>
        <w:spacing w:after="160" w:before="0" w:line="360"/>
        <w:ind w:firstLine="720"/>
        <w:jc w:val="both"/>
      </w:pPr>
      <w:r>
        <w:rPr>
          <w:rFonts w:ascii="Times New Roman" w:cs="Times New Roman" w:eastAsia="Times New Roman" w:hAnsi="Times New Roman"/>
          <w:b/>
          <w:bCs/>
          <w:sz w:val="22"/>
          <w:szCs w:val="22"/>
        </w:rPr>
        <w:t xml:space="preserve">Russell Valence/Arousal Mapping. </w:t>
      </w:r>
      <w:r>
        <w:rPr>
          <w:rFonts w:ascii="Times New Roman" w:cs="Times New Roman" w:eastAsia="Times New Roman" w:hAnsi="Times New Roman"/>
          <w:sz w:val="22"/>
          <w:szCs w:val="22"/>
        </w:rPr>
        <w:t xml:space="preserve">Emotional character is represented using the two-dimensional Russell Circumplex Model [CITE], mapping each segment to a point in valence–arousal space. Valence is estimated from mode (major/minor) and chroma interval content; arousal from onset density, pitch range, and rhythmic regularity. The resulting scatter plot enables rapid identification of affectively distinctive variations, such as the minor-mode variation in Mozart K.265 (Var. XII), which clusters in the low-valence quadrant, contrasting with the predominantly positive-valence theme.</w:t>
      </w:r>
    </w:p>
    <w:p>
      <w:pPr>
        <w:pStyle w:val="Heading2"/>
        <w:spacing w:after="100" w:before="280"/>
      </w:pPr>
      <w:r>
        <w:rPr>
          <w:rFonts w:ascii="Times New Roman" w:cs="Times New Roman" w:eastAsia="Times New Roman" w:hAnsi="Times New Roman"/>
          <w:b/>
          <w:bCs/>
          <w:sz w:val="24"/>
          <w:szCs w:val="24"/>
        </w:rPr>
        <w:t xml:space="preserve">4.5  Implementation Notes</w:t>
      </w:r>
    </w:p>
    <w:p>
      <w:pPr>
        <w:spacing w:after="160" w:before="0" w:line="360"/>
        <w:ind w:firstLine="720"/>
        <w:jc w:val="both"/>
      </w:pPr>
      <w:r>
        <w:rPr>
          <w:rFonts w:ascii="Times New Roman" w:cs="Times New Roman" w:eastAsia="Times New Roman" w:hAnsi="Times New Roman"/>
          <w:sz w:val="22"/>
          <w:szCs w:val="22"/>
        </w:rPr>
        <w:t xml:space="preserve">The backend is implemented in Python 3.11 with FastAPI, music21 (v9) for symbolic score parsing, librosa for audio feature extraction, and NumPy/SciPy for numerical computation. MusicXML files are cached after first parse; annotated score variants (harmonic overlays) are stored as pre-computed XML. The frontend uses React 18 (TypeScript) and Vite, with OpenSheetMusicDisplay 1.8 for score rendering. Inter-component state is managed via React hooks without an external state library. The system has been evaluated on a corpus of 24 recordings comprising theme-and-variation works by W. A. Mozart (K.265), L. van Beethoven (Op. 34), and F. J. Haydn (Hob. XVII).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2026-05-01T11:36:18.589Z</dcterms:created>
  <dcterms:modified xsi:type="dcterms:W3CDTF">2026-05-01T11:36:18.589Z</dcterms:modified>
</cp:coreProperties>
</file>

<file path=docProps/custom.xml><?xml version="1.0" encoding="utf-8"?>
<Properties xmlns="http://schemas.openxmlformats.org/officeDocument/2006/custom-properties" xmlns:vt="http://schemas.openxmlformats.org/officeDocument/2006/docPropsVTypes"/>
</file>