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60"/>
      </w:pPr>
      <w:r>
        <w:rPr>
          <w:rFonts w:ascii="SimSun" w:cs="SimSun" w:eastAsia="SimSun" w:hAnsi="SimSun"/>
          <w:b/>
          <w:bCs/>
          <w:sz w:val="28"/>
          <w:szCs w:val="28"/>
        </w:rPr>
        <w:t xml:space="preserve">5. 分析用例</w:t>
      </w:r>
    </w:p>
    <w:p>
      <w:pPr>
        <w:spacing w:after="160" w:before="0" w:line="360"/>
        <w:ind w:firstLine="440"/>
        <w:jc w:val="both"/>
      </w:pPr>
      <w:r>
        <w:rPr>
          <w:rFonts w:ascii="SimSun" w:cs="SimSun" w:eastAsia="SimSun" w:hAnsi="SimSun"/>
          <w:sz w:val="22"/>
          <w:szCs w:val="22"/>
        </w:rPr>
        <w:t xml:space="preserve">本章通过三个具体的分析用例，展示 VariVis 如何支持音乐学家和演奏者在不同分析目标下对主题与变奏作品进行系统性探索。每个用例均遵循"假设—工作流—证据—结论"的写作逻辑，以证明系统的交互设计能够有效引导用户从宏观统计发现迁移至微观音乐细节，并最终形成可验证的音乐学洞见。</w:t>
      </w:r>
    </w:p>
    <w:p>
      <w:pPr>
        <w:pStyle w:val="Heading2"/>
        <w:spacing w:after="100" w:before="280"/>
      </w:pPr>
      <w:r>
        <w:rPr>
          <w:rFonts w:ascii="SimSun" w:cs="SimSun" w:eastAsia="SimSun" w:hAnsi="SimSun"/>
          <w:b/>
          <w:bCs/>
          <w:sz w:val="24"/>
          <w:szCs w:val="24"/>
        </w:rPr>
        <w:t xml:space="preserve">5.1  用例一：莫扎特 K.265 旋律骨架在变奏中的保留程度</w:t>
      </w:r>
    </w:p>
    <w:p>
      <w:pPr>
        <w:pStyle w:val="Heading3"/>
        <w:spacing w:after="80" w:before="200"/>
      </w:pPr>
      <w:r>
        <w:rPr>
          <w:rFonts w:ascii="SimSun" w:cs="SimSun" w:eastAsia="SimSun" w:hAnsi="SimSun"/>
          <w:b/>
          <w:bCs/>
          <w:sz w:val="22"/>
          <w:szCs w:val="22"/>
        </w:rPr>
        <w:t xml:space="preserve">场景与任务</w:t>
      </w:r>
    </w:p>
    <w:p>
      <w:pPr>
        <w:spacing w:after="160" w:before="0" w:line="360"/>
        <w:ind w:firstLine="440"/>
        <w:jc w:val="both"/>
      </w:pPr>
      <w:r>
        <w:rPr>
          <w:rFonts w:ascii="SimSun" w:cs="SimSun" w:eastAsia="SimSun" w:hAnsi="SimSun"/>
          <w:sz w:val="22"/>
          <w:szCs w:val="22"/>
        </w:rPr>
        <w:t xml:space="preserve">一位音乐学研究者希望验证以下假设：莫扎特 K.265《小星星变奏曲》在风格迥异的十二段变奏中，旋律的深层骨架（即申克分析意义上的结构主干音）是否始终保持稳定，抑或某些变奏已在结构层面发生实质性偏离。该任务对应系统需求中的 [T2] 跨变奏比较分析与 [T3] 多维特征对比。</w:t>
      </w:r>
    </w:p>
    <w:p>
      <w:pPr>
        <w:pStyle w:val="Heading3"/>
        <w:spacing w:after="80" w:before="200"/>
      </w:pPr>
      <w:r>
        <w:rPr>
          <w:rFonts w:ascii="SimSun" w:cs="SimSun" w:eastAsia="SimSun" w:hAnsi="SimSun"/>
          <w:b/>
          <w:bCs/>
          <w:sz w:val="22"/>
          <w:szCs w:val="22"/>
        </w:rPr>
        <w:t xml:space="preserve">数据配置</w:t>
      </w:r>
    </w:p>
    <w:p>
      <w:pPr>
        <w:spacing w:after="160" w:before="0" w:line="360"/>
        <w:ind w:firstLine="440"/>
        <w:jc w:val="both"/>
      </w:pPr>
      <w:r>
        <w:rPr>
          <w:rFonts w:ascii="SimSun" w:cs="SimSun" w:eastAsia="SimSun" w:hAnsi="SimSun"/>
          <w:sz w:val="22"/>
          <w:szCs w:val="22"/>
        </w:rPr>
        <w:t xml:space="preserve">研究者在左侧语料库浏览器中展开莫扎特分组，选中 K.265 的第一演奏版本（WAMozart_K265_1）。系统自动加载该曲目的全部音频特征与 MusicXML 符号谱面，并在侧边栏差异热力图中呈现主题与 12 段变奏在 33 个特征维度上的整体分布。研究者将注意力集中在旋律相关特征子集：音高轮廓距离（k_p）、旋律骨架匹配率（Dijkstra 路径覆盖）及色度余弦距离（k_h），暂时忽略节奏与音色维度。</w:t>
      </w:r>
    </w:p>
    <w:p>
      <w:pPr>
        <w:pStyle w:val="Heading3"/>
        <w:spacing w:after="80" w:before="200"/>
      </w:pPr>
      <w:r>
        <w:rPr>
          <w:rFonts w:ascii="SimSun" w:cs="SimSun" w:eastAsia="SimSun" w:hAnsi="SimSun"/>
          <w:b/>
          <w:bCs/>
          <w:sz w:val="22"/>
          <w:szCs w:val="22"/>
        </w:rPr>
        <w:t xml:space="preserve">交互路径</w:t>
      </w:r>
    </w:p>
    <w:p>
      <w:pPr>
        <w:spacing w:after="160" w:before="0" w:line="360"/>
        <w:ind w:firstLine="440"/>
        <w:jc w:val="both"/>
      </w:pPr>
      <w:r>
        <w:rPr>
          <w:rFonts w:ascii="SimSun" w:cs="SimSun" w:eastAsia="SimSun" w:hAnsi="SimSun"/>
          <w:sz w:val="22"/>
          <w:szCs w:val="22"/>
        </w:rPr>
        <w:t xml:space="preserve">研究者首先在焦点概览（Focus View）的变奏条带中观察各段变奏的音高轮廓折线。变奏 I 至 V 的折线走向与主题高度相似，曲线峰值位置基本重叠；而变奏 XI（小调变奏）的折线在第 8—16 小节出现明显下沉，提示调式转换引发了音高重心的整体偏移。</w:t>
      </w:r>
    </w:p>
    <w:p>
      <w:pPr>
        <w:spacing w:after="160" w:before="0" w:line="360"/>
        <w:ind w:firstLine="440"/>
        <w:jc w:val="both"/>
      </w:pPr>
      <w:r>
        <w:rPr>
          <w:rFonts w:ascii="SimSun" w:cs="SimSun" w:eastAsia="SimSun" w:hAnsi="SimSun"/>
          <w:sz w:val="22"/>
          <w:szCs w:val="22"/>
        </w:rPr>
        <w:t xml:space="preserve">随后，研究者切换至差异热力图主视图，选择"条形图"图表类型，以 k_p（音高轮廓距离）为主排序维度。热力图显示：变奏 I、III、V 的 k_p 值低于 0.12，属高保真区间；变奏 VII（装饰音密集型）和变奏 XI（小调）的 k_p 值分别为 0.31 和 0.47，与主题差异显著。</w:t>
      </w:r>
    </w:p>
    <w:p>
      <w:pPr>
        <w:spacing w:after="160" w:before="0" w:line="360"/>
        <w:ind w:firstLine="440"/>
        <w:jc w:val="both"/>
      </w:pPr>
      <w:r>
        <w:rPr>
          <w:rFonts w:ascii="SimSun" w:cs="SimSun" w:eastAsia="SimSun" w:hAnsi="SimSun"/>
          <w:sz w:val="22"/>
          <w:szCs w:val="22"/>
        </w:rPr>
        <w:t xml:space="preserve">为核实统计差异是否源于结构层的真实偏离，研究者点击右侧 MusicXML 按钮切换至和声功能视图，选中"Var. XI"乐段标签。OSMD 渲染出对应小节，和声功能色块显示该段的主功能（T）占比从主题的 62% 骤降至 38%，下属功能（S）与其他功能（O）显著增加，证实变奏 XI 在和声结构上的偏离不仅是表面音符的改变。</w:t>
      </w:r>
    </w:p>
    <w:p>
      <w:pPr>
        <w:pStyle w:val="Heading3"/>
        <w:spacing w:after="80" w:before="200"/>
      </w:pPr>
      <w:r>
        <w:rPr>
          <w:rFonts w:ascii="SimSun" w:cs="SimSun" w:eastAsia="SimSun" w:hAnsi="SimSun"/>
          <w:b/>
          <w:bCs/>
          <w:sz w:val="22"/>
          <w:szCs w:val="22"/>
        </w:rPr>
        <w:t xml:space="preserve">洞见</w:t>
      </w:r>
    </w:p>
    <w:p>
      <w:pPr>
        <w:spacing w:after="160" w:before="0" w:line="360"/>
        <w:ind w:firstLine="440"/>
        <w:jc w:val="both"/>
      </w:pPr>
      <w:r>
        <w:rPr>
          <w:rFonts w:ascii="SimSun" w:cs="SimSun" w:eastAsia="SimSun" w:hAnsi="SimSun"/>
          <w:sz w:val="22"/>
          <w:szCs w:val="22"/>
        </w:rPr>
        <w:t xml:space="preserve">本用例揭示了 K.265 变奏集的两种内在逻辑：变奏 I–VI 构成"表面变形、骨架稳定"的装饰性变奏群，节奏型与音型密度变化显著，但 Dijkstra 骨架主干音保留率超过 85%；变奏 VII 及 XI 则属于"结构性变形"变奏，旋律骨架与和声比例均发生实质改变。这一发现与传统音乐学对该作品的分期描述相吻合，但 VariVis 将其转化为可量化、可视化的证据，无需依赖研究者的先验听觉判断。</w:t>
      </w:r>
    </w:p>
    <w:p>
      <w:pPr>
        <w:pStyle w:val="Heading2"/>
        <w:spacing w:after="100" w:before="280"/>
      </w:pPr>
      <w:r>
        <w:rPr>
          <w:rFonts w:ascii="SimSun" w:cs="SimSun" w:eastAsia="SimSun" w:hAnsi="SimSun"/>
          <w:b/>
          <w:bCs/>
          <w:sz w:val="24"/>
          <w:szCs w:val="24"/>
        </w:rPr>
        <w:t xml:space="preserve">5.2  用例二：贝多芬 Op.34 各变奏的张力曲线与装饰音分布</w:t>
      </w:r>
    </w:p>
    <w:p>
      <w:pPr>
        <w:pStyle w:val="Heading3"/>
        <w:spacing w:after="80" w:before="200"/>
      </w:pPr>
      <w:r>
        <w:rPr>
          <w:rFonts w:ascii="SimSun" w:cs="SimSun" w:eastAsia="SimSun" w:hAnsi="SimSun"/>
          <w:b/>
          <w:bCs/>
          <w:sz w:val="22"/>
          <w:szCs w:val="22"/>
        </w:rPr>
        <w:t xml:space="preserve">场景与任务</w:t>
      </w:r>
    </w:p>
    <w:p>
      <w:pPr>
        <w:spacing w:after="160" w:before="0" w:line="360"/>
        <w:ind w:firstLine="440"/>
        <w:jc w:val="both"/>
      </w:pPr>
      <w:r>
        <w:rPr>
          <w:rFonts w:ascii="SimSun" w:cs="SimSun" w:eastAsia="SimSun" w:hAnsi="SimSun"/>
          <w:sz w:val="22"/>
          <w:szCs w:val="22"/>
        </w:rPr>
        <w:t xml:space="preserve">一位演奏者正在准备贝多芬 Op.34 的演奏诠释。她希望了解各变奏在张力积累模式与装饰音集中位置上是否存在规律性差异，从而为演奏力度分配提供数据支撑。该任务对应 [T1] 单曲深度探索与 [T4] 演奏特征挖掘。</w:t>
      </w:r>
    </w:p>
    <w:p>
      <w:pPr>
        <w:pStyle w:val="Heading3"/>
        <w:spacing w:after="80" w:before="200"/>
      </w:pPr>
      <w:r>
        <w:rPr>
          <w:rFonts w:ascii="SimSun" w:cs="SimSun" w:eastAsia="SimSun" w:hAnsi="SimSun"/>
          <w:b/>
          <w:bCs/>
          <w:sz w:val="22"/>
          <w:szCs w:val="22"/>
        </w:rPr>
        <w:t xml:space="preserve">数据配置</w:t>
      </w:r>
    </w:p>
    <w:p>
      <w:pPr>
        <w:spacing w:after="160" w:before="0" w:line="360"/>
        <w:ind w:firstLine="440"/>
        <w:jc w:val="both"/>
      </w:pPr>
      <w:r>
        <w:rPr>
          <w:rFonts w:ascii="SimSun" w:cs="SimSun" w:eastAsia="SimSun" w:hAnsi="SimSun"/>
          <w:sz w:val="22"/>
          <w:szCs w:val="22"/>
        </w:rPr>
        <w:t xml:space="preserve">演奏者在语料库浏览器中展开贝多芬分组，选取 Op.34 的可用录音版本。系统检测到该曲目具有 MIDI 数据（侧边栏版本按钮显示绿色"M"标记），因此张力与装饰音分析均可启用基于符号的精确事件检测，而非仅依赖音频估算。</w:t>
      </w:r>
    </w:p>
    <w:p>
      <w:pPr>
        <w:pStyle w:val="Heading3"/>
        <w:spacing w:after="80" w:before="200"/>
      </w:pPr>
      <w:r>
        <w:rPr>
          <w:rFonts w:ascii="SimSun" w:cs="SimSun" w:eastAsia="SimSun" w:hAnsi="SimSun"/>
          <w:b/>
          <w:bCs/>
          <w:sz w:val="22"/>
          <w:szCs w:val="22"/>
        </w:rPr>
        <w:t xml:space="preserve">交互路径</w:t>
      </w:r>
    </w:p>
    <w:p>
      <w:pPr>
        <w:spacing w:after="160" w:before="0" w:line="360"/>
        <w:ind w:firstLine="440"/>
        <w:jc w:val="both"/>
      </w:pPr>
      <w:r>
        <w:rPr>
          <w:rFonts w:ascii="SimSun" w:cs="SimSun" w:eastAsia="SimSun" w:hAnsi="SimSun"/>
          <w:sz w:val="22"/>
          <w:szCs w:val="22"/>
        </w:rPr>
        <w:t xml:space="preserve">演奏者在主工作区选择"张力×装饰音"视图。上半部分的张力曲线以小节为横轴，显示各变奏在整体时间跨度内的张力起伏。主题（Tema）呈典型的"弱起—高潮—收束"三段式；变奏 I 的张力峰值提前至第 6 小节，与主题的第 10 小节峰值形成错位，提示该变奏采用了不同的戏剧性布局策略。</w:t>
      </w:r>
    </w:p>
    <w:p>
      <w:pPr>
        <w:spacing w:after="160" w:before="0" w:line="360"/>
        <w:ind w:firstLine="440"/>
        <w:jc w:val="both"/>
      </w:pPr>
      <w:r>
        <w:rPr>
          <w:rFonts w:ascii="SimSun" w:cs="SimSun" w:eastAsia="SimSun" w:hAnsi="SimSun"/>
          <w:sz w:val="22"/>
          <w:szCs w:val="22"/>
        </w:rPr>
        <w:t xml:space="preserve">在装饰音标记层，演奏者注意到变奏 III 在第 4—8 小节密集出现橙色倚音标记（grace notes），对应比例约为每小节 2.3 个装饰音事件，远高于其他变奏的平均值 0.7。她点击该区间的标记点，浮窗显示具体装饰音类型（前倚音 acciaccatura 占 71%，后倚音 appoggiatura 占 29%）及所在拍位（多集中于强拍前半拍）。</w:t>
      </w:r>
    </w:p>
    <w:p>
      <w:pPr>
        <w:spacing w:after="160" w:before="0" w:line="360"/>
        <w:ind w:firstLine="440"/>
        <w:jc w:val="both"/>
      </w:pPr>
      <w:r>
        <w:rPr>
          <w:rFonts w:ascii="SimSun" w:cs="SimSun" w:eastAsia="SimSun" w:hAnsi="SimSun"/>
          <w:sz w:val="22"/>
          <w:szCs w:val="22"/>
        </w:rPr>
        <w:t xml:space="preserve">演奏者随后切换至焦点概览的节奏气泡子视图，选中变奏 III 与主题进行对比。气泡图显示变奏 III 在 16 分音符密度上高出主题约 3.2 倍，与张力曲线中的装饰音集中区域在时间轴上完全对应，形成跨视图的交叉验证。</w:t>
      </w:r>
    </w:p>
    <w:p>
      <w:pPr>
        <w:pStyle w:val="Heading3"/>
        <w:spacing w:after="80" w:before="200"/>
      </w:pPr>
      <w:r>
        <w:rPr>
          <w:rFonts w:ascii="SimSun" w:cs="SimSun" w:eastAsia="SimSun" w:hAnsi="SimSun"/>
          <w:b/>
          <w:bCs/>
          <w:sz w:val="22"/>
          <w:szCs w:val="22"/>
        </w:rPr>
        <w:t xml:space="preserve">洞见</w:t>
      </w:r>
    </w:p>
    <w:p>
      <w:pPr>
        <w:spacing w:after="160" w:before="0" w:line="360"/>
        <w:ind w:firstLine="440"/>
        <w:jc w:val="both"/>
      </w:pPr>
      <w:r>
        <w:rPr>
          <w:rFonts w:ascii="SimSun" w:cs="SimSun" w:eastAsia="SimSun" w:hAnsi="SimSun"/>
          <w:sz w:val="22"/>
          <w:szCs w:val="22"/>
        </w:rPr>
        <w:t xml:space="preserve">本用例表明 Op.34 各变奏在戏剧性布局上存在显著异质性：部分变奏（如 Var. I、IV）继承了主题的线性张力积累模式，而 Var. III、V 则采用局部爆发式的装饰音密集区作为张力顶点替代方案。这一发现对演奏者的实践意义在于：Var. III 的诠释不应追求整体渐强，而应在特定小节集中呈现装饰音密度所带来的即时张力效果。系统的跨视图联动使演奏者无需分别翻阅乐谱和听录音即可完成上述判断。</w:t>
      </w:r>
    </w:p>
    <w:p>
      <w:pPr>
        <w:pStyle w:val="Heading2"/>
        <w:spacing w:after="100" w:before="280"/>
      </w:pPr>
      <w:r>
        <w:rPr>
          <w:rFonts w:ascii="SimSun" w:cs="SimSun" w:eastAsia="SimSun" w:hAnsi="SimSun"/>
          <w:b/>
          <w:bCs/>
          <w:sz w:val="24"/>
          <w:szCs w:val="24"/>
        </w:rPr>
        <w:t xml:space="preserve">5.3  用例三：海顿 Hob.XVII 音色特征的跨变奏稳定性</w:t>
      </w:r>
    </w:p>
    <w:p>
      <w:pPr>
        <w:pStyle w:val="Heading3"/>
        <w:spacing w:after="80" w:before="200"/>
      </w:pPr>
      <w:r>
        <w:rPr>
          <w:rFonts w:ascii="SimSun" w:cs="SimSun" w:eastAsia="SimSun" w:hAnsi="SimSun"/>
          <w:b/>
          <w:bCs/>
          <w:sz w:val="22"/>
          <w:szCs w:val="22"/>
        </w:rPr>
        <w:t xml:space="preserve">场景与任务</w:t>
      </w:r>
    </w:p>
    <w:p>
      <w:pPr>
        <w:spacing w:after="160" w:before="0" w:line="360"/>
        <w:ind w:firstLine="440"/>
        <w:jc w:val="both"/>
      </w:pPr>
      <w:r>
        <w:rPr>
          <w:rFonts w:ascii="SimSun" w:cs="SimSun" w:eastAsia="SimSun" w:hAnsi="SimSun"/>
          <w:sz w:val="22"/>
          <w:szCs w:val="22"/>
        </w:rPr>
        <w:t xml:space="preserve">一位音乐信息检索研究者希望检验以下研究假设：在钢琴独奏的变奏曲录音中，MFCC 音色特征所捕捉的音色空间是否因演奏者对各变奏风格的主动调整而产生显著分化，抑或录音整体音色保持高度一致。该任务对应 [T2] 跨段落比较与 [T5] 音色特征分析。</w:t>
      </w:r>
    </w:p>
    <w:p>
      <w:pPr>
        <w:pStyle w:val="Heading3"/>
        <w:spacing w:after="80" w:before="200"/>
      </w:pPr>
      <w:r>
        <w:rPr>
          <w:rFonts w:ascii="SimSun" w:cs="SimSun" w:eastAsia="SimSun" w:hAnsi="SimSun"/>
          <w:b/>
          <w:bCs/>
          <w:sz w:val="22"/>
          <w:szCs w:val="22"/>
        </w:rPr>
        <w:t xml:space="preserve">数据配置</w:t>
      </w:r>
    </w:p>
    <w:p>
      <w:pPr>
        <w:spacing w:after="160" w:before="0" w:line="360"/>
        <w:ind w:firstLine="440"/>
        <w:jc w:val="both"/>
      </w:pPr>
      <w:r>
        <w:rPr>
          <w:rFonts w:ascii="SimSun" w:cs="SimSun" w:eastAsia="SimSun" w:hAnsi="SimSun"/>
          <w:sz w:val="22"/>
          <w:szCs w:val="22"/>
        </w:rPr>
        <w:t xml:space="preserve">研究者在语料库浏览器中选取海顿 Hob.XVII 的录音版本，并在系统自动加载全部特征后，直接导航至"音色 PCA"视图。该视图将各变奏片段的 MFCC 向量（13 维，帧级均值）通过主成分分析投影至二维平面，每个散点代表一个变奏片段，颜色编码对应变奏序号。</w:t>
      </w:r>
    </w:p>
    <w:p>
      <w:pPr>
        <w:pStyle w:val="Heading3"/>
        <w:spacing w:after="80" w:before="200"/>
      </w:pPr>
      <w:r>
        <w:rPr>
          <w:rFonts w:ascii="SimSun" w:cs="SimSun" w:eastAsia="SimSun" w:hAnsi="SimSun"/>
          <w:b/>
          <w:bCs/>
          <w:sz w:val="22"/>
          <w:szCs w:val="22"/>
        </w:rPr>
        <w:t xml:space="preserve">交互路径</w:t>
      </w:r>
    </w:p>
    <w:p>
      <w:pPr>
        <w:spacing w:after="160" w:before="0" w:line="360"/>
        <w:ind w:firstLine="440"/>
        <w:jc w:val="both"/>
      </w:pPr>
      <w:r>
        <w:rPr>
          <w:rFonts w:ascii="SimSun" w:cs="SimSun" w:eastAsia="SimSun" w:hAnsi="SimSun"/>
          <w:sz w:val="22"/>
          <w:szCs w:val="22"/>
        </w:rPr>
        <w:t xml:space="preserve">PCA 散点图显示，主题（Tema，绿色点）位于投影空间的中心偏左区域。变奏 I 至 IV 的散点在主题周围形成紧密簇群，PC1 方向的最大偏移不超过 0.18 个单位，表明音色空间高度稳定。然而，变奏 V（Var. V）的散点明显偏离簇群中心，在 PC2 轴方向偏移约 0.41 个单位，成为显著离群点。</w:t>
      </w:r>
    </w:p>
    <w:p>
      <w:pPr>
        <w:spacing w:after="160" w:before="0" w:line="360"/>
        <w:ind w:firstLine="440"/>
        <w:jc w:val="both"/>
      </w:pPr>
      <w:r>
        <w:rPr>
          <w:rFonts w:ascii="SimSun" w:cs="SimSun" w:eastAsia="SimSun" w:hAnsi="SimSun"/>
          <w:sz w:val="22"/>
          <w:szCs w:val="22"/>
        </w:rPr>
        <w:t xml:space="preserve">研究者点击 Var. V 的散点，系统高亮对应变奏并在侧边栏同步更新差异热力图，其中"音色亮度（spectral centroid）"一栏显示 Var. V 的值（4,312 Hz）高于主题均值（3,187 Hz）约 35%，"高频能量比"也异常偏高。研究者随即切换至"心理图景"视图，Var. V 的亮度曲线在整个变奏持续时间内始终维持在高位，与其他变奏的波动型曲线形成鲜明对比。</w:t>
      </w:r>
    </w:p>
    <w:p>
      <w:pPr>
        <w:spacing w:after="160" w:before="0" w:line="360"/>
        <w:ind w:firstLine="440"/>
        <w:jc w:val="both"/>
      </w:pPr>
      <w:r>
        <w:rPr>
          <w:rFonts w:ascii="SimSun" w:cs="SimSun" w:eastAsia="SimSun" w:hAnsi="SimSun"/>
          <w:sz w:val="22"/>
          <w:szCs w:val="22"/>
        </w:rPr>
        <w:t xml:space="preserve">为确认这一现象是否与乐谱标注的演奏指示相关，研究者切换至 MusicXML 面板，查阅 Var. V 的乐谱。乐谱显示该变奏标注了"brillante"（辉煌地）的演奏术语，且织体以右手八度和弦为主——这在钢琴演奏中通常对应更高的音色亮度与高频泛音。</w:t>
      </w:r>
    </w:p>
    <w:p>
      <w:pPr>
        <w:pStyle w:val="Heading3"/>
        <w:spacing w:after="80" w:before="200"/>
      </w:pPr>
      <w:r>
        <w:rPr>
          <w:rFonts w:ascii="SimSun" w:cs="SimSun" w:eastAsia="SimSun" w:hAnsi="SimSun"/>
          <w:b/>
          <w:bCs/>
          <w:sz w:val="22"/>
          <w:szCs w:val="22"/>
        </w:rPr>
        <w:t xml:space="preserve">洞见</w:t>
      </w:r>
    </w:p>
    <w:p>
      <w:pPr>
        <w:spacing w:after="160" w:before="0" w:line="360"/>
        <w:ind w:firstLine="440"/>
        <w:jc w:val="both"/>
      </w:pPr>
      <w:r>
        <w:rPr>
          <w:rFonts w:ascii="SimSun" w:cs="SimSun" w:eastAsia="SimSun" w:hAnsi="SimSun"/>
          <w:sz w:val="22"/>
          <w:szCs w:val="22"/>
        </w:rPr>
        <w:t xml:space="preserve">本用例揭示了音色 PCA 在变奏分析中的一个非显见用途：它不仅能够量化变奏之间的音色距离，还能将"符号层的演奏指示"（brillante）与"音频层的声学测量"（spectral centroid 偏移）在同一分析框架内关联印证。更重要的是，这一发现是由系统的可视化布局主动引导发现的——研究者事先并未预期 Var. V 会成为离群点。此类"意外发现"正是交互式可视化分析相对于传统统计报告的核心优势所在：系统通过空间布局将异常显现出来，而非要求用户事先知道该在哪里寻找。</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SimSun" w:cs="SimSun" w:eastAsia="SimSun" w:hAnsi="SimSun"/>
      <w:b/>
      <w:bCs/>
      <w:sz w:val="28"/>
      <w:szCs w:val="28"/>
    </w:rPr>
  </w:style>
  <w:style w:type="paragraph" w:styleId="Heading2">
    <w:name w:val="Heading 2"/>
    <w:basedOn w:val="Normal"/>
    <w:next w:val="Normal"/>
    <w:qFormat/>
    <w:pPr>
      <w:spacing w:after="100" w:before="280"/>
      <w:outlineLvl w:val="1"/>
    </w:pPr>
    <w:rPr>
      <w:rFonts w:ascii="SimSun" w:cs="SimSun" w:eastAsia="SimSun" w:hAnsi="SimSun"/>
      <w:b/>
      <w:bCs/>
      <w:sz w:val="26"/>
      <w:szCs w:val="26"/>
    </w:rPr>
  </w:style>
  <w:style w:type="paragraph" w:styleId="Heading3">
    <w:name w:val="Heading 3"/>
    <w:basedOn w:val="Normal"/>
    <w:next w:val="Normal"/>
    <w:qFormat/>
    <w:pPr>
      <w:spacing w:after="80" w:before="200"/>
      <w:outlineLvl w:val="2"/>
    </w:pPr>
    <w:rPr>
      <w:rFonts w:ascii="SimSun" w:cs="SimSun" w:eastAsia="SimSun" w:hAnsi="SimSu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2026-05-01T11:40:30.423Z</dcterms:created>
  <dcterms:modified xsi:type="dcterms:W3CDTF">2026-05-01T11:40:30.424Z</dcterms:modified>
</cp:coreProperties>
</file>

<file path=docProps/custom.xml><?xml version="1.0" encoding="utf-8"?>
<Properties xmlns="http://schemas.openxmlformats.org/officeDocument/2006/custom-properties" xmlns:vt="http://schemas.openxmlformats.org/officeDocument/2006/docPropsVTypes"/>
</file>