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2228CA9" w:rsidR="0003309E" w:rsidRDefault="0003309E" w:rsidP="00585A13">
            <w:pPr>
              <w:jc w:val="both"/>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En esta </w:t>
            </w:r>
            <w:r>
              <w:rPr>
                <w:rFonts w:ascii="Calibri" w:hAnsi="Calibri" w:cs="Arial"/>
                <w:i/>
                <w:color w:val="548DD4"/>
                <w:sz w:val="20"/>
                <w:szCs w:val="20"/>
                <w:lang w:eastAsia="es-CL"/>
              </w:rPr>
              <w:t>sección</w:t>
            </w:r>
            <w:r w:rsidRPr="00711C16">
              <w:rPr>
                <w:rFonts w:ascii="Calibri" w:hAnsi="Calibri" w:cs="Arial"/>
                <w:i/>
                <w:color w:val="548DD4"/>
                <w:sz w:val="20"/>
                <w:szCs w:val="20"/>
                <w:lang w:eastAsia="es-CL"/>
              </w:rPr>
              <w:t xml:space="preserve"> deberá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realizar un resumen de los avances que has realizado en tu proyecto APT. </w:t>
            </w:r>
            <w:r w:rsidR="009E52DF">
              <w:rPr>
                <w:rFonts w:ascii="Calibri" w:hAnsi="Calibri" w:cs="Arial"/>
                <w:i/>
                <w:color w:val="548DD4"/>
                <w:sz w:val="20"/>
                <w:szCs w:val="20"/>
                <w:lang w:eastAsia="es-CL"/>
              </w:rPr>
              <w:t xml:space="preserve">Relata </w:t>
            </w:r>
            <w:r w:rsidR="00FD5149">
              <w:rPr>
                <w:rFonts w:ascii="Calibri" w:hAnsi="Calibri" w:cs="Arial"/>
                <w:i/>
                <w:color w:val="548DD4"/>
                <w:sz w:val="20"/>
                <w:szCs w:val="20"/>
                <w:lang w:eastAsia="es-CL"/>
              </w:rPr>
              <w:t xml:space="preserve">brevemente </w:t>
            </w:r>
            <w:r w:rsidR="009E52DF">
              <w:rPr>
                <w:rFonts w:ascii="Calibri" w:hAnsi="Calibri" w:cs="Arial"/>
                <w:i/>
                <w:color w:val="548DD4"/>
                <w:sz w:val="20"/>
                <w:szCs w:val="20"/>
                <w:lang w:eastAsia="es-CL"/>
              </w:rPr>
              <w:t xml:space="preserve">qué </w:t>
            </w:r>
            <w:r w:rsidR="00FD5149">
              <w:rPr>
                <w:rFonts w:ascii="Calibri" w:hAnsi="Calibri" w:cs="Arial"/>
                <w:i/>
                <w:color w:val="548DD4"/>
                <w:sz w:val="20"/>
                <w:szCs w:val="20"/>
                <w:lang w:eastAsia="es-CL"/>
              </w:rPr>
              <w:t xml:space="preserve">actividades </w:t>
            </w:r>
            <w:r w:rsidR="009E52DF">
              <w:rPr>
                <w:rFonts w:ascii="Calibri" w:hAnsi="Calibri" w:cs="Arial"/>
                <w:i/>
                <w:color w:val="548DD4"/>
                <w:sz w:val="20"/>
                <w:szCs w:val="20"/>
                <w:lang w:eastAsia="es-CL"/>
              </w:rPr>
              <w:t>del proyecto has llevado a cabo y qué objetivos específicos has cumplido hasta el minuto y de qué manera.</w:t>
            </w:r>
          </w:p>
          <w:p w14:paraId="6C70E0C9" w14:textId="2A0F6A62"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En caso que hayas realizado ajustes a los objetivos o metodología, debes incluir dichos apartados nuevamente en este informe, señalando cuáles son dichos ajustes.</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A370C8" w:rsidRDefault="0003309E"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Opcional en caso de ajuste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52BD1A90" w:rsidR="0003309E" w:rsidRPr="00711C16" w:rsidRDefault="007D35BC"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Agil, Scrum hibrido.</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45B05E1A" w14:textId="77777777"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Descripción y Justificación de Evidencias del Proyecto</w:t>
            </w:r>
          </w:p>
          <w:p w14:paraId="1A16D999" w14:textId="77777777"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Para dar cuenta del estado de avance actual del proyecto SmartWMS (fase de desarrollo del núcleo transaccional y modelamiento avanzado), se seleccionaron las siguientes evidencias técnicas y de gestión, las cuales reflejan de forma directa el rigor metodológico y disciplinar aplicado:</w:t>
            </w:r>
          </w:p>
          <w:p w14:paraId="79A6875D" w14:textId="77777777" w:rsidR="007D35BC" w:rsidRPr="007D35BC" w:rsidRDefault="007D35BC" w:rsidP="007D35BC">
            <w:pPr>
              <w:jc w:val="both"/>
              <w:rPr>
                <w:rFonts w:ascii="Calibri" w:hAnsi="Calibri" w:cs="Arial"/>
                <w:b/>
                <w:i/>
                <w:color w:val="548DD4"/>
                <w:sz w:val="20"/>
                <w:szCs w:val="20"/>
                <w:lang w:eastAsia="es-CL"/>
              </w:rPr>
            </w:pPr>
          </w:p>
          <w:p w14:paraId="04A3F140" w14:textId="77777777"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Modelo Entidad-Relación (MER) y Diccionario de Datos:</w:t>
            </w:r>
          </w:p>
          <w:p w14:paraId="206ADE79" w14:textId="77777777" w:rsidR="007D35BC" w:rsidRPr="007D35BC" w:rsidRDefault="007D35BC" w:rsidP="007D35BC">
            <w:pPr>
              <w:jc w:val="both"/>
              <w:rPr>
                <w:rFonts w:ascii="Calibri" w:hAnsi="Calibri" w:cs="Arial"/>
                <w:b/>
                <w:i/>
                <w:color w:val="548DD4"/>
                <w:sz w:val="20"/>
                <w:szCs w:val="20"/>
                <w:lang w:eastAsia="es-CL"/>
              </w:rPr>
            </w:pPr>
          </w:p>
          <w:p w14:paraId="3EE5809A" w14:textId="77777777"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Descripción: Documentación formal de la arquitectura de persistencia normalizada en PostgreSQL (con un esquema de 10 tablas interconectadas que contemplan la recursividad de ubicaciones y el soporte para vectores de IA).</w:t>
            </w:r>
          </w:p>
          <w:p w14:paraId="05837A14" w14:textId="77777777" w:rsidR="007D35BC" w:rsidRPr="007D35BC" w:rsidRDefault="007D35BC" w:rsidP="007D35BC">
            <w:pPr>
              <w:jc w:val="both"/>
              <w:rPr>
                <w:rFonts w:ascii="Calibri" w:hAnsi="Calibri" w:cs="Arial"/>
                <w:b/>
                <w:i/>
                <w:color w:val="548DD4"/>
                <w:sz w:val="20"/>
                <w:szCs w:val="20"/>
                <w:lang w:eastAsia="es-CL"/>
              </w:rPr>
            </w:pPr>
          </w:p>
          <w:p w14:paraId="0CF89574" w14:textId="77777777" w:rsid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Justificación: Permite visualizar la solidez del diseño de datos, asegurando que el almacenamiento soporte la concurrencia transaccional sin pérdida de integridad antes de la codificación masiva.</w:t>
            </w:r>
          </w:p>
          <w:p w14:paraId="3676C750" w14:textId="378A380A"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Repositorio de Código Fuente (Control de Versiones en Git/GitHub):</w:t>
            </w:r>
          </w:p>
          <w:p w14:paraId="0D942A35" w14:textId="4C94BA9D"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Descripción: Estructura modular del backend desarrollada en FastAPI (Python), que incluye los modelos ORM iniciales, la capa de seguridad con tokens JWT y los endpoints asíncronos para la recepción de Webhooks.</w:t>
            </w:r>
          </w:p>
          <w:p w14:paraId="67B89EAD" w14:textId="00C7F0DB"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Justificación: Demuestra la materialización del código ejecutable, evidenciando el uso de buenas prácticas de programación orientada a objetos, separación de capas (Routers y Servicios) y el control de versiones colaborativo.</w:t>
            </w:r>
          </w:p>
          <w:p w14:paraId="5BFE2249" w14:textId="116FB08B"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Diagramas de Arquitectura (Modelo 4+1, Casos de Uso y Procesos BPMN):</w:t>
            </w:r>
          </w:p>
          <w:p w14:paraId="32608EF7" w14:textId="04D473B5"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Descripción: Conjunto de artefactos visuales normalizados en UML y BPMN 2.0 que ilustran la vista lógica, de desarrollo, de despliegue en GCP y de escenarios.</w:t>
            </w:r>
          </w:p>
          <w:p w14:paraId="2B04219A" w14:textId="65679000"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Justificación: Evidencian que el desarrollo no se realizó de manera improvisada, sino bajo una planificación ingenieril formal que traza la correspondencia exacta entre los requerimientos del cliente y la solución técnica.</w:t>
            </w:r>
          </w:p>
          <w:p w14:paraId="5889D92D" w14:textId="77777777"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Resguardo de la Calidad del Proyecto APT (Buenas Prácticas Disciplinares)</w:t>
            </w:r>
          </w:p>
          <w:p w14:paraId="0AC81563" w14:textId="510C3CC2"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Para asegurar la calidad del desarrollo de software y mitigar el riesgo técnico a lo largo de este avance, se implementaron diversos aspectos propios de la disciplina de la Ingeniería en Informática:</w:t>
            </w:r>
          </w:p>
          <w:p w14:paraId="665E2814" w14:textId="5D83BE15"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Aplicación rigurosa de patrones de diseño y separación de responsabilidades: En el backend se evitó el acoplamiento rígido separando los Controladores (Routers) de la lógica de negocio pesada (Services) y de los Modelos de Datos (ORM), lo que garantiza un código limpio, mantenible y escalable.</w:t>
            </w:r>
          </w:p>
          <w:p w14:paraId="0A6EE195" w14:textId="22202324"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Gestión iterativa basada en Scrum: El desarrollo se controló mediante Sprints acotados y una priorización estricta (MoSCoW), lo que permitió enfocar los recursos limitados de tiempo en estabilizar el núcleo transaccional antes de avanzar hacia capas secundarias.</w:t>
            </w:r>
          </w:p>
          <w:p w14:paraId="147B1259" w14:textId="45F0EB0D" w:rsidR="007D35BC" w:rsidRPr="007D35BC"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Control de Calidad mediante Trazabilidad de Requerimientos: Cada artefacto de diseño (como las tablas del diccionario de datos o los casos de uso) mantiene una correspondencia directa de 1 a 1 con el código fuente implementado, evitando código obsoleto o "huérfano" en el repositorio.</w:t>
            </w:r>
          </w:p>
          <w:p w14:paraId="51E5B895" w14:textId="507B9D19" w:rsidR="0003309E" w:rsidRPr="00A370C8" w:rsidRDefault="007D35BC" w:rsidP="007D35BC">
            <w:pPr>
              <w:jc w:val="both"/>
              <w:rPr>
                <w:rFonts w:ascii="Calibri" w:hAnsi="Calibri" w:cs="Arial"/>
                <w:b/>
                <w:i/>
                <w:color w:val="548DD4"/>
                <w:sz w:val="20"/>
                <w:szCs w:val="20"/>
                <w:lang w:eastAsia="es-CL"/>
              </w:rPr>
            </w:pPr>
            <w:r w:rsidRPr="007D35BC">
              <w:rPr>
                <w:rFonts w:ascii="Calibri" w:hAnsi="Calibri" w:cs="Arial"/>
                <w:b/>
                <w:i/>
                <w:color w:val="548DD4"/>
                <w:sz w:val="20"/>
                <w:szCs w:val="20"/>
                <w:lang w:eastAsia="es-CL"/>
              </w:rPr>
              <w:t>Versionamiento y buenas prácticas de colaboración: El uso de ramas de trabajo en Git previno conflictos mayores de integración y aseguró respaldos constantes del incremento de software desarrollado.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1C36696C" w:rsidR="00FD5149" w:rsidRPr="006E3B0D" w:rsidRDefault="00FD5149" w:rsidP="00FD5149">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077" w:type="dxa"/>
          </w:tcPr>
          <w:p w14:paraId="7B4EBE25"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276" w:type="dxa"/>
          </w:tcPr>
          <w:p w14:paraId="16E191DF" w14:textId="77777777" w:rsidR="00FD5149" w:rsidRPr="006E3B0D" w:rsidRDefault="00FD5149" w:rsidP="00FD5149">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276" w:type="dxa"/>
          </w:tcPr>
          <w:p w14:paraId="66A5D860" w14:textId="77777777" w:rsidR="00FD5149" w:rsidRPr="006E3B0D" w:rsidRDefault="00FD5149" w:rsidP="00FD5149">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275" w:type="dxa"/>
          </w:tcPr>
          <w:p w14:paraId="036AB5D8"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276" w:type="dxa"/>
          </w:tcPr>
          <w:p w14:paraId="2FCEC037"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418" w:type="dxa"/>
          </w:tcPr>
          <w:p w14:paraId="29B0BFEB" w14:textId="77777777" w:rsidR="00FD5149" w:rsidRPr="00E54467" w:rsidRDefault="00FD5149" w:rsidP="00FD5149">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de cada actividad.</w:t>
            </w:r>
          </w:p>
          <w:p w14:paraId="7CBF6E36" w14:textId="77777777" w:rsidR="00FD5149" w:rsidRPr="00E54467" w:rsidRDefault="00FD5149" w:rsidP="00FD5149">
            <w:pPr>
              <w:jc w:val="both"/>
              <w:rPr>
                <w:rFonts w:ascii="Calibri" w:hAnsi="Calibri" w:cs="Arial"/>
                <w:i/>
                <w:color w:val="C00000"/>
                <w:sz w:val="16"/>
                <w:szCs w:val="20"/>
                <w:lang w:eastAsia="es-CL"/>
              </w:rPr>
            </w:pPr>
          </w:p>
          <w:p w14:paraId="6D3B922B" w14:textId="77777777" w:rsidR="00FD5149" w:rsidRPr="00CA29F2" w:rsidRDefault="00FD5149" w:rsidP="00FD5149">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2163602D" w14:textId="77777777" w:rsidR="00FD5149" w:rsidRPr="00E54467" w:rsidRDefault="00FD5149" w:rsidP="00FD5149">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850" w:type="dxa"/>
          </w:tcPr>
          <w:p w14:paraId="7C6D6F31" w14:textId="77777777" w:rsidR="00FD5149" w:rsidRPr="006E3B0D" w:rsidRDefault="00FD514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w:t>
            </w:r>
            <w:r>
              <w:rPr>
                <w:rFonts w:ascii="Calibri" w:hAnsi="Calibri" w:cs="Arial"/>
                <w:i/>
                <w:color w:val="548DD4"/>
                <w:sz w:val="18"/>
                <w:szCs w:val="20"/>
                <w:lang w:eastAsia="es-CL"/>
              </w:rPr>
              <w:t xml:space="preserve">ñala los ajustes o reformulaciones </w:t>
            </w:r>
            <w:r w:rsidRPr="006E3B0D">
              <w:rPr>
                <w:rFonts w:ascii="Calibri" w:hAnsi="Calibri" w:cs="Arial"/>
                <w:i/>
                <w:color w:val="548DD4"/>
                <w:sz w:val="18"/>
                <w:szCs w:val="20"/>
                <w:lang w:eastAsia="es-CL"/>
              </w:rPr>
              <w:t>que has realiza</w:t>
            </w:r>
            <w:r>
              <w:rPr>
                <w:rFonts w:ascii="Calibri" w:hAnsi="Calibri" w:cs="Arial"/>
                <w:i/>
                <w:color w:val="548DD4"/>
                <w:sz w:val="18"/>
                <w:szCs w:val="20"/>
                <w:lang w:eastAsia="es-CL"/>
              </w:rPr>
              <w:t xml:space="preserve">do. </w:t>
            </w:r>
          </w:p>
        </w:tc>
      </w:tr>
    </w:tbl>
    <w:p w14:paraId="66FF4E8D" w14:textId="77777777" w:rsidR="0003309E" w:rsidRDefault="0003309E" w:rsidP="0003309E">
      <w:pPr>
        <w:rPr>
          <w:rFonts w:cs="Calibri Light"/>
          <w:color w:val="595959" w:themeColor="text1" w:themeTint="A6"/>
          <w:sz w:val="24"/>
          <w:szCs w:val="24"/>
          <w:lang w:val="es-ES"/>
        </w:rPr>
      </w:pPr>
    </w:p>
    <w:tbl>
      <w:tblPr>
        <w:tblW w:w="0" w:type="auto"/>
        <w:tblLayout w:type="fixed"/>
        <w:tblCellMar>
          <w:left w:w="70" w:type="dxa"/>
          <w:right w:w="70" w:type="dxa"/>
        </w:tblCellMar>
        <w:tblLook w:val="04A0" w:firstRow="1" w:lastRow="0" w:firstColumn="1" w:lastColumn="0" w:noHBand="0" w:noVBand="1"/>
      </w:tblPr>
      <w:tblGrid>
        <w:gridCol w:w="1184"/>
        <w:gridCol w:w="1367"/>
        <w:gridCol w:w="1135"/>
        <w:gridCol w:w="707"/>
        <w:gridCol w:w="946"/>
        <w:gridCol w:w="1126"/>
        <w:gridCol w:w="912"/>
        <w:gridCol w:w="1117"/>
      </w:tblGrid>
      <w:tr w:rsidR="004D4EAA" w:rsidRPr="004D4EAA" w14:paraId="1A99A02B" w14:textId="77777777" w:rsidTr="004D4EAA">
        <w:trPr>
          <w:trHeight w:val="2674"/>
        </w:trPr>
        <w:tc>
          <w:tcPr>
            <w:tcW w:w="1184" w:type="dxa"/>
            <w:tcBorders>
              <w:top w:val="single" w:sz="4" w:space="0" w:color="auto"/>
              <w:left w:val="single" w:sz="4" w:space="0" w:color="auto"/>
              <w:bottom w:val="single" w:sz="4" w:space="0" w:color="auto"/>
              <w:right w:val="single" w:sz="4" w:space="0" w:color="auto"/>
            </w:tcBorders>
            <w:hideMark/>
          </w:tcPr>
          <w:p w14:paraId="5B4AA669"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Competencia o unidades de competencias</w:t>
            </w:r>
          </w:p>
        </w:tc>
        <w:tc>
          <w:tcPr>
            <w:tcW w:w="1367" w:type="dxa"/>
            <w:tcBorders>
              <w:top w:val="single" w:sz="4" w:space="0" w:color="auto"/>
              <w:left w:val="nil"/>
              <w:bottom w:val="single" w:sz="4" w:space="0" w:color="auto"/>
              <w:right w:val="single" w:sz="4" w:space="0" w:color="auto"/>
            </w:tcBorders>
            <w:hideMark/>
          </w:tcPr>
          <w:p w14:paraId="59DF0028"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Actividades</w:t>
            </w:r>
          </w:p>
        </w:tc>
        <w:tc>
          <w:tcPr>
            <w:tcW w:w="1135" w:type="dxa"/>
            <w:tcBorders>
              <w:top w:val="single" w:sz="4" w:space="0" w:color="auto"/>
              <w:left w:val="nil"/>
              <w:bottom w:val="single" w:sz="4" w:space="0" w:color="auto"/>
              <w:right w:val="single" w:sz="4" w:space="0" w:color="auto"/>
            </w:tcBorders>
            <w:hideMark/>
          </w:tcPr>
          <w:p w14:paraId="5B15DB97"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Recursos</w:t>
            </w:r>
          </w:p>
        </w:tc>
        <w:tc>
          <w:tcPr>
            <w:tcW w:w="707" w:type="dxa"/>
            <w:tcBorders>
              <w:top w:val="single" w:sz="4" w:space="0" w:color="auto"/>
              <w:left w:val="nil"/>
              <w:bottom w:val="single" w:sz="4" w:space="0" w:color="auto"/>
              <w:right w:val="single" w:sz="4" w:space="0" w:color="auto"/>
            </w:tcBorders>
            <w:hideMark/>
          </w:tcPr>
          <w:p w14:paraId="7096209F"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Duración de la actividad</w:t>
            </w:r>
          </w:p>
        </w:tc>
        <w:tc>
          <w:tcPr>
            <w:tcW w:w="946" w:type="dxa"/>
            <w:tcBorders>
              <w:top w:val="single" w:sz="4" w:space="0" w:color="auto"/>
              <w:left w:val="nil"/>
              <w:bottom w:val="single" w:sz="4" w:space="0" w:color="auto"/>
              <w:right w:val="single" w:sz="4" w:space="0" w:color="auto"/>
            </w:tcBorders>
            <w:hideMark/>
          </w:tcPr>
          <w:p w14:paraId="4A6E5BC3"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Responsable</w:t>
            </w:r>
          </w:p>
        </w:tc>
        <w:tc>
          <w:tcPr>
            <w:tcW w:w="1126" w:type="dxa"/>
            <w:tcBorders>
              <w:top w:val="single" w:sz="4" w:space="0" w:color="auto"/>
              <w:left w:val="nil"/>
              <w:bottom w:val="single" w:sz="4" w:space="0" w:color="auto"/>
              <w:right w:val="single" w:sz="4" w:space="0" w:color="auto"/>
            </w:tcBorders>
            <w:hideMark/>
          </w:tcPr>
          <w:p w14:paraId="06C3262E"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Observaciones</w:t>
            </w:r>
          </w:p>
        </w:tc>
        <w:tc>
          <w:tcPr>
            <w:tcW w:w="912" w:type="dxa"/>
            <w:tcBorders>
              <w:top w:val="single" w:sz="4" w:space="0" w:color="auto"/>
              <w:left w:val="nil"/>
              <w:bottom w:val="single" w:sz="4" w:space="0" w:color="auto"/>
              <w:right w:val="single" w:sz="4" w:space="0" w:color="auto"/>
            </w:tcBorders>
            <w:hideMark/>
          </w:tcPr>
          <w:p w14:paraId="079C5A21"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Estado de avance</w:t>
            </w:r>
          </w:p>
        </w:tc>
        <w:tc>
          <w:tcPr>
            <w:tcW w:w="1117" w:type="dxa"/>
            <w:tcBorders>
              <w:top w:val="single" w:sz="4" w:space="0" w:color="auto"/>
              <w:left w:val="nil"/>
              <w:bottom w:val="single" w:sz="4" w:space="0" w:color="auto"/>
              <w:right w:val="single" w:sz="4" w:space="0" w:color="auto"/>
            </w:tcBorders>
            <w:hideMark/>
          </w:tcPr>
          <w:p w14:paraId="143A45EF"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Ajustes</w:t>
            </w:r>
          </w:p>
        </w:tc>
      </w:tr>
      <w:tr w:rsidR="004D4EAA" w:rsidRPr="004D4EAA" w14:paraId="7CB60730" w14:textId="77777777" w:rsidTr="004D4EAA">
        <w:trPr>
          <w:trHeight w:val="2674"/>
        </w:trPr>
        <w:tc>
          <w:tcPr>
            <w:tcW w:w="1184" w:type="dxa"/>
            <w:tcBorders>
              <w:top w:val="nil"/>
              <w:left w:val="single" w:sz="4" w:space="0" w:color="auto"/>
              <w:bottom w:val="single" w:sz="4" w:space="0" w:color="auto"/>
              <w:right w:val="single" w:sz="4" w:space="0" w:color="auto"/>
            </w:tcBorders>
            <w:hideMark/>
          </w:tcPr>
          <w:p w14:paraId="12A249E5"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Construir el modelo arquitectónico y modelamiento de procesos.</w:t>
            </w:r>
          </w:p>
        </w:tc>
        <w:tc>
          <w:tcPr>
            <w:tcW w:w="1367" w:type="dxa"/>
            <w:tcBorders>
              <w:top w:val="nil"/>
              <w:left w:val="nil"/>
              <w:bottom w:val="single" w:sz="4" w:space="0" w:color="auto"/>
              <w:right w:val="single" w:sz="4" w:space="0" w:color="auto"/>
            </w:tcBorders>
            <w:hideMark/>
          </w:tcPr>
          <w:p w14:paraId="76F99979"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1. Levantamiento de requerimientos y diseño del Modelo Entidad-Relación (MER).</w:t>
            </w:r>
          </w:p>
        </w:tc>
        <w:tc>
          <w:tcPr>
            <w:tcW w:w="1135" w:type="dxa"/>
            <w:tcBorders>
              <w:top w:val="nil"/>
              <w:left w:val="nil"/>
              <w:bottom w:val="single" w:sz="4" w:space="0" w:color="auto"/>
              <w:right w:val="single" w:sz="4" w:space="0" w:color="auto"/>
            </w:tcBorders>
            <w:hideMark/>
          </w:tcPr>
          <w:p w14:paraId="6081BB81"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VS Code, PostgreSQL, Herramientas de Modelado.</w:t>
            </w:r>
          </w:p>
        </w:tc>
        <w:tc>
          <w:tcPr>
            <w:tcW w:w="707" w:type="dxa"/>
            <w:tcBorders>
              <w:top w:val="nil"/>
              <w:left w:val="nil"/>
              <w:bottom w:val="single" w:sz="4" w:space="0" w:color="auto"/>
              <w:right w:val="single" w:sz="4" w:space="0" w:color="auto"/>
            </w:tcBorders>
            <w:hideMark/>
          </w:tcPr>
          <w:p w14:paraId="6C032A23"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2 semanas</w:t>
            </w:r>
          </w:p>
        </w:tc>
        <w:tc>
          <w:tcPr>
            <w:tcW w:w="946" w:type="dxa"/>
            <w:tcBorders>
              <w:top w:val="nil"/>
              <w:left w:val="nil"/>
              <w:bottom w:val="single" w:sz="4" w:space="0" w:color="auto"/>
              <w:right w:val="single" w:sz="4" w:space="0" w:color="auto"/>
            </w:tcBorders>
            <w:hideMark/>
          </w:tcPr>
          <w:p w14:paraId="50747E98"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Luis Castro G.</w:t>
            </w:r>
          </w:p>
        </w:tc>
        <w:tc>
          <w:tcPr>
            <w:tcW w:w="1126" w:type="dxa"/>
            <w:tcBorders>
              <w:top w:val="nil"/>
              <w:left w:val="nil"/>
              <w:bottom w:val="single" w:sz="4" w:space="0" w:color="auto"/>
              <w:right w:val="single" w:sz="4" w:space="0" w:color="auto"/>
            </w:tcBorders>
            <w:hideMark/>
          </w:tcPr>
          <w:p w14:paraId="20296D0E"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Facilitador: Buena disposición de los stakeholders para definir el modelo transaccional.</w:t>
            </w:r>
          </w:p>
        </w:tc>
        <w:tc>
          <w:tcPr>
            <w:tcW w:w="912" w:type="dxa"/>
            <w:tcBorders>
              <w:top w:val="nil"/>
              <w:left w:val="nil"/>
              <w:bottom w:val="single" w:sz="4" w:space="0" w:color="auto"/>
              <w:right w:val="single" w:sz="4" w:space="0" w:color="auto"/>
            </w:tcBorders>
            <w:hideMark/>
          </w:tcPr>
          <w:p w14:paraId="704971C6"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Completado</w:t>
            </w:r>
          </w:p>
        </w:tc>
        <w:tc>
          <w:tcPr>
            <w:tcW w:w="1117" w:type="dxa"/>
            <w:tcBorders>
              <w:top w:val="nil"/>
              <w:left w:val="nil"/>
              <w:bottom w:val="single" w:sz="4" w:space="0" w:color="auto"/>
              <w:right w:val="single" w:sz="4" w:space="0" w:color="auto"/>
            </w:tcBorders>
            <w:hideMark/>
          </w:tcPr>
          <w:p w14:paraId="4C9EA1E7"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Ninguno.</w:t>
            </w:r>
          </w:p>
        </w:tc>
      </w:tr>
      <w:tr w:rsidR="004D4EAA" w:rsidRPr="004D4EAA" w14:paraId="23725EC9" w14:textId="77777777" w:rsidTr="004D4EAA">
        <w:trPr>
          <w:trHeight w:val="2674"/>
        </w:trPr>
        <w:tc>
          <w:tcPr>
            <w:tcW w:w="1184" w:type="dxa"/>
            <w:tcBorders>
              <w:top w:val="nil"/>
              <w:left w:val="single" w:sz="4" w:space="0" w:color="auto"/>
              <w:bottom w:val="single" w:sz="4" w:space="0" w:color="auto"/>
              <w:right w:val="single" w:sz="4" w:space="0" w:color="auto"/>
            </w:tcBorders>
            <w:hideMark/>
          </w:tcPr>
          <w:p w14:paraId="6E3EA855"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lastRenderedPageBreak/>
              <w:t>Construir el modelo arquitectónico y modelamiento de procesos.</w:t>
            </w:r>
          </w:p>
        </w:tc>
        <w:tc>
          <w:tcPr>
            <w:tcW w:w="1367" w:type="dxa"/>
            <w:tcBorders>
              <w:top w:val="nil"/>
              <w:left w:val="nil"/>
              <w:bottom w:val="single" w:sz="4" w:space="0" w:color="auto"/>
              <w:right w:val="single" w:sz="4" w:space="0" w:color="auto"/>
            </w:tcBorders>
            <w:hideMark/>
          </w:tcPr>
          <w:p w14:paraId="74CCB44B"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2. Modelado de arquitectura bajo framework 4+1 y diagramas BPMN (TO-BE).</w:t>
            </w:r>
          </w:p>
        </w:tc>
        <w:tc>
          <w:tcPr>
            <w:tcW w:w="1135" w:type="dxa"/>
            <w:tcBorders>
              <w:top w:val="nil"/>
              <w:left w:val="nil"/>
              <w:bottom w:val="single" w:sz="4" w:space="0" w:color="auto"/>
              <w:right w:val="single" w:sz="4" w:space="0" w:color="auto"/>
            </w:tcBorders>
            <w:hideMark/>
          </w:tcPr>
          <w:p w14:paraId="6C2DA558"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Bizagi Modeler, Draw.io, Mermaid.js.</w:t>
            </w:r>
          </w:p>
        </w:tc>
        <w:tc>
          <w:tcPr>
            <w:tcW w:w="707" w:type="dxa"/>
            <w:tcBorders>
              <w:top w:val="nil"/>
              <w:left w:val="nil"/>
              <w:bottom w:val="single" w:sz="4" w:space="0" w:color="auto"/>
              <w:right w:val="single" w:sz="4" w:space="0" w:color="auto"/>
            </w:tcBorders>
            <w:hideMark/>
          </w:tcPr>
          <w:p w14:paraId="2E2D03CD"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2 semanas</w:t>
            </w:r>
          </w:p>
        </w:tc>
        <w:tc>
          <w:tcPr>
            <w:tcW w:w="946" w:type="dxa"/>
            <w:tcBorders>
              <w:top w:val="nil"/>
              <w:left w:val="nil"/>
              <w:bottom w:val="single" w:sz="4" w:space="0" w:color="auto"/>
              <w:right w:val="single" w:sz="4" w:space="0" w:color="auto"/>
            </w:tcBorders>
            <w:hideMark/>
          </w:tcPr>
          <w:p w14:paraId="0FF7996E"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Luis Lizana Q.</w:t>
            </w:r>
          </w:p>
        </w:tc>
        <w:tc>
          <w:tcPr>
            <w:tcW w:w="1126" w:type="dxa"/>
            <w:tcBorders>
              <w:top w:val="nil"/>
              <w:left w:val="nil"/>
              <w:bottom w:val="single" w:sz="4" w:space="0" w:color="auto"/>
              <w:right w:val="single" w:sz="4" w:space="0" w:color="auto"/>
            </w:tcBorders>
            <w:hideMark/>
          </w:tcPr>
          <w:p w14:paraId="28C5CF27"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Facilitador: Uso de herramientas basadas en código y plantillas estandarizadas.</w:t>
            </w:r>
          </w:p>
        </w:tc>
        <w:tc>
          <w:tcPr>
            <w:tcW w:w="912" w:type="dxa"/>
            <w:tcBorders>
              <w:top w:val="nil"/>
              <w:left w:val="nil"/>
              <w:bottom w:val="single" w:sz="4" w:space="0" w:color="auto"/>
              <w:right w:val="single" w:sz="4" w:space="0" w:color="auto"/>
            </w:tcBorders>
            <w:hideMark/>
          </w:tcPr>
          <w:p w14:paraId="47A8DBDE"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Completado</w:t>
            </w:r>
          </w:p>
        </w:tc>
        <w:tc>
          <w:tcPr>
            <w:tcW w:w="1117" w:type="dxa"/>
            <w:tcBorders>
              <w:top w:val="nil"/>
              <w:left w:val="nil"/>
              <w:bottom w:val="single" w:sz="4" w:space="0" w:color="auto"/>
              <w:right w:val="single" w:sz="4" w:space="0" w:color="auto"/>
            </w:tcBorders>
            <w:hideMark/>
          </w:tcPr>
          <w:p w14:paraId="34079F2D"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Se ajustó el nivel de detalle de los diagramas de secuencia para unificar el modelo relacional.</w:t>
            </w:r>
          </w:p>
        </w:tc>
      </w:tr>
      <w:tr w:rsidR="004D4EAA" w:rsidRPr="004D4EAA" w14:paraId="16747217" w14:textId="77777777" w:rsidTr="004D4EAA">
        <w:trPr>
          <w:trHeight w:val="2674"/>
        </w:trPr>
        <w:tc>
          <w:tcPr>
            <w:tcW w:w="1184" w:type="dxa"/>
            <w:tcBorders>
              <w:top w:val="nil"/>
              <w:left w:val="single" w:sz="4" w:space="0" w:color="auto"/>
              <w:bottom w:val="single" w:sz="4" w:space="0" w:color="auto"/>
              <w:right w:val="single" w:sz="4" w:space="0" w:color="auto"/>
            </w:tcBorders>
            <w:hideMark/>
          </w:tcPr>
          <w:p w14:paraId="75AB0BE6"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Desarrollar soluciones de software y modelos de datos.</w:t>
            </w:r>
          </w:p>
        </w:tc>
        <w:tc>
          <w:tcPr>
            <w:tcW w:w="1367" w:type="dxa"/>
            <w:tcBorders>
              <w:top w:val="nil"/>
              <w:left w:val="nil"/>
              <w:bottom w:val="single" w:sz="4" w:space="0" w:color="auto"/>
              <w:right w:val="single" w:sz="4" w:space="0" w:color="auto"/>
            </w:tcBorders>
            <w:hideMark/>
          </w:tcPr>
          <w:p w14:paraId="3DF47050"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3. Configuración del entorno Cloud-Native y desarrollo del Backend (FastAPI).</w:t>
            </w:r>
          </w:p>
        </w:tc>
        <w:tc>
          <w:tcPr>
            <w:tcW w:w="1135" w:type="dxa"/>
            <w:tcBorders>
              <w:top w:val="nil"/>
              <w:left w:val="nil"/>
              <w:bottom w:val="single" w:sz="4" w:space="0" w:color="auto"/>
              <w:right w:val="single" w:sz="4" w:space="0" w:color="auto"/>
            </w:tcBorders>
            <w:hideMark/>
          </w:tcPr>
          <w:p w14:paraId="65858D58" w14:textId="77777777" w:rsidR="004D4EAA" w:rsidRPr="004D4EAA" w:rsidRDefault="004D4EAA" w:rsidP="004D4EAA">
            <w:pPr>
              <w:spacing w:after="0" w:line="240" w:lineRule="auto"/>
              <w:rPr>
                <w:rFonts w:ascii="Aptos Narrow" w:eastAsia="Times New Roman" w:hAnsi="Aptos Narrow" w:cs="Times New Roman"/>
                <w:color w:val="000000"/>
                <w:lang w:val="en-US" w:eastAsia="es-CL"/>
              </w:rPr>
            </w:pPr>
            <w:r w:rsidRPr="004D4EAA">
              <w:rPr>
                <w:rFonts w:ascii="Aptos Narrow" w:eastAsia="Times New Roman" w:hAnsi="Aptos Narrow" w:cs="Times New Roman"/>
                <w:color w:val="000000"/>
                <w:lang w:val="en-US" w:eastAsia="es-CL"/>
              </w:rPr>
              <w:t>Python 3.10, FastAPI, Uvicorn, PostgreSQL, Cloud SQL.</w:t>
            </w:r>
          </w:p>
        </w:tc>
        <w:tc>
          <w:tcPr>
            <w:tcW w:w="707" w:type="dxa"/>
            <w:tcBorders>
              <w:top w:val="nil"/>
              <w:left w:val="nil"/>
              <w:bottom w:val="single" w:sz="4" w:space="0" w:color="auto"/>
              <w:right w:val="single" w:sz="4" w:space="0" w:color="auto"/>
            </w:tcBorders>
            <w:hideMark/>
          </w:tcPr>
          <w:p w14:paraId="4F8C5278"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4 semanas</w:t>
            </w:r>
          </w:p>
        </w:tc>
        <w:tc>
          <w:tcPr>
            <w:tcW w:w="946" w:type="dxa"/>
            <w:tcBorders>
              <w:top w:val="nil"/>
              <w:left w:val="nil"/>
              <w:bottom w:val="single" w:sz="4" w:space="0" w:color="auto"/>
              <w:right w:val="single" w:sz="4" w:space="0" w:color="auto"/>
            </w:tcBorders>
            <w:hideMark/>
          </w:tcPr>
          <w:p w14:paraId="554495D7"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Luis Castro G.</w:t>
            </w:r>
          </w:p>
        </w:tc>
        <w:tc>
          <w:tcPr>
            <w:tcW w:w="1126" w:type="dxa"/>
            <w:tcBorders>
              <w:top w:val="nil"/>
              <w:left w:val="nil"/>
              <w:bottom w:val="single" w:sz="4" w:space="0" w:color="auto"/>
              <w:right w:val="single" w:sz="4" w:space="0" w:color="auto"/>
            </w:tcBorders>
            <w:hideMark/>
          </w:tcPr>
          <w:p w14:paraId="4335478D"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Dificultad: Ajustar la concurrencia asíncrona de los Webhooks en los hilos del servidor.</w:t>
            </w:r>
          </w:p>
        </w:tc>
        <w:tc>
          <w:tcPr>
            <w:tcW w:w="912" w:type="dxa"/>
            <w:tcBorders>
              <w:top w:val="nil"/>
              <w:left w:val="nil"/>
              <w:bottom w:val="single" w:sz="4" w:space="0" w:color="auto"/>
              <w:right w:val="single" w:sz="4" w:space="0" w:color="auto"/>
            </w:tcBorders>
            <w:hideMark/>
          </w:tcPr>
          <w:p w14:paraId="6E06BC05"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Completado</w:t>
            </w:r>
          </w:p>
        </w:tc>
        <w:tc>
          <w:tcPr>
            <w:tcW w:w="1117" w:type="dxa"/>
            <w:tcBorders>
              <w:top w:val="nil"/>
              <w:left w:val="nil"/>
              <w:bottom w:val="single" w:sz="4" w:space="0" w:color="auto"/>
              <w:right w:val="single" w:sz="4" w:space="0" w:color="auto"/>
            </w:tcBorders>
            <w:hideMark/>
          </w:tcPr>
          <w:p w14:paraId="1367F6D1"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Se implementó el control transaccional ACID y validación por firma HMAC.</w:t>
            </w:r>
          </w:p>
        </w:tc>
      </w:tr>
      <w:tr w:rsidR="004D4EAA" w:rsidRPr="004D4EAA" w14:paraId="7C8E6A84" w14:textId="77777777" w:rsidTr="004D4EAA">
        <w:trPr>
          <w:trHeight w:val="2674"/>
        </w:trPr>
        <w:tc>
          <w:tcPr>
            <w:tcW w:w="1184" w:type="dxa"/>
            <w:tcBorders>
              <w:top w:val="nil"/>
              <w:left w:val="single" w:sz="4" w:space="0" w:color="auto"/>
              <w:bottom w:val="single" w:sz="4" w:space="0" w:color="auto"/>
              <w:right w:val="single" w:sz="4" w:space="0" w:color="auto"/>
            </w:tcBorders>
            <w:hideMark/>
          </w:tcPr>
          <w:p w14:paraId="0C499EBF"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Desarrollar soluciones de software y interfaces multiplataforma.</w:t>
            </w:r>
          </w:p>
        </w:tc>
        <w:tc>
          <w:tcPr>
            <w:tcW w:w="1367" w:type="dxa"/>
            <w:tcBorders>
              <w:top w:val="nil"/>
              <w:left w:val="nil"/>
              <w:bottom w:val="single" w:sz="4" w:space="0" w:color="auto"/>
              <w:right w:val="single" w:sz="4" w:space="0" w:color="auto"/>
            </w:tcBorders>
            <w:hideMark/>
          </w:tcPr>
          <w:p w14:paraId="7F5BB650"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4. Desarrollo de la Plataforma Web Administrativa (Dashboard en Angular).</w:t>
            </w:r>
          </w:p>
        </w:tc>
        <w:tc>
          <w:tcPr>
            <w:tcW w:w="1135" w:type="dxa"/>
            <w:tcBorders>
              <w:top w:val="nil"/>
              <w:left w:val="nil"/>
              <w:bottom w:val="single" w:sz="4" w:space="0" w:color="auto"/>
              <w:right w:val="single" w:sz="4" w:space="0" w:color="auto"/>
            </w:tcBorders>
            <w:hideMark/>
          </w:tcPr>
          <w:p w14:paraId="7C6E0C5A" w14:textId="77777777" w:rsidR="004D4EAA" w:rsidRPr="004D4EAA" w:rsidRDefault="004D4EAA" w:rsidP="004D4EAA">
            <w:pPr>
              <w:spacing w:after="0" w:line="240" w:lineRule="auto"/>
              <w:rPr>
                <w:rFonts w:ascii="Aptos Narrow" w:eastAsia="Times New Roman" w:hAnsi="Aptos Narrow" w:cs="Times New Roman"/>
                <w:color w:val="000000"/>
                <w:lang w:val="en-US" w:eastAsia="es-CL"/>
              </w:rPr>
            </w:pPr>
            <w:r w:rsidRPr="004D4EAA">
              <w:rPr>
                <w:rFonts w:ascii="Aptos Narrow" w:eastAsia="Times New Roman" w:hAnsi="Aptos Narrow" w:cs="Times New Roman"/>
                <w:color w:val="000000"/>
                <w:lang w:val="en-US" w:eastAsia="es-CL"/>
              </w:rPr>
              <w:t>Angular, TypeScript, Angular Material, Git.</w:t>
            </w:r>
          </w:p>
        </w:tc>
        <w:tc>
          <w:tcPr>
            <w:tcW w:w="707" w:type="dxa"/>
            <w:tcBorders>
              <w:top w:val="nil"/>
              <w:left w:val="nil"/>
              <w:bottom w:val="single" w:sz="4" w:space="0" w:color="auto"/>
              <w:right w:val="single" w:sz="4" w:space="0" w:color="auto"/>
            </w:tcBorders>
            <w:hideMark/>
          </w:tcPr>
          <w:p w14:paraId="24DCCB1D"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3 semanas</w:t>
            </w:r>
          </w:p>
        </w:tc>
        <w:tc>
          <w:tcPr>
            <w:tcW w:w="946" w:type="dxa"/>
            <w:tcBorders>
              <w:top w:val="nil"/>
              <w:left w:val="nil"/>
              <w:bottom w:val="single" w:sz="4" w:space="0" w:color="auto"/>
              <w:right w:val="single" w:sz="4" w:space="0" w:color="auto"/>
            </w:tcBorders>
            <w:hideMark/>
          </w:tcPr>
          <w:p w14:paraId="4568D919"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Bryan Garrido R.</w:t>
            </w:r>
          </w:p>
        </w:tc>
        <w:tc>
          <w:tcPr>
            <w:tcW w:w="1126" w:type="dxa"/>
            <w:tcBorders>
              <w:top w:val="nil"/>
              <w:left w:val="nil"/>
              <w:bottom w:val="single" w:sz="4" w:space="0" w:color="auto"/>
              <w:right w:val="single" w:sz="4" w:space="0" w:color="auto"/>
            </w:tcBorders>
            <w:hideMark/>
          </w:tcPr>
          <w:p w14:paraId="625D6B72"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Facilitador: Reutilización de componentes visuales y tipados estrictos.</w:t>
            </w:r>
          </w:p>
        </w:tc>
        <w:tc>
          <w:tcPr>
            <w:tcW w:w="912" w:type="dxa"/>
            <w:tcBorders>
              <w:top w:val="nil"/>
              <w:left w:val="nil"/>
              <w:bottom w:val="single" w:sz="4" w:space="0" w:color="auto"/>
              <w:right w:val="single" w:sz="4" w:space="0" w:color="auto"/>
            </w:tcBorders>
            <w:hideMark/>
          </w:tcPr>
          <w:p w14:paraId="34EFECAD"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En curso</w:t>
            </w:r>
          </w:p>
        </w:tc>
        <w:tc>
          <w:tcPr>
            <w:tcW w:w="1117" w:type="dxa"/>
            <w:tcBorders>
              <w:top w:val="nil"/>
              <w:left w:val="nil"/>
              <w:bottom w:val="single" w:sz="4" w:space="0" w:color="auto"/>
              <w:right w:val="single" w:sz="4" w:space="0" w:color="auto"/>
            </w:tcBorders>
            <w:hideMark/>
          </w:tcPr>
          <w:p w14:paraId="735770C7"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Se priorizó el panel de control transaccional sobre los reportes analíticos avanzados.</w:t>
            </w:r>
          </w:p>
        </w:tc>
      </w:tr>
      <w:tr w:rsidR="004D4EAA" w:rsidRPr="004D4EAA" w14:paraId="77E7DE2B" w14:textId="77777777" w:rsidTr="004D4EAA">
        <w:trPr>
          <w:trHeight w:val="2674"/>
        </w:trPr>
        <w:tc>
          <w:tcPr>
            <w:tcW w:w="1184" w:type="dxa"/>
            <w:tcBorders>
              <w:top w:val="nil"/>
              <w:left w:val="single" w:sz="4" w:space="0" w:color="auto"/>
              <w:bottom w:val="single" w:sz="4" w:space="0" w:color="auto"/>
              <w:right w:val="single" w:sz="4" w:space="0" w:color="auto"/>
            </w:tcBorders>
            <w:hideMark/>
          </w:tcPr>
          <w:p w14:paraId="7E993D44"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Desarrollar soluciones de software y interfaces multiplataforma.</w:t>
            </w:r>
          </w:p>
        </w:tc>
        <w:tc>
          <w:tcPr>
            <w:tcW w:w="1367" w:type="dxa"/>
            <w:tcBorders>
              <w:top w:val="nil"/>
              <w:left w:val="nil"/>
              <w:bottom w:val="single" w:sz="4" w:space="0" w:color="auto"/>
              <w:right w:val="single" w:sz="4" w:space="0" w:color="auto"/>
            </w:tcBorders>
            <w:hideMark/>
          </w:tcPr>
          <w:p w14:paraId="57D04885"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5. Desarrollo de la Aplicación Móvil para operarios (Ionic / Kotlin).</w:t>
            </w:r>
          </w:p>
        </w:tc>
        <w:tc>
          <w:tcPr>
            <w:tcW w:w="1135" w:type="dxa"/>
            <w:tcBorders>
              <w:top w:val="nil"/>
              <w:left w:val="nil"/>
              <w:bottom w:val="single" w:sz="4" w:space="0" w:color="auto"/>
              <w:right w:val="single" w:sz="4" w:space="0" w:color="auto"/>
            </w:tcBorders>
            <w:hideMark/>
          </w:tcPr>
          <w:p w14:paraId="6C7B0907" w14:textId="77777777" w:rsidR="004D4EAA" w:rsidRPr="004D4EAA" w:rsidRDefault="004D4EAA" w:rsidP="004D4EAA">
            <w:pPr>
              <w:spacing w:after="0" w:line="240" w:lineRule="auto"/>
              <w:rPr>
                <w:rFonts w:ascii="Aptos Narrow" w:eastAsia="Times New Roman" w:hAnsi="Aptos Narrow" w:cs="Times New Roman"/>
                <w:color w:val="000000"/>
                <w:lang w:val="en-US" w:eastAsia="es-CL"/>
              </w:rPr>
            </w:pPr>
            <w:r w:rsidRPr="004D4EAA">
              <w:rPr>
                <w:rFonts w:ascii="Aptos Narrow" w:eastAsia="Times New Roman" w:hAnsi="Aptos Narrow" w:cs="Times New Roman"/>
                <w:color w:val="000000"/>
                <w:lang w:val="en-US" w:eastAsia="es-CL"/>
              </w:rPr>
              <w:t>Android Studio, Ionic Framework, SQLite (Caché local).</w:t>
            </w:r>
          </w:p>
        </w:tc>
        <w:tc>
          <w:tcPr>
            <w:tcW w:w="707" w:type="dxa"/>
            <w:tcBorders>
              <w:top w:val="nil"/>
              <w:left w:val="nil"/>
              <w:bottom w:val="single" w:sz="4" w:space="0" w:color="auto"/>
              <w:right w:val="single" w:sz="4" w:space="0" w:color="auto"/>
            </w:tcBorders>
            <w:hideMark/>
          </w:tcPr>
          <w:p w14:paraId="47165544"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3 semanas</w:t>
            </w:r>
          </w:p>
        </w:tc>
        <w:tc>
          <w:tcPr>
            <w:tcW w:w="946" w:type="dxa"/>
            <w:tcBorders>
              <w:top w:val="nil"/>
              <w:left w:val="nil"/>
              <w:bottom w:val="single" w:sz="4" w:space="0" w:color="auto"/>
              <w:right w:val="single" w:sz="4" w:space="0" w:color="auto"/>
            </w:tcBorders>
            <w:hideMark/>
          </w:tcPr>
          <w:p w14:paraId="3ED1F821"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Luis Lizana Q.</w:t>
            </w:r>
          </w:p>
        </w:tc>
        <w:tc>
          <w:tcPr>
            <w:tcW w:w="1126" w:type="dxa"/>
            <w:tcBorders>
              <w:top w:val="nil"/>
              <w:left w:val="nil"/>
              <w:bottom w:val="single" w:sz="4" w:space="0" w:color="auto"/>
              <w:right w:val="single" w:sz="4" w:space="0" w:color="auto"/>
            </w:tcBorders>
            <w:hideMark/>
          </w:tcPr>
          <w:p w14:paraId="1828EF72"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Dificultad: Optimización de la lectura de códigos QR para asegurar latencia menor a 500ms.</w:t>
            </w:r>
          </w:p>
        </w:tc>
        <w:tc>
          <w:tcPr>
            <w:tcW w:w="912" w:type="dxa"/>
            <w:tcBorders>
              <w:top w:val="nil"/>
              <w:left w:val="nil"/>
              <w:bottom w:val="single" w:sz="4" w:space="0" w:color="auto"/>
              <w:right w:val="single" w:sz="4" w:space="0" w:color="auto"/>
            </w:tcBorders>
            <w:hideMark/>
          </w:tcPr>
          <w:p w14:paraId="757699A4"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En curso</w:t>
            </w:r>
          </w:p>
        </w:tc>
        <w:tc>
          <w:tcPr>
            <w:tcW w:w="1117" w:type="dxa"/>
            <w:tcBorders>
              <w:top w:val="nil"/>
              <w:left w:val="nil"/>
              <w:bottom w:val="single" w:sz="4" w:space="0" w:color="auto"/>
              <w:right w:val="single" w:sz="4" w:space="0" w:color="auto"/>
            </w:tcBorders>
            <w:hideMark/>
          </w:tcPr>
          <w:p w14:paraId="61F10F61"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Se incorporó persistencia local en caché para permitir la operación en modo offline.</w:t>
            </w:r>
          </w:p>
        </w:tc>
      </w:tr>
      <w:tr w:rsidR="004D4EAA" w:rsidRPr="004D4EAA" w14:paraId="4E2359A2" w14:textId="77777777" w:rsidTr="004D4EAA">
        <w:trPr>
          <w:trHeight w:val="2674"/>
        </w:trPr>
        <w:tc>
          <w:tcPr>
            <w:tcW w:w="1184" w:type="dxa"/>
            <w:tcBorders>
              <w:top w:val="nil"/>
              <w:left w:val="single" w:sz="4" w:space="0" w:color="auto"/>
              <w:bottom w:val="single" w:sz="4" w:space="0" w:color="auto"/>
              <w:right w:val="single" w:sz="4" w:space="0" w:color="auto"/>
            </w:tcBorders>
            <w:hideMark/>
          </w:tcPr>
          <w:p w14:paraId="154300F9"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lastRenderedPageBreak/>
              <w:t>Implementar soluciones sistémicas (IA y Ciberfísica IoT).</w:t>
            </w:r>
          </w:p>
        </w:tc>
        <w:tc>
          <w:tcPr>
            <w:tcW w:w="1367" w:type="dxa"/>
            <w:tcBorders>
              <w:top w:val="nil"/>
              <w:left w:val="nil"/>
              <w:bottom w:val="single" w:sz="4" w:space="0" w:color="auto"/>
              <w:right w:val="single" w:sz="4" w:space="0" w:color="auto"/>
            </w:tcBorders>
            <w:hideMark/>
          </w:tcPr>
          <w:p w14:paraId="468912EB"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6. Implementación del Copiloto de IA con Arquitectura RAG y pgvector.</w:t>
            </w:r>
          </w:p>
        </w:tc>
        <w:tc>
          <w:tcPr>
            <w:tcW w:w="1135" w:type="dxa"/>
            <w:tcBorders>
              <w:top w:val="nil"/>
              <w:left w:val="nil"/>
              <w:bottom w:val="single" w:sz="4" w:space="0" w:color="auto"/>
              <w:right w:val="single" w:sz="4" w:space="0" w:color="auto"/>
            </w:tcBorders>
            <w:hideMark/>
          </w:tcPr>
          <w:p w14:paraId="13A79FA2"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PostgreSQL, extensión pgvector, API de LLM.</w:t>
            </w:r>
          </w:p>
        </w:tc>
        <w:tc>
          <w:tcPr>
            <w:tcW w:w="707" w:type="dxa"/>
            <w:tcBorders>
              <w:top w:val="nil"/>
              <w:left w:val="nil"/>
              <w:bottom w:val="single" w:sz="4" w:space="0" w:color="auto"/>
              <w:right w:val="single" w:sz="4" w:space="0" w:color="auto"/>
            </w:tcBorders>
            <w:hideMark/>
          </w:tcPr>
          <w:p w14:paraId="20A3D0A9"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2 semanas</w:t>
            </w:r>
          </w:p>
        </w:tc>
        <w:tc>
          <w:tcPr>
            <w:tcW w:w="946" w:type="dxa"/>
            <w:tcBorders>
              <w:top w:val="nil"/>
              <w:left w:val="nil"/>
              <w:bottom w:val="single" w:sz="4" w:space="0" w:color="auto"/>
              <w:right w:val="single" w:sz="4" w:space="0" w:color="auto"/>
            </w:tcBorders>
            <w:hideMark/>
          </w:tcPr>
          <w:p w14:paraId="4788AFD2"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Luis Castro G.</w:t>
            </w:r>
          </w:p>
        </w:tc>
        <w:tc>
          <w:tcPr>
            <w:tcW w:w="1126" w:type="dxa"/>
            <w:tcBorders>
              <w:top w:val="nil"/>
              <w:left w:val="nil"/>
              <w:bottom w:val="single" w:sz="4" w:space="0" w:color="auto"/>
              <w:right w:val="single" w:sz="4" w:space="0" w:color="auto"/>
            </w:tcBorders>
            <w:hideMark/>
          </w:tcPr>
          <w:p w14:paraId="61CDEF9E"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Dificultad: Curva de aprendizaje en la vectorización de documentos y consultas semánticas.</w:t>
            </w:r>
          </w:p>
        </w:tc>
        <w:tc>
          <w:tcPr>
            <w:tcW w:w="912" w:type="dxa"/>
            <w:tcBorders>
              <w:top w:val="nil"/>
              <w:left w:val="nil"/>
              <w:bottom w:val="single" w:sz="4" w:space="0" w:color="auto"/>
              <w:right w:val="single" w:sz="4" w:space="0" w:color="auto"/>
            </w:tcBorders>
            <w:hideMark/>
          </w:tcPr>
          <w:p w14:paraId="346E628E"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En curso</w:t>
            </w:r>
          </w:p>
        </w:tc>
        <w:tc>
          <w:tcPr>
            <w:tcW w:w="1117" w:type="dxa"/>
            <w:tcBorders>
              <w:top w:val="nil"/>
              <w:left w:val="nil"/>
              <w:bottom w:val="single" w:sz="4" w:space="0" w:color="auto"/>
              <w:right w:val="single" w:sz="4" w:space="0" w:color="auto"/>
            </w:tcBorders>
            <w:hideMark/>
          </w:tcPr>
          <w:p w14:paraId="09C7B97B"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Se redujo el volumen inicial de manuales indexados para acelerar las pruebas de concepto.</w:t>
            </w:r>
          </w:p>
        </w:tc>
      </w:tr>
      <w:tr w:rsidR="004D4EAA" w:rsidRPr="004D4EAA" w14:paraId="2EF89763" w14:textId="77777777" w:rsidTr="004D4EAA">
        <w:trPr>
          <w:trHeight w:val="2674"/>
        </w:trPr>
        <w:tc>
          <w:tcPr>
            <w:tcW w:w="1184" w:type="dxa"/>
            <w:tcBorders>
              <w:top w:val="nil"/>
              <w:left w:val="single" w:sz="4" w:space="0" w:color="auto"/>
              <w:bottom w:val="single" w:sz="4" w:space="0" w:color="auto"/>
              <w:right w:val="single" w:sz="4" w:space="0" w:color="auto"/>
            </w:tcBorders>
            <w:hideMark/>
          </w:tcPr>
          <w:p w14:paraId="3D326D4D"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Implementar soluciones sistémicas (IA y Ciberfísica IoT).</w:t>
            </w:r>
          </w:p>
        </w:tc>
        <w:tc>
          <w:tcPr>
            <w:tcW w:w="1367" w:type="dxa"/>
            <w:tcBorders>
              <w:top w:val="nil"/>
              <w:left w:val="nil"/>
              <w:bottom w:val="single" w:sz="4" w:space="0" w:color="auto"/>
              <w:right w:val="single" w:sz="4" w:space="0" w:color="auto"/>
            </w:tcBorders>
            <w:hideMark/>
          </w:tcPr>
          <w:p w14:paraId="5297E775"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7. Programación de microcontroladores ESP32 (IoT) y sensores MPU6050.</w:t>
            </w:r>
          </w:p>
        </w:tc>
        <w:tc>
          <w:tcPr>
            <w:tcW w:w="1135" w:type="dxa"/>
            <w:tcBorders>
              <w:top w:val="nil"/>
              <w:left w:val="nil"/>
              <w:bottom w:val="single" w:sz="4" w:space="0" w:color="auto"/>
              <w:right w:val="single" w:sz="4" w:space="0" w:color="auto"/>
            </w:tcBorders>
            <w:hideMark/>
          </w:tcPr>
          <w:p w14:paraId="28974E18"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Arduino IDE, C++, Sensores de Fuerza G y Clima.</w:t>
            </w:r>
          </w:p>
        </w:tc>
        <w:tc>
          <w:tcPr>
            <w:tcW w:w="707" w:type="dxa"/>
            <w:tcBorders>
              <w:top w:val="nil"/>
              <w:left w:val="nil"/>
              <w:bottom w:val="single" w:sz="4" w:space="0" w:color="auto"/>
              <w:right w:val="single" w:sz="4" w:space="0" w:color="auto"/>
            </w:tcBorders>
            <w:hideMark/>
          </w:tcPr>
          <w:p w14:paraId="4F9BB959"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2 semanas</w:t>
            </w:r>
          </w:p>
        </w:tc>
        <w:tc>
          <w:tcPr>
            <w:tcW w:w="946" w:type="dxa"/>
            <w:tcBorders>
              <w:top w:val="nil"/>
              <w:left w:val="nil"/>
              <w:bottom w:val="single" w:sz="4" w:space="0" w:color="auto"/>
              <w:right w:val="single" w:sz="4" w:space="0" w:color="auto"/>
            </w:tcBorders>
            <w:hideMark/>
          </w:tcPr>
          <w:p w14:paraId="242261E0"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Bryan Garrido R.</w:t>
            </w:r>
          </w:p>
        </w:tc>
        <w:tc>
          <w:tcPr>
            <w:tcW w:w="1126" w:type="dxa"/>
            <w:tcBorders>
              <w:top w:val="nil"/>
              <w:left w:val="nil"/>
              <w:bottom w:val="single" w:sz="4" w:space="0" w:color="auto"/>
              <w:right w:val="single" w:sz="4" w:space="0" w:color="auto"/>
            </w:tcBorders>
            <w:hideMark/>
          </w:tcPr>
          <w:p w14:paraId="5611A058"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Dificultad: Falsos positivos por vibraciones menores en los estantes de la bodega.</w:t>
            </w:r>
          </w:p>
        </w:tc>
        <w:tc>
          <w:tcPr>
            <w:tcW w:w="912" w:type="dxa"/>
            <w:tcBorders>
              <w:top w:val="nil"/>
              <w:left w:val="nil"/>
              <w:bottom w:val="single" w:sz="4" w:space="0" w:color="auto"/>
              <w:right w:val="single" w:sz="4" w:space="0" w:color="auto"/>
            </w:tcBorders>
            <w:hideMark/>
          </w:tcPr>
          <w:p w14:paraId="7D41453A"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Ajustada</w:t>
            </w:r>
          </w:p>
        </w:tc>
        <w:tc>
          <w:tcPr>
            <w:tcW w:w="1117" w:type="dxa"/>
            <w:tcBorders>
              <w:top w:val="nil"/>
              <w:left w:val="nil"/>
              <w:bottom w:val="single" w:sz="4" w:space="0" w:color="auto"/>
              <w:right w:val="single" w:sz="4" w:space="0" w:color="auto"/>
            </w:tcBorders>
            <w:hideMark/>
          </w:tcPr>
          <w:p w14:paraId="4C09CC8A"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Se programó un filtro anti-rebote en C++ para transmitir alertas solo cuando el impacto supere 2.5G.</w:t>
            </w:r>
          </w:p>
        </w:tc>
      </w:tr>
      <w:tr w:rsidR="004D4EAA" w:rsidRPr="004D4EAA" w14:paraId="34AFADCC" w14:textId="77777777" w:rsidTr="004D4EAA">
        <w:trPr>
          <w:trHeight w:val="2674"/>
        </w:trPr>
        <w:tc>
          <w:tcPr>
            <w:tcW w:w="1184" w:type="dxa"/>
            <w:tcBorders>
              <w:top w:val="nil"/>
              <w:left w:val="single" w:sz="4" w:space="0" w:color="auto"/>
              <w:bottom w:val="single" w:sz="4" w:space="0" w:color="auto"/>
              <w:right w:val="single" w:sz="4" w:space="0" w:color="auto"/>
            </w:tcBorders>
            <w:hideMark/>
          </w:tcPr>
          <w:p w14:paraId="11D46EDC"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Gestionar proyectos informáticos y control de calidad.</w:t>
            </w:r>
          </w:p>
        </w:tc>
        <w:tc>
          <w:tcPr>
            <w:tcW w:w="1367" w:type="dxa"/>
            <w:tcBorders>
              <w:top w:val="nil"/>
              <w:left w:val="nil"/>
              <w:bottom w:val="single" w:sz="4" w:space="0" w:color="auto"/>
              <w:right w:val="single" w:sz="4" w:space="0" w:color="auto"/>
            </w:tcBorders>
            <w:hideMark/>
          </w:tcPr>
          <w:p w14:paraId="1DADA2C0"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8. Ejecución de pruebas integrales, documentación DAS y preparación de entrega.</w:t>
            </w:r>
          </w:p>
        </w:tc>
        <w:tc>
          <w:tcPr>
            <w:tcW w:w="1135" w:type="dxa"/>
            <w:tcBorders>
              <w:top w:val="nil"/>
              <w:left w:val="nil"/>
              <w:bottom w:val="single" w:sz="4" w:space="0" w:color="auto"/>
              <w:right w:val="single" w:sz="4" w:space="0" w:color="auto"/>
            </w:tcBorders>
            <w:hideMark/>
          </w:tcPr>
          <w:p w14:paraId="29495566"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GitHub, Postman, Documentación técnica.</w:t>
            </w:r>
          </w:p>
        </w:tc>
        <w:tc>
          <w:tcPr>
            <w:tcW w:w="707" w:type="dxa"/>
            <w:tcBorders>
              <w:top w:val="nil"/>
              <w:left w:val="nil"/>
              <w:bottom w:val="single" w:sz="4" w:space="0" w:color="auto"/>
              <w:right w:val="single" w:sz="4" w:space="0" w:color="auto"/>
            </w:tcBorders>
            <w:hideMark/>
          </w:tcPr>
          <w:p w14:paraId="7D5E05FD"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2 semanas</w:t>
            </w:r>
          </w:p>
        </w:tc>
        <w:tc>
          <w:tcPr>
            <w:tcW w:w="946" w:type="dxa"/>
            <w:tcBorders>
              <w:top w:val="nil"/>
              <w:left w:val="nil"/>
              <w:bottom w:val="single" w:sz="4" w:space="0" w:color="auto"/>
              <w:right w:val="single" w:sz="4" w:space="0" w:color="auto"/>
            </w:tcBorders>
            <w:hideMark/>
          </w:tcPr>
          <w:p w14:paraId="1B18B63F"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Equipo completo (Luis, Bryan, Luis)</w:t>
            </w:r>
          </w:p>
        </w:tc>
        <w:tc>
          <w:tcPr>
            <w:tcW w:w="1126" w:type="dxa"/>
            <w:tcBorders>
              <w:top w:val="nil"/>
              <w:left w:val="nil"/>
              <w:bottom w:val="single" w:sz="4" w:space="0" w:color="auto"/>
              <w:right w:val="single" w:sz="4" w:space="0" w:color="auto"/>
            </w:tcBorders>
            <w:hideMark/>
          </w:tcPr>
          <w:p w14:paraId="1E1441C4"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Facilitador: Comunicación fluida y compromiso mutuo del equipo de trabajo.</w:t>
            </w:r>
          </w:p>
        </w:tc>
        <w:tc>
          <w:tcPr>
            <w:tcW w:w="912" w:type="dxa"/>
            <w:tcBorders>
              <w:top w:val="nil"/>
              <w:left w:val="nil"/>
              <w:bottom w:val="single" w:sz="4" w:space="0" w:color="auto"/>
              <w:right w:val="single" w:sz="4" w:space="0" w:color="auto"/>
            </w:tcBorders>
            <w:hideMark/>
          </w:tcPr>
          <w:p w14:paraId="0A2BBC7F"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En curso</w:t>
            </w:r>
          </w:p>
        </w:tc>
        <w:tc>
          <w:tcPr>
            <w:tcW w:w="1117" w:type="dxa"/>
            <w:tcBorders>
              <w:top w:val="nil"/>
              <w:left w:val="nil"/>
              <w:bottom w:val="single" w:sz="4" w:space="0" w:color="auto"/>
              <w:right w:val="single" w:sz="4" w:space="0" w:color="auto"/>
            </w:tcBorders>
            <w:hideMark/>
          </w:tcPr>
          <w:p w14:paraId="4AEB01C5" w14:textId="77777777" w:rsidR="004D4EAA" w:rsidRPr="004D4EAA" w:rsidRDefault="004D4EAA" w:rsidP="004D4EAA">
            <w:pPr>
              <w:spacing w:after="0" w:line="240" w:lineRule="auto"/>
              <w:rPr>
                <w:rFonts w:ascii="Aptos Narrow" w:eastAsia="Times New Roman" w:hAnsi="Aptos Narrow" w:cs="Times New Roman"/>
                <w:color w:val="000000"/>
                <w:lang w:eastAsia="es-CL"/>
              </w:rPr>
            </w:pPr>
            <w:r w:rsidRPr="004D4EAA">
              <w:rPr>
                <w:rFonts w:ascii="Aptos Narrow" w:eastAsia="Times New Roman" w:hAnsi="Aptos Narrow" w:cs="Times New Roman"/>
                <w:color w:val="000000"/>
                <w:lang w:eastAsia="es-CL"/>
              </w:rPr>
              <w:t>Se redistribuyeron tareas de documentación para optimizar tiempos frente al cierre del sprint.</w:t>
            </w:r>
          </w:p>
        </w:tc>
      </w:tr>
    </w:tbl>
    <w:p w14:paraId="6328F822" w14:textId="77777777" w:rsidR="004D4EAA" w:rsidRPr="004D4EAA" w:rsidRDefault="004D4EAA" w:rsidP="0003309E">
      <w:pPr>
        <w:rPr>
          <w:rFonts w:cs="Calibri Light"/>
          <w:color w:val="595959" w:themeColor="text1" w:themeTint="A6"/>
          <w:sz w:val="24"/>
          <w:szCs w:val="24"/>
        </w:rPr>
      </w:pPr>
    </w:p>
    <w:p w14:paraId="41653652" w14:textId="77777777" w:rsidR="004D4EAA" w:rsidRDefault="004D4EAA"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002B243F" w14:textId="77777777" w:rsidR="00F406F8" w:rsidRDefault="00F406F8" w:rsidP="00F406F8">
            <w:pPr>
              <w:rPr>
                <w:rFonts w:ascii="Calibri" w:hAnsi="Calibri"/>
                <w:color w:val="1F3864" w:themeColor="accent1" w:themeShade="80"/>
              </w:rPr>
            </w:pPr>
            <w:r w:rsidRPr="00F406F8">
              <w:rPr>
                <w:rFonts w:ascii="Calibri" w:hAnsi="Calibri"/>
                <w:color w:val="1F3864" w:themeColor="accent1" w:themeShade="80"/>
              </w:rPr>
              <w:lastRenderedPageBreak/>
              <w:t>1. Factores Facilitadores</w:t>
            </w:r>
          </w:p>
          <w:p w14:paraId="3DE9D6DC" w14:textId="4952AC58"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La sinergia y compatibilidad del stack tecnológico seleccionado:</w:t>
            </w:r>
          </w:p>
          <w:p w14:paraId="31EA77D3" w14:textId="640B07AB"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Análisis: Haber apostado por un ecosistema basado en FastAPI (Python) para el backend y Angular/Ionic para el frontend simplificó drásticamente la curva de aprendizaje técnica del equipo. Al mantener un lenguaje tipado estructurado y patrones orientados a objetos similares en las distintas capas de la aplicación, se redujo la fricción en la integración de los servicios web, facilitando cumplir a tiempo con las primeras iteraciones de l</w:t>
            </w:r>
            <w:r>
              <w:rPr>
                <w:rFonts w:ascii="Calibri" w:hAnsi="Calibri"/>
                <w:color w:val="1F3864" w:themeColor="accent1" w:themeShade="80"/>
              </w:rPr>
              <w:t>os sprint</w:t>
            </w:r>
            <w:r w:rsidRPr="00F406F8">
              <w:rPr>
                <w:rFonts w:ascii="Calibri" w:hAnsi="Calibri"/>
                <w:color w:val="1F3864" w:themeColor="accent1" w:themeShade="80"/>
              </w:rPr>
              <w:t>.</w:t>
            </w:r>
          </w:p>
          <w:p w14:paraId="23CB2B55" w14:textId="400A25CD"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La adopción de infraestructura Serverless (Google Cloud Run):</w:t>
            </w:r>
          </w:p>
          <w:p w14:paraId="6BA5C06A" w14:textId="16321D77"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Análisis: Delegar la administración de servidores físicos en la nube de GCP permitió al equipo prescindir de tareas complejas de configuración de sistemas operativos, redes locales o balanceadores de hardware. Esto facilitó un despliegue continuo y directo del código, optimizando horas de trabajo que se redirigieron exclusivamente a la lógica de negocio.</w:t>
            </w:r>
          </w:p>
          <w:p w14:paraId="5E3EDE18" w14:textId="1BA118C1"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El compromiso y la comunicación del equipo de trabajo:</w:t>
            </w:r>
          </w:p>
          <w:p w14:paraId="6BC2DDB2" w14:textId="0E3F5246"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Análisis: A pesar de las exigencias personales y laborales externas, la buena comunicación y la disposición para rotar tareas y apoyarse mutuamente permitieron destrabar bloqueos de código complejos mediante revisiones cruzadas (Code Review), manteniendo la cohesión grupal.</w:t>
            </w:r>
          </w:p>
          <w:p w14:paraId="2DBFF74B" w14:textId="77777777"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2. Factores Dificultadores y Acciones de Mitigación / Solución</w:t>
            </w:r>
          </w:p>
          <w:p w14:paraId="6FF319D7" w14:textId="7522AB26"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 xml:space="preserve">Dificultad 1: Complejidad técnica en la sincronización asíncrona de eventos (WebSockets y </w:t>
            </w:r>
            <w:r>
              <w:rPr>
                <w:rFonts w:ascii="Calibri" w:hAnsi="Calibri"/>
                <w:color w:val="1F3864" w:themeColor="accent1" w:themeShade="80"/>
              </w:rPr>
              <w:t>c</w:t>
            </w:r>
            <w:r w:rsidRPr="00F406F8">
              <w:rPr>
                <w:rFonts w:ascii="Calibri" w:hAnsi="Calibri"/>
                <w:color w:val="1F3864" w:themeColor="accent1" w:themeShade="80"/>
              </w:rPr>
              <w:t>oncurrencia).</w:t>
            </w:r>
          </w:p>
          <w:p w14:paraId="3540F76F" w14:textId="4E0CD6C7"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Descripción: Durante el desarrollo del motor transaccional, gestionar la concurrencia de múltiples hilos en FastAPI para actualizar en vivo el panel del Jefe de Bodega sin generar bloqueos en la base de datos representó un reto técnico significativo.</w:t>
            </w:r>
          </w:p>
          <w:p w14:paraId="61499D90" w14:textId="5D986FD3"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Acción tomada/a tomar para solucionarlo: Se aplicó un rediseño de arquitectura basado en el aislamiento de transacciones ACID y el uso de conexiones persistentes optimizadas mediante WebSockets seguros (WSS). Adicionalmente, se implementaron pruebas unitarias automatizadas en los servicios para validar el comportamiento del backend ante altas cargas antes de realizar la integración visual.</w:t>
            </w:r>
          </w:p>
          <w:p w14:paraId="730AF46A" w14:textId="3C06E232"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Dificultad 2: Falsos positivos en la captura de telemetría del hardware IoT.</w:t>
            </w:r>
          </w:p>
          <w:p w14:paraId="302CD11D" w14:textId="6F206B42"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Descripción: En las fases iniciales de pruebas de integración con los sensores ESP32, las vibraciones menores e inevitables en los estantes (como el paso cercano de una grúa horquilla) disparaban alertas de impacto erróneas, amenazando con saturar el sistema con falsas cuarentenas de inventario.</w:t>
            </w:r>
          </w:p>
          <w:p w14:paraId="425F1E66" w14:textId="77777777"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Acción tomada/a tomar para solucionarlo: Se reestructuró la lógica a nivel de código Edge (en el firmware C++ del microcontrolador). Se implementó un algoritmo de filtro anti-rebote local, configurando el sistema para descartar cualquier aceleración transitoria y transmitir alertas hacia la nube únicamente cuando la Fuerza G supere de forma sostenida el umbral crítico de 2.5G, evitando llamadas innecesarias a la API y protegiendo la integridad operativa de la base de datos.</w:t>
            </w:r>
          </w:p>
          <w:p w14:paraId="561E193A" w14:textId="77777777" w:rsidR="00F406F8" w:rsidRPr="00F406F8" w:rsidRDefault="00F406F8" w:rsidP="00F406F8">
            <w:pPr>
              <w:rPr>
                <w:rFonts w:ascii="Calibri" w:hAnsi="Calibri"/>
                <w:color w:val="1F3864" w:themeColor="accent1" w:themeShade="80"/>
              </w:rPr>
            </w:pPr>
          </w:p>
          <w:p w14:paraId="23CBC5D7" w14:textId="49BFADAD"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lastRenderedPageBreak/>
              <w:t>Dificultad 3: Restricción crítica de tiempo frente a la magnitud del alcance (Timebox de 16 semanas).</w:t>
            </w:r>
          </w:p>
          <w:p w14:paraId="30851B19" w14:textId="43E99705" w:rsidR="00F406F8" w:rsidRPr="00F406F8" w:rsidRDefault="00F406F8" w:rsidP="00F406F8">
            <w:pPr>
              <w:rPr>
                <w:rFonts w:ascii="Calibri" w:hAnsi="Calibri"/>
                <w:color w:val="1F3864" w:themeColor="accent1" w:themeShade="80"/>
              </w:rPr>
            </w:pPr>
            <w:r w:rsidRPr="00F406F8">
              <w:rPr>
                <w:rFonts w:ascii="Calibri" w:hAnsi="Calibri"/>
                <w:color w:val="1F3864" w:themeColor="accent1" w:themeShade="80"/>
              </w:rPr>
              <w:t xml:space="preserve">Descripción: Pretender desarrollar un sistema End-to-End que abarca web, app móvil, bases de datos vectoriales para IA y hardware IoT en un período tan acotado generó momentos de alta presión y riesgo de retrasos en </w:t>
            </w:r>
            <w:r>
              <w:rPr>
                <w:rFonts w:ascii="Calibri" w:hAnsi="Calibri"/>
                <w:color w:val="1F3864" w:themeColor="accent1" w:themeShade="80"/>
              </w:rPr>
              <w:t>el backlog</w:t>
            </w:r>
            <w:r w:rsidRPr="00F406F8">
              <w:rPr>
                <w:rFonts w:ascii="Calibri" w:hAnsi="Calibri"/>
                <w:color w:val="1F3864" w:themeColor="accent1" w:themeShade="80"/>
              </w:rPr>
              <w:t>.</w:t>
            </w:r>
          </w:p>
          <w:p w14:paraId="5F34C839" w14:textId="7D6D569C" w:rsidR="0003309E" w:rsidRPr="00CD38BD" w:rsidRDefault="00F406F8" w:rsidP="00F406F8">
            <w:pPr>
              <w:rPr>
                <w:rFonts w:ascii="Calibri" w:hAnsi="Calibri"/>
                <w:color w:val="1F3864" w:themeColor="accent1" w:themeShade="80"/>
              </w:rPr>
            </w:pPr>
            <w:r w:rsidRPr="00F406F8">
              <w:rPr>
                <w:rFonts w:ascii="Calibri" w:hAnsi="Calibri"/>
                <w:color w:val="1F3864" w:themeColor="accent1" w:themeShade="80"/>
              </w:rPr>
              <w:t>Acción tomada/a tomar para solucionarlo: Se utilizó formalmente el marco Scrum para aplicar una priorización estricta bajo el enfoque MoSCoW. Se congelaron temporalmente requerimientos de menor impacto (como reportes analíticos avanzados de BI) para concentrar los recursos de desarrollo de manera absoluta en el núcleo transaccional (Core). Las tecnologías de innovación avanzada (IA e IoT) se planificaron para ser integradas en Sprints de cierre con un alcance controlado, asegurando la entrega exitosa de un producto funcional y robusto.</w:t>
            </w: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C912C11" w14:textId="77777777"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1. Actividades Ajustadas</w:t>
            </w:r>
          </w:p>
          <w:p w14:paraId="79D932D5" w14:textId="5E6F3C40"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Ajuste en la actividad de Integración de Sensores IoT (Incorporación del Filtro Anti-Rebote):</w:t>
            </w:r>
          </w:p>
          <w:p w14:paraId="784D2C5C" w14:textId="6C673DFC"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Descripción del ajuste: Originalmente, el plan contemplaba que el microcontrolador ESP32 enviara de manera directa e inmediata cada fluctuación métrica capturada por el sensor MPU6050 hacia la API en la nube. Durante las pruebas preliminares, se ajustó la actividad para programar un algoritmo de filtrado local en código C++.</w:t>
            </w:r>
          </w:p>
          <w:p w14:paraId="2D8796F1" w14:textId="4FC1EB7A"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Justificación: Este ajuste se realizó para solucionar el problema crítico de los falsos positivos generados por las vibraciones normales de la bodega (como el paso de grúas horquilla). Al desplazar la lógica de validación al borde (Edge Computing), se logró que el sistema transmita alertas a la nube exclusivamente cuando el impacto supere el umbral de 2.5G, optimizando el rendimiento de la red y evitando bloqueos erróneos de inventario.</w:t>
            </w:r>
          </w:p>
          <w:p w14:paraId="036EF2C1" w14:textId="5D7375C5"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Ajuste en el alcance de los Módulos de Análisis Avanzado de Business Intelligence (Aplicación de priorización MoSCoW):</w:t>
            </w:r>
          </w:p>
          <w:p w14:paraId="503A90AC" w14:textId="3179E73A"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Descripción del ajuste: Se reformuló la planificación temporal de los tableros analíticos complejos orientados a la gerencia, desplazando su versión final hacia los ciclos de cierre opcional (Could have).</w:t>
            </w:r>
          </w:p>
          <w:p w14:paraId="5FDE7E4B" w14:textId="2CA85BB0"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Justificación: Debido a la estricta restricción de tiempo (Timebox de 16 semanas) y a la alta complejidad técnica que implicó coordinar el desarrollo simultáneo de la app móvil, el backend transaccional y la base de conocimiento vectorial de la IA (pgvector), se debió proteger el núcleo del sistema (Core Transaccional). Este ajuste garantizó que la ingesta de órdenes y el proceso de picking operaran de forma impecable antes de destinar recursos a reportes secundarios.</w:t>
            </w:r>
          </w:p>
          <w:p w14:paraId="759FFA9B" w14:textId="77777777"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2. Actividades Eliminadas</w:t>
            </w:r>
          </w:p>
          <w:p w14:paraId="155DF3B6" w14:textId="77777777"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Eliminación del desarrollo de una Base de Datos Vectorial Externa independiente (ej. Pinecone o Milvus):</w:t>
            </w:r>
          </w:p>
          <w:p w14:paraId="505B5A11" w14:textId="77777777" w:rsidR="00F406F8" w:rsidRPr="00F406F8" w:rsidRDefault="00F406F8" w:rsidP="00F406F8">
            <w:pPr>
              <w:jc w:val="both"/>
              <w:rPr>
                <w:rFonts w:ascii="Calibri" w:hAnsi="Calibri" w:cs="Arial"/>
                <w:i/>
                <w:color w:val="548DD4"/>
                <w:sz w:val="20"/>
                <w:szCs w:val="20"/>
                <w:lang w:eastAsia="es-CL"/>
              </w:rPr>
            </w:pPr>
          </w:p>
          <w:p w14:paraId="6B171F0A" w14:textId="51D22A94"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lastRenderedPageBreak/>
              <w:t>Descripción: En las etapas iniciales de diseño conceptual, se evaluó levantar un motor de base de datos exclusivo para los embeddings del Copiloto IA, separado de la base de datos transaccional. Esta actividad fue completamente eliminada del plan de trabajo.</w:t>
            </w:r>
          </w:p>
          <w:p w14:paraId="3B4EBD17" w14:textId="2636556F" w:rsidR="0003309E" w:rsidRPr="00711C16"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Justificación: Se eliminó para evitar duplicidad de infraestructura y una innecesaria complejidad en la sincronización de datos. La decisión arquitectónica que la reemplazó fue unificar toda la persistencia en PostgreSQL (Cloud SQL) habilitando la extensión nativa pgvector. Esto permitió mantener el modelo relacional y el motor semántico de Inteligencia Artificial en un único clúster seguro, ahorrando tiempo de desarrollo y cumpliendo con el modelo de eficiencia financiera (OPEX).</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16E69775" w14:textId="77777777"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1. Identificación de actividades retrasadas</w:t>
            </w:r>
          </w:p>
          <w:p w14:paraId="531E50DD" w14:textId="33EE8CF4"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Desarrollo profundo y afinamiento del Copiloto de IA (Sprint 4): La indexación y vectorización de los manuales operativos en la base de datos utilizando la extensión pgvector en PostgreSQL ha tomado un tiempo mayor al presupuestado.</w:t>
            </w:r>
          </w:p>
          <w:p w14:paraId="23461038" w14:textId="61A23B8A"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Pruebas de estrés y calibración final de la red de sensores IoT (Sprint 5): Si bien el firmware base del microcontrolador ESP32 con el filtro anti-rebote fue programado, las pruebas físicas de integración masiva y latencia bajo condiciones de interferencia real en bodega se encuentran pausadas.</w:t>
            </w:r>
          </w:p>
          <w:p w14:paraId="51E8FA2D" w14:textId="77777777"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2. Motivos del retraso</w:t>
            </w:r>
          </w:p>
          <w:p w14:paraId="31E9F1F8" w14:textId="27D3013D"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Alta complejidad tecnológica emergente: Trabajar simultáneamente con paradigmas poco habituales para el equipo —como el manejo de espacios vectoriales de alta dimensionalidad para Inteligencia Artificial y la depuración de hardware a bajo nivel en C++— generó una curva de aprendizaje imprevista que ralentizó la velocidad habitual de desarrollo de los Sprints.</w:t>
            </w:r>
          </w:p>
          <w:p w14:paraId="1FF2EC4A" w14:textId="64E34E69"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Restricción de tiempo por acumulación de roles: Tal como se abordó en la autoevaluación, la escasez crítica de tiempo debido a la superposición de responsabilidades (estudiante, sostenedor de hogar y trabajador) redujo las horas efectivas de dedicación exclusiva para la depuración de estos módulos avanzados.</w:t>
            </w:r>
          </w:p>
          <w:p w14:paraId="455FA66E" w14:textId="77777777"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3. Estrategias utilizadas para avanzar y mitigar el impacto en el Proyecto APT</w:t>
            </w:r>
          </w:p>
          <w:p w14:paraId="3C640050" w14:textId="7F43F665"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Para evitar que estos retrasos comprometan la entrega final del proyecto, se han implementado las siguientes medidas de control:</w:t>
            </w:r>
          </w:p>
          <w:p w14:paraId="60C82133" w14:textId="6D50823D"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Aplicación estricta de la priorización MoSCoW (Protección del Core): Se protegió el núcleo del sistema (Must have). Dado que el backend transaccional en FastAPI, las órdenes por Webhooks y la base de datos relacional están 100% funcionales y a tiempo, el retraso en las capas de IA e IoT no bloquea la operatividad esencial del WMS.</w:t>
            </w:r>
          </w:p>
          <w:p w14:paraId="5BE4729C" w14:textId="44A1609C" w:rsidR="00F406F8" w:rsidRPr="00F406F8" w:rsidRDefault="00F406F8" w:rsidP="00F406F8">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Reducción del alcance de validación inicial (MVP simplificado): Para el caso del Copiloto IA, se optó por indexar un subconjunto reducido de manuales críticos (en lugar de la biblioteca completa de la bodega) para validar la arquitectura RAG y asegurar un funcionamiento fluido dentro del plazo. Las iteraciones restantes de entrenamiento se completarán en el Sprint de cierre.</w:t>
            </w:r>
          </w:p>
          <w:p w14:paraId="59182B88" w14:textId="114F50F9" w:rsidR="0003309E" w:rsidRDefault="00F406F8" w:rsidP="00585A13">
            <w:pPr>
              <w:jc w:val="both"/>
              <w:rPr>
                <w:rFonts w:ascii="Calibri" w:hAnsi="Calibri" w:cs="Arial"/>
                <w:i/>
                <w:color w:val="548DD4"/>
                <w:sz w:val="20"/>
                <w:szCs w:val="20"/>
                <w:lang w:eastAsia="es-CL"/>
              </w:rPr>
            </w:pPr>
            <w:r w:rsidRPr="00F406F8">
              <w:rPr>
                <w:rFonts w:ascii="Calibri" w:hAnsi="Calibri" w:cs="Arial"/>
                <w:i/>
                <w:color w:val="548DD4"/>
                <w:sz w:val="20"/>
                <w:szCs w:val="20"/>
                <w:lang w:eastAsia="es-CL"/>
              </w:rPr>
              <w:t>Optimización de jornadas de trabajo cruzadas: Se reasignaron los tiempos libres del equipo para concentrar esfuerzos colaborativos (Pair Programming) exclusivamente en los tramos finales del código IoT e IA, garantizando que el incremento de software llegue a la versión final operativo y debidamente documentado.</w:t>
            </w: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14C4" w14:textId="77777777" w:rsidR="002C295C" w:rsidRDefault="002C295C" w:rsidP="0003309E">
      <w:pPr>
        <w:spacing w:after="0" w:line="240" w:lineRule="auto"/>
      </w:pPr>
      <w:r>
        <w:separator/>
      </w:r>
    </w:p>
  </w:endnote>
  <w:endnote w:type="continuationSeparator" w:id="0">
    <w:p w14:paraId="6B922014" w14:textId="77777777" w:rsidR="002C295C" w:rsidRDefault="002C295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03A60" w14:textId="77777777" w:rsidR="002C295C" w:rsidRDefault="002C295C" w:rsidP="0003309E">
      <w:pPr>
        <w:spacing w:after="0" w:line="240" w:lineRule="auto"/>
      </w:pPr>
      <w:r>
        <w:separator/>
      </w:r>
    </w:p>
  </w:footnote>
  <w:footnote w:type="continuationSeparator" w:id="0">
    <w:p w14:paraId="501E5C48" w14:textId="77777777" w:rsidR="002C295C" w:rsidRDefault="002C295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65332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00739"/>
    <w:rsid w:val="002C295C"/>
    <w:rsid w:val="003608EA"/>
    <w:rsid w:val="00470CE4"/>
    <w:rsid w:val="004B75F6"/>
    <w:rsid w:val="004D4EAA"/>
    <w:rsid w:val="00521026"/>
    <w:rsid w:val="00545F23"/>
    <w:rsid w:val="00563B43"/>
    <w:rsid w:val="00586C9C"/>
    <w:rsid w:val="005A0A7C"/>
    <w:rsid w:val="005B4D4A"/>
    <w:rsid w:val="00603474"/>
    <w:rsid w:val="00675035"/>
    <w:rsid w:val="00675A73"/>
    <w:rsid w:val="006858A7"/>
    <w:rsid w:val="00695E7C"/>
    <w:rsid w:val="006B242E"/>
    <w:rsid w:val="007D35BC"/>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406F8"/>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406F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7D35BC"/>
    <w:pPr>
      <w:ind w:left="720"/>
      <w:contextualSpacing/>
    </w:pPr>
  </w:style>
  <w:style w:type="character" w:customStyle="1" w:styleId="Ttulo4Car">
    <w:name w:val="Título 4 Car"/>
    <w:basedOn w:val="Fuentedeprrafopredeter"/>
    <w:link w:val="Ttulo4"/>
    <w:uiPriority w:val="9"/>
    <w:semiHidden/>
    <w:rsid w:val="00F406F8"/>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2652</Words>
  <Characters>14590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Castro Gonzalez, Luis Arturo</cp:lastModifiedBy>
  <cp:revision>5</cp:revision>
  <dcterms:created xsi:type="dcterms:W3CDTF">2022-08-24T18:14:00Z</dcterms:created>
  <dcterms:modified xsi:type="dcterms:W3CDTF">2026-10-16T20:52:00Z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