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588119">
      <w:pPr>
        <w:adjustRightInd w:val="0"/>
        <w:spacing w:line="312" w:lineRule="atLeast"/>
        <w:jc w:val="center"/>
        <w:textAlignment w:val="baseline"/>
        <w:rPr>
          <w:rFonts w:ascii="黑体" w:hAnsi="Courier New" w:eastAsia="黑体" w:cs="Times New Roman"/>
          <w:kern w:val="0"/>
          <w:sz w:val="32"/>
          <w:szCs w:val="20"/>
        </w:rPr>
      </w:pPr>
      <w:r>
        <w:rPr>
          <w:rFonts w:hint="eastAsia" w:ascii="黑体" w:hAnsi="Courier New" w:eastAsia="黑体" w:cs="Times New Roman"/>
          <w:kern w:val="0"/>
          <w:sz w:val="32"/>
          <w:szCs w:val="20"/>
        </w:rPr>
        <w:t>202</w:t>
      </w:r>
      <w:r>
        <w:rPr>
          <w:rFonts w:hint="eastAsia" w:ascii="黑体" w:hAnsi="Courier New" w:eastAsia="黑体" w:cs="Times New Roman"/>
          <w:kern w:val="0"/>
          <w:sz w:val="32"/>
          <w:szCs w:val="20"/>
          <w:lang w:val="en-US" w:eastAsia="zh-CN"/>
        </w:rPr>
        <w:t>5</w:t>
      </w:r>
      <w:r>
        <w:rPr>
          <w:rFonts w:hint="eastAsia" w:ascii="黑体" w:hAnsi="Courier New" w:eastAsia="黑体" w:cs="Times New Roman"/>
          <w:kern w:val="0"/>
          <w:sz w:val="32"/>
          <w:szCs w:val="20"/>
        </w:rPr>
        <w:t>年西安电子科技大学数学建模校</w:t>
      </w:r>
      <w:r>
        <w:rPr>
          <w:rFonts w:hint="eastAsia" w:ascii="黑体" w:hAnsi="Courier New" w:eastAsia="黑体" w:cs="Times New Roman"/>
          <w:kern w:val="0"/>
          <w:sz w:val="32"/>
          <w:szCs w:val="20"/>
          <w:lang w:eastAsia="zh-CN"/>
        </w:rPr>
        <w:t>内</w:t>
      </w:r>
      <w:r>
        <w:rPr>
          <w:rFonts w:hint="eastAsia" w:ascii="黑体" w:hAnsi="Courier New" w:eastAsia="黑体" w:cs="Times New Roman"/>
          <w:kern w:val="0"/>
          <w:sz w:val="32"/>
          <w:szCs w:val="20"/>
        </w:rPr>
        <w:t>赛题目</w:t>
      </w:r>
    </w:p>
    <w:p w14:paraId="453CB883">
      <w:pPr>
        <w:jc w:val="center"/>
        <w:rPr>
          <w:rFonts w:ascii="华文楷体" w:hAnsi="华文楷体" w:eastAsia="华文楷体" w:cs="Times New Roman"/>
          <w:sz w:val="28"/>
          <w:szCs w:val="28"/>
        </w:rPr>
      </w:pPr>
      <w:r>
        <w:rPr>
          <w:rFonts w:ascii="华文楷体" w:hAnsi="华文楷体" w:eastAsia="华文楷体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177800</wp:posOffset>
                </wp:positionH>
                <wp:positionV relativeFrom="paragraph">
                  <wp:posOffset>386080</wp:posOffset>
                </wp:positionV>
                <wp:extent cx="5257800" cy="7620"/>
                <wp:effectExtent l="0" t="28575" r="0" b="4000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57800" cy="762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pt;margin-top:30.4pt;height:0.6pt;width:414pt;z-index:251659264;mso-width-relative:page;mso-height-relative:page;" filled="f" stroked="t" coordsize="21600,21600" o:gfxdata="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AwJw1jYAAAACAEAAA8AAAAAAAAAAQAgAAAAIgAAAGRycy9kb3ducmV2Lnht&#10;bFBLAQIUABQAAAAIAIdO4kDdAz/0+QEAAM0DAAAOAAAAAAAAAAEAIAAAACcBAABkcnMvZTJvRG9j&#10;LnhtbFBLBQYAAAAABgAGAFkBAACSBQAAAAA=&#10;">
                <v:fill on="f" focussize="0,0"/>
                <v:stroke weight="4.5pt" color="#000000" linestyle="thinThick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楷体" w:hAnsi="华文楷体" w:eastAsia="华文楷体" w:cs="Times New Roman"/>
          <w:sz w:val="28"/>
          <w:szCs w:val="28"/>
        </w:rPr>
        <w:t>（请先阅读“西安电子科技大学数学建模校赛论文格式规范”）</w:t>
      </w:r>
    </w:p>
    <w:p w14:paraId="16B2942F">
      <w:pPr>
        <w:ind w:firstLine="1682" w:firstLineChars="600"/>
        <w:rPr>
          <w:rFonts w:hint="eastAsia"/>
          <w:sz w:val="28"/>
          <w:szCs w:val="28"/>
        </w:rPr>
      </w:pPr>
      <w:r>
        <w:rPr>
          <w:rFonts w:hint="eastAsia" w:ascii="方正公文黑体" w:hAnsi="方正公文黑体" w:eastAsia="方正公文黑体" w:cs="方正公文黑体"/>
          <w:b/>
          <w:bCs/>
          <w:sz w:val="28"/>
          <w:szCs w:val="28"/>
          <w:lang w:val="en-US" w:eastAsia="zh-CN"/>
        </w:rPr>
        <w:t xml:space="preserve">C题 </w:t>
      </w:r>
      <w:r>
        <w:rPr>
          <w:rFonts w:hint="eastAsia" w:ascii="方正公文黑体" w:hAnsi="方正公文黑体" w:eastAsia="方正公文黑体" w:cs="方正公文黑体"/>
          <w:b/>
          <w:bCs/>
          <w:sz w:val="28"/>
          <w:szCs w:val="28"/>
        </w:rPr>
        <w:t>‌食品安全检测：从田间到餐桌的科技守卫</w:t>
      </w:r>
      <w:r>
        <w:rPr>
          <w:rFonts w:hint="eastAsia"/>
          <w:sz w:val="28"/>
          <w:szCs w:val="28"/>
        </w:rPr>
        <w:t>‌</w:t>
      </w:r>
    </w:p>
    <w:p w14:paraId="69312561">
      <w:pPr>
        <w:spacing w:line="360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物质丰裕的现代社会，食品安全早已超越简单的温饱问题，成为衡量社会文明程度的标尺。从三聚氰胺奶粉到地沟油事件，从瘦肉精猪肉到315晚会曝光的"梅菜扣肉"使用糟头肉，每一起食品安全事故都在叩击着公众的信任底线。当工业化食品生产链条日益复杂，食品安全检测技术已不仅是实验室里的科研课题，更是守护14亿人健康的前沿阵地。</w:t>
      </w:r>
      <w:r>
        <w:rPr>
          <w:rFonts w:hint="eastAsia"/>
          <w:sz w:val="24"/>
          <w:szCs w:val="24"/>
          <w:lang w:val="en-US" w:eastAsia="zh-CN"/>
        </w:rPr>
        <w:t>其中</w:t>
      </w:r>
      <w:r>
        <w:rPr>
          <w:rFonts w:hint="eastAsia"/>
          <w:sz w:val="24"/>
          <w:szCs w:val="24"/>
        </w:rPr>
        <w:t>农药残留超标始终是威胁食品安全的隐形杀手。农业农村部最新抽检数据显示，2023年蔬菜类农产品农残合格率虽达97.3%，但毒死蜱、克百威等高风险禁用农药仍屡禁不止。3.15晚会曾曝光某地草莓种植户违规使用催熟剂，导致产品检测出超标5倍的乙烯利残留，折射出农业生产源头监管的复杂性。</w:t>
      </w:r>
    </w:p>
    <w:p w14:paraId="05CE8D27">
      <w:pPr>
        <w:spacing w:line="360" w:lineRule="auto"/>
        <w:ind w:firstLine="480" w:firstLineChars="20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在农产品流通环节，低成本、实时、非化学反应的检测技术已成为破解农残监管瓶颈的关键。传统色谱检测依赖实验室环境和化学试剂，单次检测成本超过200元，难以在田间地头实现高频次筛查‌。2025年曝光的草莓乙烯利超标事件中，涉事农户正是利用传统检测耗时长的漏洞，将问题产品混入生鲜供应链</w:t>
      </w:r>
      <w:r>
        <w:rPr>
          <w:rFonts w:hint="eastAsia"/>
          <w:sz w:val="24"/>
          <w:szCs w:val="24"/>
          <w:lang w:eastAsia="zh-CN"/>
        </w:rPr>
        <w:t>。</w:t>
      </w:r>
    </w:p>
    <w:p w14:paraId="6A1C321C"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同类物品的光谱数据受到很多因素的影响</w:t>
      </w:r>
      <w:r>
        <w:rPr>
          <w:rFonts w:hint="eastAsia"/>
          <w:sz w:val="24"/>
          <w:szCs w:val="24"/>
          <w:highlight w:val="yellow"/>
          <w:lang w:val="en-US" w:eastAsia="zh-CN"/>
        </w:rPr>
        <w:t>，叶绿素、叶片厚薄、农药喷洒、生长周期、自身的品种、测量仪器、不同测量批次等都会产生波动</w:t>
      </w:r>
      <w:r>
        <w:rPr>
          <w:rFonts w:hint="eastAsia"/>
          <w:sz w:val="24"/>
          <w:szCs w:val="24"/>
          <w:lang w:val="en-US" w:eastAsia="zh-CN"/>
        </w:rPr>
        <w:t>。这是基于光谱检测做农药残留检测的难点和挑战。某实验室通过模拟</w:t>
      </w:r>
      <w:r>
        <w:rPr>
          <w:rFonts w:hint="eastAsia"/>
          <w:sz w:val="24"/>
          <w:szCs w:val="24"/>
          <w:highlight w:val="yellow"/>
          <w:lang w:val="en-US" w:eastAsia="zh-CN"/>
        </w:rPr>
        <w:t>田间真实场景，</w:t>
      </w:r>
      <w:r>
        <w:rPr>
          <w:rFonts w:hint="eastAsia"/>
          <w:sz w:val="24"/>
          <w:szCs w:val="24"/>
          <w:lang w:val="en-US" w:eastAsia="zh-CN"/>
        </w:rPr>
        <w:t>设计了农药喷洒实验，获取了</w:t>
      </w:r>
      <w:r>
        <w:rPr>
          <w:rFonts w:hint="eastAsia"/>
          <w:sz w:val="24"/>
          <w:szCs w:val="24"/>
          <w:highlight w:val="yellow"/>
          <w:lang w:val="en-US" w:eastAsia="zh-CN"/>
        </w:rPr>
        <w:t>相关光谱检测数据</w:t>
      </w:r>
      <w:r>
        <w:rPr>
          <w:rFonts w:hint="eastAsia"/>
          <w:sz w:val="24"/>
          <w:szCs w:val="24"/>
          <w:lang w:val="en-US" w:eastAsia="zh-CN"/>
        </w:rPr>
        <w:t>，数据以及数据解释见附件。请查阅光谱以及相关研究资料，建立数学模型解决如下问题：</w:t>
      </w:r>
    </w:p>
    <w:p w14:paraId="12BDA156">
      <w:pPr>
        <w:spacing w:line="360" w:lineRule="auto"/>
        <w:ind w:firstLine="482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问题1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eastAsia"/>
          <w:b/>
          <w:bCs/>
          <w:sz w:val="24"/>
          <w:szCs w:val="24"/>
          <w:lang w:val="en-US" w:eastAsia="zh-CN"/>
        </w:rPr>
        <w:t>解决噪声问题</w:t>
      </w:r>
      <w:r>
        <w:rPr>
          <w:rFonts w:hint="eastAsia"/>
          <w:sz w:val="24"/>
          <w:szCs w:val="24"/>
          <w:lang w:val="en-US" w:eastAsia="zh-CN"/>
        </w:rPr>
        <w:t>，真实光谱反射率值应该在0-100%之间（注意数据表中给的是0-100中的数，除以100就是反射率）。通过观察附件1中数据，可以发现在</w:t>
      </w:r>
      <w:r>
        <w:rPr>
          <w:rFonts w:hint="eastAsia"/>
          <w:sz w:val="24"/>
          <w:szCs w:val="24"/>
          <w:highlight w:val="yellow"/>
          <w:lang w:val="en-US" w:eastAsia="zh-CN"/>
        </w:rPr>
        <w:t>红外和紫外部分出现噪声</w:t>
      </w:r>
      <w:r>
        <w:rPr>
          <w:rFonts w:hint="eastAsia"/>
          <w:sz w:val="24"/>
          <w:szCs w:val="24"/>
          <w:lang w:val="en-US" w:eastAsia="zh-CN"/>
        </w:rPr>
        <w:t>。请给出</w:t>
      </w:r>
      <w:r>
        <w:rPr>
          <w:rFonts w:hint="eastAsia"/>
          <w:sz w:val="24"/>
          <w:szCs w:val="24"/>
          <w:highlight w:val="yellow"/>
          <w:lang w:val="en-US" w:eastAsia="zh-CN"/>
        </w:rPr>
        <w:t>噪声处理方法</w:t>
      </w:r>
      <w:r>
        <w:rPr>
          <w:rFonts w:hint="eastAsia"/>
          <w:sz w:val="24"/>
          <w:szCs w:val="24"/>
          <w:lang w:val="en-US" w:eastAsia="zh-CN"/>
        </w:rPr>
        <w:t>，针对附件1中待降噪数</w:t>
      </w:r>
      <w:r>
        <w:rPr>
          <w:rFonts w:hint="eastAsia"/>
          <w:sz w:val="24"/>
          <w:szCs w:val="24"/>
          <w:highlight w:val="none"/>
          <w:lang w:val="en-US" w:eastAsia="zh-CN"/>
        </w:rPr>
        <w:t>据R1-bc 1ci 10ppmbcl 1-1到R10-bc 1ci 10ppmbcl 1-10这一片页上的10个样本给出具体平滑结果。</w:t>
      </w:r>
    </w:p>
    <w:p w14:paraId="164E98C7">
      <w:pPr>
        <w:spacing w:line="360" w:lineRule="auto"/>
        <w:ind w:firstLine="482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问题2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eastAsia"/>
          <w:b/>
          <w:bCs/>
          <w:sz w:val="24"/>
          <w:szCs w:val="24"/>
          <w:lang w:val="en-US" w:eastAsia="zh-CN"/>
        </w:rPr>
        <w:t>同类测量物光谱特征构建</w:t>
      </w:r>
      <w:r>
        <w:rPr>
          <w:rFonts w:hint="eastAsia"/>
          <w:sz w:val="24"/>
          <w:szCs w:val="24"/>
          <w:lang w:val="en-US" w:eastAsia="zh-CN"/>
        </w:rPr>
        <w:t>。附件2中给出了不同测量物的反射光谱数据，请构建特征指标，用于区分不同测量物。</w:t>
      </w:r>
      <w:r>
        <w:rPr>
          <w:rFonts w:hint="eastAsia"/>
          <w:sz w:val="24"/>
          <w:szCs w:val="24"/>
          <w:highlight w:val="yellow"/>
          <w:lang w:val="en-US" w:eastAsia="zh-CN"/>
        </w:rPr>
        <w:t>针对测试数据，给出测量物种</w:t>
      </w:r>
      <w:r>
        <w:rPr>
          <w:rFonts w:hint="eastAsia"/>
          <w:sz w:val="24"/>
          <w:szCs w:val="24"/>
          <w:lang w:val="en-US" w:eastAsia="zh-CN"/>
        </w:rPr>
        <w:t>类，将</w:t>
      </w:r>
      <w:r>
        <w:rPr>
          <w:rFonts w:hint="eastAsia"/>
          <w:sz w:val="24"/>
          <w:szCs w:val="24"/>
          <w:highlight w:val="yellow"/>
          <w:lang w:val="en-US" w:eastAsia="zh-CN"/>
        </w:rPr>
        <w:t>分类结果以表格形式</w:t>
      </w:r>
      <w:r>
        <w:rPr>
          <w:rFonts w:hint="eastAsia"/>
          <w:sz w:val="24"/>
          <w:szCs w:val="24"/>
          <w:lang w:val="en-US" w:eastAsia="zh-CN"/>
        </w:rPr>
        <w:t>放进正文结果中(不需要放数据本身），同时将填充的测试集excel表格放到支撑材料中，命名为问题2结果.xlsx。</w:t>
      </w:r>
    </w:p>
    <w:p w14:paraId="40993626">
      <w:pPr>
        <w:spacing w:line="360" w:lineRule="auto"/>
        <w:ind w:firstLine="482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问题3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eastAsia"/>
          <w:b/>
          <w:bCs/>
          <w:sz w:val="24"/>
          <w:szCs w:val="24"/>
          <w:lang w:val="en-US" w:eastAsia="zh-CN"/>
        </w:rPr>
        <w:t>同类测量物不同农药残留识别</w:t>
      </w:r>
      <w:r>
        <w:rPr>
          <w:rFonts w:hint="eastAsia"/>
          <w:sz w:val="24"/>
          <w:szCs w:val="24"/>
          <w:lang w:val="en-US" w:eastAsia="zh-CN"/>
        </w:rPr>
        <w:t>。针对</w:t>
      </w:r>
      <w:r>
        <w:rPr>
          <w:rFonts w:hint="eastAsia"/>
          <w:sz w:val="24"/>
          <w:szCs w:val="24"/>
          <w:highlight w:val="yellow"/>
          <w:lang w:val="en-US" w:eastAsia="zh-CN"/>
        </w:rPr>
        <w:t>附件3中的训练数据集</w:t>
      </w:r>
      <w:r>
        <w:rPr>
          <w:rFonts w:hint="eastAsia"/>
          <w:sz w:val="24"/>
          <w:szCs w:val="24"/>
          <w:lang w:val="en-US" w:eastAsia="zh-CN"/>
        </w:rPr>
        <w:t>，建立识别模型，给出测试集中的分类结果。将</w:t>
      </w:r>
      <w:r>
        <w:rPr>
          <w:rFonts w:hint="eastAsia"/>
          <w:sz w:val="24"/>
          <w:szCs w:val="24"/>
          <w:highlight w:val="yellow"/>
          <w:lang w:val="en-US" w:eastAsia="zh-CN"/>
        </w:rPr>
        <w:t>分类结果</w:t>
      </w:r>
      <w:r>
        <w:rPr>
          <w:rFonts w:hint="eastAsia"/>
          <w:sz w:val="24"/>
          <w:szCs w:val="24"/>
          <w:lang w:val="en-US" w:eastAsia="zh-CN"/>
        </w:rPr>
        <w:t>以表格形式放进正文结果中(不需要放数据本身）。同时将填</w:t>
      </w:r>
      <w:r>
        <w:rPr>
          <w:rFonts w:hint="eastAsia"/>
          <w:sz w:val="24"/>
          <w:szCs w:val="24"/>
          <w:highlight w:val="yellow"/>
          <w:lang w:val="en-US" w:eastAsia="zh-CN"/>
        </w:rPr>
        <w:t>充的测试集excel表格</w:t>
      </w:r>
      <w:r>
        <w:rPr>
          <w:rFonts w:hint="eastAsia"/>
          <w:sz w:val="24"/>
          <w:szCs w:val="24"/>
          <w:lang w:val="en-US" w:eastAsia="zh-CN"/>
        </w:rPr>
        <w:t>放到支撑材料中，命名为问题3结果.xlsx。</w:t>
      </w:r>
      <w:bookmarkStart w:id="0" w:name="_GoBack"/>
      <w:bookmarkEnd w:id="0"/>
    </w:p>
    <w:p w14:paraId="66DCA47C">
      <w:pPr>
        <w:spacing w:line="360" w:lineRule="auto"/>
        <w:ind w:firstLine="482" w:firstLineChars="20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问题4：不确定性问题探究（本问题的难点：不</w:t>
      </w:r>
      <w:r>
        <w:rPr>
          <w:rFonts w:hint="eastAsia"/>
          <w:b/>
          <w:bCs/>
          <w:sz w:val="24"/>
          <w:szCs w:val="24"/>
          <w:highlight w:val="yellow"/>
          <w:lang w:val="en-US" w:eastAsia="zh-CN"/>
        </w:rPr>
        <w:t>同批次数据分布会受到多因素影响，从而分布不一致</w:t>
      </w:r>
      <w:r>
        <w:rPr>
          <w:rFonts w:hint="eastAsia"/>
          <w:b/>
          <w:bCs/>
          <w:sz w:val="24"/>
          <w:szCs w:val="24"/>
          <w:lang w:val="en-US" w:eastAsia="zh-CN"/>
        </w:rPr>
        <w:t>）。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附件4训练集提供了另外一批喷洒农药的数据，分别是喷洒了0次、1次、2次，喷洒浓度一样，样本和喷洒间隔有所不同。请以附件4中两批次训练数据为基准，分析异同，</w:t>
      </w:r>
      <w:r>
        <w:rPr>
          <w:rFonts w:hint="eastAsia"/>
          <w:b/>
          <w:bCs/>
          <w:sz w:val="24"/>
          <w:szCs w:val="24"/>
          <w:highlight w:val="yellow"/>
          <w:lang w:val="en-US" w:eastAsia="zh-CN"/>
        </w:rPr>
        <w:t>挖掘关键性不变特征</w:t>
      </w:r>
      <w: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设计通用三分类算法（即分类标签为0次、1次、2次），给出附件4中测试集1与测试集2的分类结果。将分类结果以表格形式放进正文结果中(不需要放数据本身）。同时将填充的测试集excel表格放到支撑材料中，命名为问题4测试集1结果.xlsx和问题4测试集2结果.xlsx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  <w:embedRegular r:id="rId1" w:fontKey="{377D6191-2D38-4A23-9192-6F0C16AF05D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2" w:fontKey="{BC1B3DD1-09A4-409A-B9E7-2150746897E1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3" w:fontKey="{FB68125F-69E9-4AB1-B604-CDFAAD4AAFFA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48CF8878-9AEE-4B99-9A80-C99225073573}"/>
  </w:font>
  <w:font w:name="方正公文黑体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5" w:fontKey="{5842D0C2-A8EB-4201-B083-CD42F843219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6173D"/>
    <w:rsid w:val="058F0F31"/>
    <w:rsid w:val="0A5F2B10"/>
    <w:rsid w:val="0DAE0DCD"/>
    <w:rsid w:val="11932FEB"/>
    <w:rsid w:val="1E412043"/>
    <w:rsid w:val="1F0E1E60"/>
    <w:rsid w:val="24250D38"/>
    <w:rsid w:val="24EA02AB"/>
    <w:rsid w:val="3B745E6F"/>
    <w:rsid w:val="3CE43341"/>
    <w:rsid w:val="46E339D0"/>
    <w:rsid w:val="48817123"/>
    <w:rsid w:val="4F905428"/>
    <w:rsid w:val="50CD4729"/>
    <w:rsid w:val="5DA14110"/>
    <w:rsid w:val="62BE1E54"/>
    <w:rsid w:val="66C222B5"/>
    <w:rsid w:val="68283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1262</Words>
  <Characters>1355</Characters>
  <Lines>0</Lines>
  <Paragraphs>0</Paragraphs>
  <TotalTime>1</TotalTime>
  <ScaleCrop>false</ScaleCrop>
  <LinksUpToDate>false</LinksUpToDate>
  <CharactersWithSpaces>1362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2025-03-18T01:43:00Z</dcterms:created>
  <dc:creator>Administrator</dc:creator>
  <cp:lastModifiedBy>秋萤野马</cp:lastModifiedBy>
  <dcterms:modified xsi:type="dcterms:W3CDTF">2025-04-30T13:36:42Z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eyJoZGlkIjoiNWY0ZTA5YzFmOTU5MWNhOTM2YTFmZWVkOTUzMzgxMjQiLCJ1c2VySWQiOiI4MDM2NzY2MzYifQ==</vt:lpwstr>
  </property>
  <property fmtid="{D5CDD505-2E9C-101B-9397-08002B2CF9AE}" pid="4" name="ICV">
    <vt:lpwstr>38ED35A9DB814341904A8480C85DB49C_13</vt:lpwstr>
  </property>
</Properties>
</file>