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588119">
      <w:pPr>
        <w:adjustRightInd w:val="0"/>
        <w:spacing w:line="312" w:lineRule="atLeast"/>
        <w:jc w:val="center"/>
        <w:textAlignment w:val="baseline"/>
        <w:rPr>
          <w:rFonts w:ascii="黑体" w:hAnsi="Courier New" w:eastAsia="黑体" w:cs="Times New Roman"/>
          <w:kern w:val="0"/>
          <w:sz w:val="32"/>
          <w:szCs w:val="20"/>
        </w:rPr>
      </w:pPr>
      <w:r>
        <w:rPr>
          <w:rFonts w:hint="eastAsia" w:ascii="黑体" w:hAnsi="Courier New" w:eastAsia="黑体" w:cs="Times New Roman"/>
          <w:kern w:val="0"/>
          <w:sz w:val="32"/>
          <w:szCs w:val="20"/>
        </w:rPr>
        <w:t>202</w:t>
      </w:r>
      <w:r>
        <w:rPr>
          <w:rFonts w:hint="eastAsia" w:ascii="黑体" w:hAnsi="Courier New" w:eastAsia="黑体" w:cs="Times New Roman"/>
          <w:kern w:val="0"/>
          <w:sz w:val="32"/>
          <w:szCs w:val="20"/>
          <w:lang w:val="en-US" w:eastAsia="zh-CN"/>
        </w:rPr>
        <w:t>5</w:t>
      </w:r>
      <w:r>
        <w:rPr>
          <w:rFonts w:hint="eastAsia" w:ascii="黑体" w:hAnsi="Courier New" w:eastAsia="黑体" w:cs="Times New Roman"/>
          <w:kern w:val="0"/>
          <w:sz w:val="32"/>
          <w:szCs w:val="20"/>
        </w:rPr>
        <w:t>年西安电子科技大学数学建模校</w:t>
      </w:r>
      <w:r>
        <w:rPr>
          <w:rFonts w:hint="eastAsia" w:ascii="黑体" w:hAnsi="Courier New" w:eastAsia="黑体" w:cs="Times New Roman"/>
          <w:kern w:val="0"/>
          <w:sz w:val="32"/>
          <w:szCs w:val="20"/>
          <w:lang w:eastAsia="zh-CN"/>
        </w:rPr>
        <w:t>内</w:t>
      </w:r>
      <w:r>
        <w:rPr>
          <w:rFonts w:hint="eastAsia" w:ascii="黑体" w:hAnsi="Courier New" w:eastAsia="黑体" w:cs="Times New Roman"/>
          <w:kern w:val="0"/>
          <w:sz w:val="32"/>
          <w:szCs w:val="20"/>
        </w:rPr>
        <w:t>赛题目</w:t>
      </w:r>
    </w:p>
    <w:p w14:paraId="453CB883">
      <w:pPr>
        <w:jc w:val="center"/>
        <w:rPr>
          <w:rFonts w:ascii="华文楷体" w:hAnsi="华文楷体" w:eastAsia="华文楷体" w:cs="Times New Roman"/>
          <w:sz w:val="28"/>
          <w:szCs w:val="28"/>
        </w:rPr>
      </w:pPr>
      <w:r>
        <w:rPr>
          <w:rFonts w:ascii="华文楷体" w:hAnsi="华文楷体" w:eastAsia="华文楷体" w:cs="Times New Roman"/>
          <w:sz w:val="28"/>
          <w:szCs w:val="28"/>
        </w:rPr>
        <mc:AlternateContent>
          <mc:Choice Requires="wps">
            <w:drawing>
              <wp:anchor distT="0" distB="0" distL="114300" distR="114300" simplePos="0" relativeHeight="251659264" behindDoc="0" locked="0" layoutInCell="1" allowOverlap="1">
                <wp:simplePos x="0" y="0"/>
                <wp:positionH relativeFrom="column">
                  <wp:posOffset>177800</wp:posOffset>
                </wp:positionH>
                <wp:positionV relativeFrom="paragraph">
                  <wp:posOffset>386080</wp:posOffset>
                </wp:positionV>
                <wp:extent cx="5257800" cy="7620"/>
                <wp:effectExtent l="0" t="28575" r="0" b="40005"/>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5257800" cy="7620"/>
                        </a:xfrm>
                        <a:prstGeom prst="line">
                          <a:avLst/>
                        </a:prstGeom>
                        <a:noFill/>
                        <a:ln w="57150" cmpd="thinThick">
                          <a:solidFill>
                            <a:srgbClr val="000000"/>
                          </a:solidFill>
                          <a:round/>
                        </a:ln>
                        <a:effectLst/>
                      </wps:spPr>
                      <wps:bodyPr/>
                    </wps:wsp>
                  </a:graphicData>
                </a:graphic>
              </wp:anchor>
            </w:drawing>
          </mc:Choice>
          <mc:Fallback>
            <w:pict>
              <v:line id="_x0000_s1026" o:spid="_x0000_s1026" o:spt="20" style="position:absolute;left:0pt;margin-left:14pt;margin-top:30.4pt;height:0.6pt;width:414pt;z-index:251659264;mso-width-relative:page;mso-height-relative:page;" filled="f" stroked="t" coordsize="21600,21600" o:gfxdata="UEsDBAoAAAAAAIdO4kAAAAAAAAAAAAAAAAAEAAAAZHJzL1BLAwQUAAAACACHTuJADAnDWNgAAAAI&#10;AQAADwAAAGRycy9kb3ducmV2LnhtbE2PzU7DMBCE70i8g7VIXCpqN4jICnF6qODCAak/B7i58ZJE&#10;xOs0dpvA07Oc4Lgzo9n5yvXse3HBMXaBDKyWCgRSHVxHjYHD/vlOg4jJkrN9IDTwhRHW1fVVaQsX&#10;JtriZZcawSUUC2ugTWkopIx1i97GZRiQ2PsIo7eJz7GRbrQTl/teZkrl0tuO+ENrB9y0WH/uzt6A&#10;28b4tJn19/3r+HI6venF+7RfGHN7s1KPIBLO6S8Mv/N5OlS86RjO5KLoDWSaUZKBXDEB+/ohZ+HI&#10;QqZAVqX8D1D9AFBLAwQUAAAACACHTuJA3QM/9PkBAADNAwAADgAAAGRycy9lMm9Eb2MueG1srVO9&#10;bhsxDN4L9B0E7fXZRhwHB58z2EiXtDUQ9wFonc4nRBIFSfbZL9EXKNCtnTp279skfYxS8k/TdMnQ&#10;GwRRJD/y+8ibXO+MZlvpg0Jb8UGvz5m0Amtl1xX/uLx5c8VZiGBr0Ghlxfcy8Ovp61eTzpVyiC3q&#10;WnpGIDaUnat4G6MriyKIVhoIPXTSkrNBbyCS6ddF7aEjdKOLYb9/WXToa+dRyBDodX5w8iOifwkg&#10;No0Sco5iY6SNB1QvNUSiFFrlAp/mbptGivihaYKMTFecmMZ8UhG6r9JZTCdQrj24VoljC/CSFp5x&#10;MqAsFT1DzSEC23j1D5RRwmPAJvYEmuJAJCtCLAb9Z9rcteBk5kJSB3cWPfw/WPF+u/BM1RW/4MyC&#10;oYE/fv7x8Onrr59f6Hz8/o1dJJE6F0qKndmFTzTFzt65WxT3gVmctWDXMje73DtCGKSM4q+UZARH&#10;pVbdO6wpBjYRs2K7xpsESVqwXR7M/jwYuYtM0ONoOBpf9Wlmgnzjy2GeWwHlKdf5EN9KNCxdKq6V&#10;TbJBCdvbEFMvUJ5C0rPFG6V1Hr22rCP88WCU0I0jIWKr7JLW4T5DBNSqTuEpMfj1aqY920Jap/xl&#10;quR5GuZxY+tDWW1TnsybeOzlJMVB1BXW+4U/6UVTzt0eNzKt0VM7q/rnL5z+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wJw1jYAAAACAEAAA8AAAAAAAAAAQAgAAAAIgAAAGRycy9kb3ducmV2Lnht&#10;bFBLAQIUABQAAAAIAIdO4kDdAz/0+QEAAM0DAAAOAAAAAAAAAAEAIAAAACcBAABkcnMvZTJvRG9j&#10;LnhtbFBLBQYAAAAABgAGAFkBAACSBQAAAAA=&#10;">
                <v:fill on="f" focussize="0,0"/>
                <v:stroke weight="4.5pt" color="#000000" linestyle="thinThick" joinstyle="round"/>
                <v:imagedata o:title=""/>
                <o:lock v:ext="edit" aspectratio="f"/>
              </v:line>
            </w:pict>
          </mc:Fallback>
        </mc:AlternateContent>
      </w:r>
      <w:r>
        <w:rPr>
          <w:rFonts w:hint="eastAsia" w:ascii="华文楷体" w:hAnsi="华文楷体" w:eastAsia="华文楷体" w:cs="Times New Roman"/>
          <w:sz w:val="28"/>
          <w:szCs w:val="28"/>
        </w:rPr>
        <w:t>（请先阅读“西安电子科技大学数学建模校赛论文格式规范”）</w:t>
      </w:r>
    </w:p>
    <w:p w14:paraId="55F34A98">
      <w:pPr>
        <w:spacing w:line="360" w:lineRule="auto"/>
        <w:ind w:firstLine="2249" w:firstLineChars="800"/>
        <w:rPr>
          <w:rFonts w:hint="eastAsia"/>
          <w:b/>
          <w:bCs/>
          <w:sz w:val="28"/>
          <w:szCs w:val="28"/>
          <w:lang w:val="en-US" w:eastAsia="zh-CN"/>
        </w:rPr>
      </w:pPr>
      <w:r>
        <w:rPr>
          <w:rFonts w:hint="eastAsia"/>
          <w:b/>
          <w:bCs/>
          <w:sz w:val="28"/>
          <w:szCs w:val="28"/>
          <w:lang w:val="en-US" w:eastAsia="zh-CN"/>
        </w:rPr>
        <w:t>B题 智能评阅算法效果</w:t>
      </w:r>
      <w:bookmarkStart w:id="0" w:name="_GoBack"/>
      <w:bookmarkEnd w:id="0"/>
      <w:r>
        <w:rPr>
          <w:rFonts w:hint="eastAsia"/>
          <w:b/>
          <w:bCs/>
          <w:sz w:val="28"/>
          <w:szCs w:val="28"/>
          <w:lang w:val="en-US" w:eastAsia="zh-CN"/>
        </w:rPr>
        <w:t>的综合评价</w:t>
      </w:r>
    </w:p>
    <w:p w14:paraId="59CAF591">
      <w:pPr>
        <w:spacing w:line="360" w:lineRule="auto"/>
        <w:ind w:firstLine="480" w:firstLineChars="200"/>
        <w:rPr>
          <w:rFonts w:hint="eastAsia"/>
          <w:sz w:val="24"/>
          <w:szCs w:val="24"/>
          <w:lang w:val="en-US" w:eastAsia="zh-CN"/>
        </w:rPr>
      </w:pPr>
      <w:r>
        <w:rPr>
          <w:rFonts w:hint="eastAsia"/>
          <w:sz w:val="24"/>
          <w:szCs w:val="24"/>
          <w:lang w:val="en-US" w:eastAsia="zh-CN"/>
        </w:rPr>
        <w:t>2024年初，中国明确提出加快发展新质生产力推动高质量发展，人工智能被确立为培育新动能的核心领域。习近平在中央政治局集体学习（1月31日）、李强总理在政府工作报告（3月5日）中均强调，要通过"人工智能+"推动教育、制造等产业升级。在人才选拔领域，考试评卷智能化成为技术落地的重要场景。</w:t>
      </w:r>
    </w:p>
    <w:p w14:paraId="07F26AE1">
      <w:pPr>
        <w:spacing w:line="360" w:lineRule="auto"/>
        <w:ind w:firstLine="480" w:firstLineChars="200"/>
        <w:rPr>
          <w:rFonts w:hint="eastAsia"/>
          <w:sz w:val="24"/>
          <w:szCs w:val="24"/>
          <w:lang w:val="en-US" w:eastAsia="zh-CN"/>
        </w:rPr>
      </w:pPr>
      <w:r>
        <w:rPr>
          <w:rFonts w:hint="eastAsia"/>
          <w:sz w:val="24"/>
          <w:szCs w:val="24"/>
          <w:lang w:val="en-US" w:eastAsia="zh-CN"/>
        </w:rPr>
        <w:t>当前主流网上评卷系统仅实现客观题自动批改，主观题仍需人工多评，耗费大量人力。随着AI技术进步，基于大模型、手写识别、自然语言处理等技术的智能评卷系统取得突破：AI通过深度学习评分标准，能独立完成稳定高效评分，结合人工复核与数据分析，形成"人机协同"管理模式，既保证质量又提升效率。</w:t>
      </w:r>
    </w:p>
    <w:p w14:paraId="5A797E87">
      <w:pPr>
        <w:spacing w:line="360" w:lineRule="auto"/>
        <w:ind w:firstLine="480"/>
        <w:rPr>
          <w:rFonts w:hint="default"/>
          <w:sz w:val="24"/>
          <w:szCs w:val="24"/>
          <w:lang w:val="en-US" w:eastAsia="zh-CN"/>
        </w:rPr>
      </w:pPr>
      <w:r>
        <w:rPr>
          <w:rFonts w:hint="eastAsia"/>
          <w:sz w:val="24"/>
          <w:szCs w:val="24"/>
          <w:lang w:val="en-US" w:eastAsia="zh-CN"/>
        </w:rPr>
        <w:t>某实验室率先研究AI辅助评卷创新模式：通过</w:t>
      </w:r>
      <w:r>
        <w:rPr>
          <w:rFonts w:hint="eastAsia"/>
          <w:sz w:val="24"/>
          <w:szCs w:val="24"/>
          <w:highlight w:val="yellow"/>
          <w:lang w:val="en-US" w:eastAsia="zh-CN"/>
        </w:rPr>
        <w:t>两种智能算法</w:t>
      </w:r>
      <w:r>
        <w:rPr>
          <w:rFonts w:hint="eastAsia"/>
          <w:sz w:val="24"/>
          <w:szCs w:val="24"/>
          <w:lang w:val="en-US" w:eastAsia="zh-CN"/>
        </w:rPr>
        <w:t>背对背进行AI评分，与人工一评结果交叉验证。这种"</w:t>
      </w:r>
      <w:r>
        <w:rPr>
          <w:rFonts w:hint="eastAsia"/>
          <w:sz w:val="24"/>
          <w:szCs w:val="24"/>
          <w:highlight w:val="yellow"/>
          <w:lang w:val="en-US" w:eastAsia="zh-CN"/>
        </w:rPr>
        <w:t>一人工+双AI</w:t>
      </w:r>
      <w:r>
        <w:rPr>
          <w:rFonts w:hint="eastAsia"/>
          <w:sz w:val="24"/>
          <w:szCs w:val="24"/>
          <w:lang w:val="en-US" w:eastAsia="zh-CN"/>
        </w:rPr>
        <w:t>"的协同机制，标志着智能评卷从理论探索进入规模化应用阶段，为教育考试数字化改革提供了可复制范本。</w:t>
      </w:r>
    </w:p>
    <w:p w14:paraId="3844F83A">
      <w:pPr>
        <w:spacing w:line="360" w:lineRule="auto"/>
        <w:ind w:firstLine="480"/>
        <w:rPr>
          <w:rFonts w:hint="eastAsia"/>
          <w:sz w:val="24"/>
          <w:szCs w:val="24"/>
          <w:lang w:val="en-US" w:eastAsia="zh-CN"/>
        </w:rPr>
      </w:pPr>
      <w:r>
        <w:rPr>
          <w:rFonts w:hint="eastAsia"/>
          <w:sz w:val="24"/>
          <w:szCs w:val="24"/>
          <w:highlight w:val="yellow"/>
          <w:lang w:val="en-US" w:eastAsia="zh-CN"/>
        </w:rPr>
        <w:t>附件1wl</w:t>
      </w:r>
      <w:r>
        <w:rPr>
          <w:rFonts w:hint="eastAsia"/>
          <w:sz w:val="24"/>
          <w:szCs w:val="24"/>
          <w:lang w:val="en-US" w:eastAsia="zh-CN"/>
        </w:rPr>
        <w:t>中给出了</w:t>
      </w:r>
      <w:r>
        <w:rPr>
          <w:rFonts w:hint="eastAsia"/>
          <w:sz w:val="24"/>
          <w:szCs w:val="24"/>
          <w:highlight w:val="yellow"/>
          <w:lang w:val="en-US" w:eastAsia="zh-CN"/>
        </w:rPr>
        <w:t>两类人工智能阅卷与人工阅卷成绩仿真结果</w:t>
      </w:r>
      <w:r>
        <w:rPr>
          <w:rFonts w:hint="eastAsia"/>
          <w:sz w:val="24"/>
          <w:szCs w:val="24"/>
          <w:lang w:val="en-US" w:eastAsia="zh-CN"/>
        </w:rPr>
        <w:t>，为了便于考试组织单位选用更加可靠的人工智能评阅算法。其中</w:t>
      </w:r>
      <w:r>
        <w:rPr>
          <w:rFonts w:hint="eastAsia"/>
          <w:sz w:val="24"/>
          <w:szCs w:val="24"/>
          <w:highlight w:val="yellow"/>
          <w:lang w:val="en-US" w:eastAsia="zh-CN"/>
        </w:rPr>
        <w:t>子对象1为填空题型，其他均为简答题</w:t>
      </w:r>
      <w:r>
        <w:rPr>
          <w:rFonts w:hint="eastAsia"/>
          <w:sz w:val="24"/>
          <w:szCs w:val="24"/>
          <w:lang w:val="en-US" w:eastAsia="zh-CN"/>
        </w:rPr>
        <w:t>。子对象1到子对象4对应的满分分值分别</w:t>
      </w:r>
      <w:r>
        <w:rPr>
          <w:rFonts w:hint="eastAsia"/>
          <w:sz w:val="24"/>
          <w:szCs w:val="24"/>
          <w:highlight w:val="none"/>
          <w:lang w:val="en-US" w:eastAsia="zh-CN"/>
        </w:rPr>
        <w:t>为6、9、14、16。</w:t>
      </w:r>
      <w:r>
        <w:rPr>
          <w:rFonts w:hint="eastAsia" w:asciiTheme="minorEastAsia" w:hAnsiTheme="minorEastAsia" w:eastAsiaTheme="minorEastAsia" w:cstheme="minorEastAsia"/>
          <w:sz w:val="24"/>
          <w:szCs w:val="24"/>
          <w:lang w:val="en-US" w:eastAsia="zh-CN"/>
        </w:rPr>
        <w:t>请建立数学模型，</w:t>
      </w:r>
      <w:r>
        <w:rPr>
          <w:rFonts w:hint="eastAsia" w:asciiTheme="minorEastAsia" w:hAnsiTheme="minorEastAsia" w:cstheme="minorEastAsia"/>
          <w:sz w:val="24"/>
          <w:szCs w:val="24"/>
          <w:lang w:val="en-US" w:eastAsia="zh-CN"/>
        </w:rPr>
        <w:t>解决</w:t>
      </w:r>
      <w:r>
        <w:rPr>
          <w:rFonts w:hint="eastAsia" w:asciiTheme="minorEastAsia" w:hAnsiTheme="minorEastAsia" w:eastAsiaTheme="minorEastAsia" w:cstheme="minorEastAsia"/>
          <w:sz w:val="24"/>
          <w:szCs w:val="24"/>
          <w:lang w:val="en-US" w:eastAsia="zh-CN"/>
        </w:rPr>
        <w:t>下列问题：</w:t>
      </w:r>
    </w:p>
    <w:p w14:paraId="2786DC33">
      <w:pPr>
        <w:spacing w:line="360" w:lineRule="auto"/>
        <w:ind w:firstLine="482" w:firstLineChars="20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rPr>
        <w:t>问题1</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sz w:val="24"/>
          <w:szCs w:val="24"/>
          <w:lang w:val="en-US" w:eastAsia="zh-CN"/>
        </w:rPr>
        <w:t>对于附件所给的数据，请分析</w:t>
      </w:r>
      <w:r>
        <w:rPr>
          <w:rFonts w:hint="eastAsia" w:asciiTheme="minorEastAsia" w:hAnsiTheme="minorEastAsia" w:cstheme="minorEastAsia"/>
          <w:sz w:val="24"/>
          <w:szCs w:val="24"/>
          <w:highlight w:val="yellow"/>
          <w:lang w:val="en-US" w:eastAsia="zh-CN"/>
        </w:rPr>
        <w:t>人工评阅</w:t>
      </w:r>
      <w:r>
        <w:rPr>
          <w:rFonts w:hint="eastAsia" w:asciiTheme="minorEastAsia" w:hAnsiTheme="minorEastAsia" w:cstheme="minorEastAsia"/>
          <w:sz w:val="24"/>
          <w:szCs w:val="24"/>
          <w:lang w:val="en-US" w:eastAsia="zh-CN"/>
        </w:rPr>
        <w:t>和</w:t>
      </w:r>
      <w:r>
        <w:rPr>
          <w:rFonts w:hint="eastAsia" w:asciiTheme="minorEastAsia" w:hAnsiTheme="minorEastAsia" w:cstheme="minorEastAsia"/>
          <w:sz w:val="24"/>
          <w:szCs w:val="24"/>
          <w:highlight w:val="yellow"/>
          <w:lang w:val="en-US" w:eastAsia="zh-CN"/>
        </w:rPr>
        <w:t>两类工智能算法</w:t>
      </w:r>
      <w:r>
        <w:rPr>
          <w:rFonts w:hint="eastAsia" w:asciiTheme="minorEastAsia" w:hAnsiTheme="minorEastAsia" w:cstheme="minorEastAsia"/>
          <w:sz w:val="24"/>
          <w:szCs w:val="24"/>
          <w:lang w:val="en-US" w:eastAsia="zh-CN"/>
        </w:rPr>
        <w:t>评阅数据的</w:t>
      </w:r>
      <w:r>
        <w:rPr>
          <w:rFonts w:hint="eastAsia" w:asciiTheme="minorEastAsia" w:hAnsiTheme="minorEastAsia" w:cstheme="minorEastAsia"/>
          <w:b/>
          <w:bCs/>
          <w:sz w:val="24"/>
          <w:szCs w:val="24"/>
          <w:lang w:val="en-US" w:eastAsia="zh-CN"/>
        </w:rPr>
        <w:t>分布特点</w:t>
      </w:r>
      <w:r>
        <w:rPr>
          <w:rFonts w:hint="eastAsia" w:asciiTheme="minorEastAsia" w:hAnsiTheme="minorEastAsia" w:cstheme="minorEastAsia"/>
          <w:sz w:val="24"/>
          <w:szCs w:val="24"/>
          <w:lang w:val="en-US" w:eastAsia="zh-CN"/>
        </w:rPr>
        <w:t>。</w:t>
      </w:r>
    </w:p>
    <w:p w14:paraId="42B3C8DC">
      <w:pPr>
        <w:spacing w:line="360" w:lineRule="auto"/>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问题2</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sz w:val="24"/>
          <w:szCs w:val="24"/>
          <w:lang w:val="en-US" w:eastAsia="zh-CN"/>
        </w:rPr>
        <w:t>以附件1为例，选择不同评价角度，构建“</w:t>
      </w:r>
      <w:r>
        <w:rPr>
          <w:rFonts w:hint="eastAsia" w:asciiTheme="minorEastAsia" w:hAnsiTheme="minorEastAsia" w:cstheme="minorEastAsia"/>
          <w:b/>
          <w:bCs/>
          <w:sz w:val="24"/>
          <w:szCs w:val="24"/>
          <w:lang w:val="en-US" w:eastAsia="zh-CN"/>
        </w:rPr>
        <w:t>智能评阅算法”的评价指标体系</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设计智能评阅算法</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b/>
          <w:bCs/>
          <w:sz w:val="24"/>
          <w:szCs w:val="24"/>
          <w:highlight w:val="yellow"/>
        </w:rPr>
        <w:t>综合评价模型</w:t>
      </w:r>
      <w:r>
        <w:rPr>
          <w:rFonts w:hint="eastAsia" w:asciiTheme="minorEastAsia" w:hAnsiTheme="minorEastAsia" w:cstheme="minorEastAsia"/>
          <w:b/>
          <w:bCs/>
          <w:sz w:val="24"/>
          <w:szCs w:val="24"/>
          <w:lang w:val="en-US" w:eastAsia="zh-CN"/>
        </w:rPr>
        <w:t>,</w:t>
      </w:r>
      <w:r>
        <w:rPr>
          <w:rFonts w:hint="eastAsia" w:asciiTheme="minorEastAsia" w:hAnsiTheme="minorEastAsia" w:eastAsiaTheme="minorEastAsia" w:cstheme="minorEastAsia"/>
          <w:sz w:val="24"/>
          <w:szCs w:val="24"/>
        </w:rPr>
        <w:t>利用所给数据</w:t>
      </w:r>
      <w:r>
        <w:rPr>
          <w:rFonts w:hint="eastAsia" w:asciiTheme="minorEastAsia" w:hAnsiTheme="minorEastAsia" w:cstheme="minorEastAsia"/>
          <w:sz w:val="24"/>
          <w:szCs w:val="24"/>
          <w:lang w:val="en-US" w:eastAsia="zh-CN"/>
        </w:rPr>
        <w:t>对两类算法给出评价。</w:t>
      </w:r>
    </w:p>
    <w:p w14:paraId="42B75707">
      <w:pPr>
        <w:spacing w:line="360" w:lineRule="auto"/>
        <w:ind w:firstLine="482" w:firstLineChars="200"/>
        <w:rPr>
          <w:rFonts w:hint="default" w:asciiTheme="minorEastAsia" w:hAnsiTheme="minorEastAsia" w:cstheme="minorEastAsia"/>
          <w:sz w:val="24"/>
          <w:szCs w:val="24"/>
          <w:lang w:val="en-US" w:eastAsia="zh-CN"/>
        </w:rPr>
      </w:pPr>
      <w:r>
        <w:rPr>
          <w:rFonts w:hint="eastAsia" w:asciiTheme="minorEastAsia" w:hAnsiTheme="minorEastAsia" w:eastAsiaTheme="minorEastAsia" w:cstheme="minorEastAsia"/>
          <w:b/>
          <w:bCs/>
          <w:sz w:val="24"/>
          <w:szCs w:val="24"/>
        </w:rPr>
        <w:t>问题3</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sz w:val="24"/>
          <w:szCs w:val="24"/>
          <w:highlight w:val="yellow"/>
          <w:lang w:val="en-US" w:eastAsia="zh-CN"/>
        </w:rPr>
        <w:t>附件2</w:t>
      </w:r>
      <w:r>
        <w:rPr>
          <w:rFonts w:hint="eastAsia" w:asciiTheme="minorEastAsia" w:hAnsiTheme="minorEastAsia" w:cstheme="minorEastAsia"/>
          <w:sz w:val="24"/>
          <w:szCs w:val="24"/>
          <w:lang w:val="en-US" w:eastAsia="zh-CN"/>
        </w:rPr>
        <w:t>中给出了其他几个科目的抽样数据（各科目数据解释和附件1类似），请在问题2基础上，针对学科维度展开评阅效果评价对比。</w:t>
      </w:r>
    </w:p>
    <w:p w14:paraId="25C99E3E">
      <w:pPr>
        <w:spacing w:line="360" w:lineRule="auto"/>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cstheme="minorEastAsia"/>
          <w:b/>
          <w:bCs/>
          <w:sz w:val="24"/>
          <w:szCs w:val="24"/>
          <w:lang w:val="en-US" w:eastAsia="zh-CN"/>
        </w:rPr>
        <w:t>问题4</w:t>
      </w:r>
      <w:r>
        <w:rPr>
          <w:rFonts w:hint="eastAsia" w:asciiTheme="minorEastAsia" w:hAnsiTheme="minorEastAsia" w:cstheme="minorEastAsia"/>
          <w:sz w:val="24"/>
          <w:szCs w:val="24"/>
          <w:lang w:val="en-US" w:eastAsia="zh-CN"/>
        </w:rPr>
        <w:t xml:space="preserve"> 如果现在要使用这两类算法，请至少设计一种使用</w:t>
      </w:r>
      <w:r>
        <w:rPr>
          <w:rFonts w:hint="eastAsia" w:asciiTheme="minorEastAsia" w:hAnsiTheme="minorEastAsia" w:eastAsiaTheme="minorEastAsia" w:cstheme="minorEastAsia"/>
          <w:sz w:val="24"/>
          <w:szCs w:val="24"/>
        </w:rPr>
        <w:t>方案</w:t>
      </w:r>
      <w:r>
        <w:rPr>
          <w:rFonts w:hint="eastAsia" w:asciiTheme="minorEastAsia" w:hAnsiTheme="minorEastAsia" w:cstheme="minorEastAsia"/>
          <w:sz w:val="24"/>
          <w:szCs w:val="24"/>
          <w:lang w:val="en-US" w:eastAsia="zh-CN"/>
        </w:rPr>
        <w:t>,并对所设计方案的效益和潜在误差进行量化分析</w:t>
      </w:r>
      <w:r>
        <w:rPr>
          <w:rFonts w:hint="eastAsia" w:asciiTheme="minorEastAsia" w:hAnsiTheme="minorEastAsia" w:eastAsiaTheme="minorEastAsia" w:cstheme="minorEastAsia"/>
          <w:sz w:val="24"/>
          <w:szCs w:val="24"/>
        </w:rPr>
        <w:t>。</w:t>
      </w:r>
    </w:p>
    <w:p w14:paraId="3B7F9FB1">
      <w:pPr>
        <w:spacing w:line="360" w:lineRule="auto"/>
        <w:ind w:firstLine="480" w:firstLineChars="200"/>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备注：(1)附件3提供了科目题号、分值和误差阈值，供参考；（2）指标体系的层级和各层下的指标、定义、量化公式在论文中要清晰明确；（3）设计并在论文中插入指标体系可视化思维导图（思维导图在线链接（可查看编辑，除放入图的标题中或者图释中外，以text格式放到支撑材料中））（4）愿意做后续研究发表论文的同学可以参照中英文相关期刊模板撰写校赛论文。</w:t>
      </w:r>
    </w:p>
    <w:p w14:paraId="427DE3B6">
      <w:pPr>
        <w:rPr>
          <w:rFonts w:hint="eastAsia" w:asciiTheme="minorEastAsia" w:hAnsiTheme="minorEastAsia" w:eastAsiaTheme="minorEastAsia" w:cstheme="minorEastAsia"/>
          <w:sz w:val="24"/>
          <w:szCs w:val="24"/>
          <w:lang w:eastAsia="zh-CN"/>
        </w:rPr>
      </w:pPr>
      <w:r>
        <w:rPr>
          <w:rFonts w:hint="eastAsia" w:asciiTheme="minorEastAsia" w:hAnsiTheme="minorEastAsia" w:cstheme="minorEastAsia"/>
          <w:sz w:val="24"/>
          <w:szCs w:val="24"/>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001AC"/>
    <w:rsid w:val="03956EE8"/>
    <w:rsid w:val="05C607A0"/>
    <w:rsid w:val="05D239CE"/>
    <w:rsid w:val="09C82F67"/>
    <w:rsid w:val="09F344F1"/>
    <w:rsid w:val="0C6B00FB"/>
    <w:rsid w:val="0D52320D"/>
    <w:rsid w:val="0E47127D"/>
    <w:rsid w:val="12832088"/>
    <w:rsid w:val="14B163DC"/>
    <w:rsid w:val="15EA0BE7"/>
    <w:rsid w:val="180159AE"/>
    <w:rsid w:val="185E30EF"/>
    <w:rsid w:val="1A45329D"/>
    <w:rsid w:val="1AFB7C4E"/>
    <w:rsid w:val="213C3006"/>
    <w:rsid w:val="236A4EDC"/>
    <w:rsid w:val="24605F20"/>
    <w:rsid w:val="28731691"/>
    <w:rsid w:val="31956D8C"/>
    <w:rsid w:val="31C679AA"/>
    <w:rsid w:val="33C73FFB"/>
    <w:rsid w:val="3406477C"/>
    <w:rsid w:val="378B147A"/>
    <w:rsid w:val="39F9158B"/>
    <w:rsid w:val="39FB25CF"/>
    <w:rsid w:val="3D7D674F"/>
    <w:rsid w:val="3F854F80"/>
    <w:rsid w:val="41A978CD"/>
    <w:rsid w:val="44FE1E77"/>
    <w:rsid w:val="453C5F62"/>
    <w:rsid w:val="455C552F"/>
    <w:rsid w:val="47A6055A"/>
    <w:rsid w:val="48372A22"/>
    <w:rsid w:val="4AC62D8D"/>
    <w:rsid w:val="4D2D0C5E"/>
    <w:rsid w:val="54462AAE"/>
    <w:rsid w:val="58170170"/>
    <w:rsid w:val="59FF573D"/>
    <w:rsid w:val="5B1E0725"/>
    <w:rsid w:val="5C204225"/>
    <w:rsid w:val="5C58097A"/>
    <w:rsid w:val="5CB06411"/>
    <w:rsid w:val="5CF5541A"/>
    <w:rsid w:val="5D906943"/>
    <w:rsid w:val="5DB34D76"/>
    <w:rsid w:val="60340051"/>
    <w:rsid w:val="635A2E21"/>
    <w:rsid w:val="6434542A"/>
    <w:rsid w:val="65AD68DC"/>
    <w:rsid w:val="69562972"/>
    <w:rsid w:val="69E403F2"/>
    <w:rsid w:val="6B5670CE"/>
    <w:rsid w:val="6B864EE6"/>
    <w:rsid w:val="6C7E417C"/>
    <w:rsid w:val="6D046742"/>
    <w:rsid w:val="6D715A28"/>
    <w:rsid w:val="6E971E4C"/>
    <w:rsid w:val="6EB00313"/>
    <w:rsid w:val="6FA64098"/>
    <w:rsid w:val="71184E25"/>
    <w:rsid w:val="721455EC"/>
    <w:rsid w:val="743B50B2"/>
    <w:rsid w:val="75491A51"/>
    <w:rsid w:val="77EA3AA8"/>
    <w:rsid w:val="77ED5791"/>
    <w:rsid w:val="78A969F9"/>
    <w:rsid w:val="7A5872B9"/>
    <w:rsid w:val="7AC676A0"/>
    <w:rsid w:val="7C745605"/>
    <w:rsid w:val="7D7B1F42"/>
    <w:rsid w:val="7DE976D0"/>
    <w:rsid w:val="7FF154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941</Words>
  <Characters>964</Characters>
  <Lines>0</Lines>
  <Paragraphs>0</Paragraphs>
  <TotalTime>17</TotalTime>
  <ScaleCrop>false</ScaleCrop>
  <LinksUpToDate>false</LinksUpToDate>
  <CharactersWithSpaces>970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2025-01-09T05:42:00Z</dcterms:created>
  <dc:creator>Administrator</dc:creator>
  <cp:lastModifiedBy>秋萤野马</cp:lastModifiedBy>
  <dcterms:modified xsi:type="dcterms:W3CDTF">2025-04-30T13:26:49Z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76294D07358E4470B923EBEA5BDDE928_13</vt:lpwstr>
  </property>
  <property fmtid="{D5CDD505-2E9C-101B-9397-08002B2CF9AE}" pid="4" name="KSOTemplateDocerSaveRecord">
    <vt:lpwstr>eyJoZGlkIjoiNWY0ZTA5YzFmOTU5MWNhOTM2YTFmZWVkOTUzMzgxMjQiLCJ1c2VySWQiOiI4MDM2NzY2MzYifQ==</vt:lpwstr>
  </property>
</Properties>
</file>