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7A0C63">
      <w:pPr>
        <w:pStyle w:val="3"/>
        <w:bidi w:val="0"/>
        <w:jc w:val="center"/>
      </w:pPr>
      <w:r>
        <w:rPr>
          <w:rFonts w:hint="default"/>
        </w:rPr>
        <w:t>中外数据安全及个人信息保护法规对比调研报告</w:t>
      </w:r>
    </w:p>
    <w:p w14:paraId="2EF04871">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eastAsia" w:ascii="黑体" w:hAnsi="黑体" w:eastAsia="黑体" w:cs="黑体"/>
          <w:i w:val="0"/>
          <w:iCs w:val="0"/>
          <w:caps w:val="0"/>
          <w:spacing w:val="0"/>
          <w:sz w:val="24"/>
          <w:szCs w:val="24"/>
        </w:rPr>
      </w:pPr>
      <w:r>
        <w:rPr>
          <w:rStyle w:val="7"/>
          <w:rFonts w:hint="eastAsia" w:ascii="黑体" w:hAnsi="黑体" w:eastAsia="黑体" w:cs="黑体"/>
          <w:b/>
          <w:bCs/>
          <w:i w:val="0"/>
          <w:iCs w:val="0"/>
          <w:caps w:val="0"/>
          <w:spacing w:val="0"/>
          <w:kern w:val="0"/>
          <w:sz w:val="24"/>
          <w:szCs w:val="24"/>
          <w:shd w:val="clear" w:fill="FFFFFF"/>
          <w:lang w:val="en-US" w:eastAsia="zh-CN" w:bidi="ar"/>
        </w:rPr>
        <w:t>摘要：</w:t>
      </w:r>
      <w:r>
        <w:rPr>
          <w:rFonts w:hint="eastAsia" w:ascii="黑体" w:hAnsi="黑体" w:eastAsia="黑体" w:cs="黑体"/>
          <w:i w:val="0"/>
          <w:iCs w:val="0"/>
          <w:caps w:val="0"/>
          <w:spacing w:val="0"/>
          <w:kern w:val="0"/>
          <w:sz w:val="24"/>
          <w:szCs w:val="24"/>
          <w:shd w:val="clear" w:fill="FFFFFF"/>
          <w:lang w:val="en-US" w:eastAsia="zh-CN" w:bidi="ar"/>
        </w:rPr>
        <w:t> 本报告围绕我国《网络安全法》《数据安全法》《个人信息保护法》与欧盟《通用数据保护条例》（GDPR）展开深度剖析，通过多维度对比研究，明晰法规异同，为网络空间安全领域实践提供指引，并基于差异探讨对我国法规完善方向及专业学习启示，助力数字法治建设与专业人才成长。</w:t>
      </w:r>
    </w:p>
    <w:p w14:paraId="7FFFEC38">
      <w:pPr>
        <w:pStyle w:val="3"/>
        <w:keepNext w:val="0"/>
        <w:keepLines w:val="0"/>
        <w:widowControl/>
        <w:suppressLineNumbers w:val="0"/>
        <w:pBdr>
          <w:bottom w:val="none" w:color="auto" w:sz="0" w:space="0"/>
        </w:pBdr>
        <w:shd w:val="clear" w:fill="FFFFFF"/>
        <w:spacing w:after="60" w:afterAutospacing="0"/>
        <w:ind w:left="0" w:firstLine="0"/>
        <w:rPr>
          <w:sz w:val="32"/>
          <w:szCs w:val="32"/>
        </w:rPr>
      </w:pPr>
      <w:r>
        <w:rPr>
          <w:rFonts w:hint="default" w:ascii="Segoe UI" w:hAnsi="Segoe UI" w:eastAsia="Segoe UI" w:cs="Segoe UI"/>
          <w:b/>
          <w:bCs/>
          <w:i w:val="0"/>
          <w:iCs w:val="0"/>
          <w:caps w:val="0"/>
          <w:spacing w:val="0"/>
          <w:sz w:val="32"/>
          <w:szCs w:val="32"/>
          <w:shd w:val="clear" w:fill="FFFFFF"/>
        </w:rPr>
        <w:t>一、引言</w:t>
      </w:r>
    </w:p>
    <w:p w14:paraId="6D3463D1">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eastAsia" w:asciiTheme="minorEastAsia" w:hAnsiTheme="minorEastAsia" w:eastAsiaTheme="minorEastAsia" w:cstheme="minorEastAsia"/>
          <w:i w:val="0"/>
          <w:iCs w:val="0"/>
          <w:caps w:val="0"/>
          <w:spacing w:val="0"/>
          <w:sz w:val="24"/>
          <w:szCs w:val="24"/>
        </w:rPr>
      </w:pPr>
      <w:r>
        <w:rPr>
          <w:rFonts w:hint="eastAsia" w:asciiTheme="minorEastAsia" w:hAnsiTheme="minorEastAsia" w:eastAsiaTheme="minorEastAsia" w:cstheme="minorEastAsia"/>
          <w:i w:val="0"/>
          <w:iCs w:val="0"/>
          <w:caps w:val="0"/>
          <w:spacing w:val="0"/>
          <w:kern w:val="0"/>
          <w:sz w:val="24"/>
          <w:szCs w:val="24"/>
          <w:shd w:val="clear" w:fill="FFFFFF"/>
          <w:lang w:val="en-US" w:eastAsia="zh-CN" w:bidi="ar"/>
        </w:rPr>
        <w:t>在当今数字化浪潮席卷全球的时代背景下，网络空间已无缝渗透至社会经济的每一处细微脉络，数据俨然蜕变成为驱动创新与发展的核心生产要素，而其中蕴含的海量个人信息更紧密关联着每一个体的隐私尊严与切身权益。作为一名西电大二网络空间安全专业、投身于隐私保护方向科研的学生，深刻领悟国内外数据安全法规精髓，不仅是夯实专业知识根基、磨砺学术研究能力的必由之路，更是未来秉持职业操守、在数字法治前沿阵地一展身手的关键前提。</w:t>
      </w:r>
    </w:p>
    <w:p w14:paraId="24E8911A">
      <w:pPr>
        <w:pStyle w:val="3"/>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sz w:val="32"/>
          <w:szCs w:val="32"/>
        </w:rPr>
      </w:pPr>
      <w:r>
        <w:rPr>
          <w:rFonts w:hint="default" w:ascii="Segoe UI" w:hAnsi="Segoe UI" w:eastAsia="Segoe UI" w:cs="Segoe UI"/>
          <w:b/>
          <w:bCs/>
          <w:i w:val="0"/>
          <w:iCs w:val="0"/>
          <w:caps w:val="0"/>
          <w:spacing w:val="0"/>
          <w:sz w:val="32"/>
          <w:szCs w:val="32"/>
          <w:shd w:val="clear" w:fill="FFFFFF"/>
        </w:rPr>
        <w:t>二、我国相关法规体系架构</w:t>
      </w:r>
    </w:p>
    <w:p w14:paraId="798F442D">
      <w:pPr>
        <w:pStyle w:val="4"/>
        <w:keepNext w:val="0"/>
        <w:keepLines w:val="0"/>
        <w:widowControl/>
        <w:suppressLineNumbers w:val="0"/>
        <w:pBdr>
          <w:bottom w:val="none" w:color="auto" w:sz="0" w:space="0"/>
        </w:pBdr>
        <w:shd w:val="clear" w:fill="FFFFFF"/>
        <w:spacing w:after="60" w:afterAutospacing="0"/>
        <w:ind w:left="0" w:firstLine="0"/>
        <w:rPr>
          <w:rFonts w:hint="eastAsia" w:asciiTheme="minorEastAsia" w:hAnsiTheme="minorEastAsia" w:eastAsiaTheme="minorEastAsia" w:cstheme="minorEastAsia"/>
        </w:rPr>
      </w:pPr>
      <w:r>
        <w:rPr>
          <w:rFonts w:hint="eastAsia" w:asciiTheme="minorEastAsia" w:hAnsiTheme="minorEastAsia" w:eastAsiaTheme="minorEastAsia" w:cstheme="minorEastAsia"/>
          <w:b/>
          <w:bCs/>
          <w:i w:val="0"/>
          <w:iCs w:val="0"/>
          <w:caps w:val="0"/>
          <w:spacing w:val="0"/>
          <w:shd w:val="clear" w:fill="FFFFFF"/>
        </w:rPr>
        <w:t>（一）《网络安全法》</w:t>
      </w:r>
    </w:p>
    <w:p w14:paraId="0C626042">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2017 年正式施行的《网络安全法》在我国网络空间法治进程中具有里程碑意义，它作为基础性法规强势奠基，全方位涵盖网络运行安全保障、关键信息基础设施周全防护等关键板块。其中，第二十一条系统勾勒出网络运营者需承担的一系列严谨且细致的安全保护职责，从精心制定内部安全管理制度、周密组织常态化安全培训，到精准落实网络安全应急预案等，从宏观战略高度把控网络运营层面的数据安保起始关卡；第四十条则鲜明规定网络运营者务必对所收集的用户信息施行严苛保密举措，明令禁止任何形式的泄露、篡改、毁损行径，初步擘画出个人信息妥善保管的基础框架，果敢开启我国网络数据规范化治理的崭新篇章。</w:t>
      </w:r>
    </w:p>
    <w:p w14:paraId="28648D30">
      <w:pPr>
        <w:pStyle w:val="4"/>
        <w:keepNext w:val="0"/>
        <w:keepLines w:val="0"/>
        <w:widowControl/>
        <w:suppressLineNumbers w:val="0"/>
        <w:pBdr>
          <w:bottom w:val="none" w:color="auto" w:sz="0" w:space="0"/>
        </w:pBdr>
        <w:shd w:val="clear" w:fill="FFFFFF"/>
        <w:spacing w:after="60" w:afterAutospacing="0"/>
        <w:ind w:left="0" w:firstLine="0"/>
      </w:pPr>
      <w:r>
        <w:rPr>
          <w:rFonts w:hint="default" w:ascii="Segoe UI" w:hAnsi="Segoe UI" w:eastAsia="Segoe UI" w:cs="Segoe UI"/>
          <w:b/>
          <w:bCs/>
          <w:i w:val="0"/>
          <w:iCs w:val="0"/>
          <w:caps w:val="0"/>
          <w:spacing w:val="0"/>
          <w:shd w:val="clear" w:fill="FFFFFF"/>
        </w:rPr>
        <w:t>（二）《数据安全法》</w:t>
      </w:r>
    </w:p>
    <w:p w14:paraId="0429FCC2">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2021 年重磅登场的《数据安全法》高屋建瓴，聚焦数据全生命周期的安全防护，开创性确立数据分类分级保护这一核心制度体系。诸如第二十一条条分缕析地拆解不同级别数据处理者理应适配的差异化安全保护细则，针对那些手握重要数据的处理者提出定期开展风险深度评估、按时精准报送安全详尽报告等高要求，巧妙为国家数据资源战略管理精心锚定关键规则，全力防范因数据泄露、恶意滥用而对国家安全、社会公共利益造成重创，巧妙补全数据本体安全保障的关键拼图板块。</w:t>
      </w:r>
    </w:p>
    <w:p w14:paraId="6995B602">
      <w:pPr>
        <w:pStyle w:val="4"/>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rPr>
      </w:pPr>
      <w:r>
        <w:rPr>
          <w:rFonts w:hint="default" w:ascii="Segoe UI" w:hAnsi="Segoe UI" w:eastAsia="Segoe UI" w:cs="Segoe UI"/>
          <w:b/>
          <w:bCs/>
          <w:i w:val="0"/>
          <w:iCs w:val="0"/>
          <w:caps w:val="0"/>
          <w:spacing w:val="0"/>
          <w:shd w:val="clear" w:fill="FFFFFF"/>
        </w:rPr>
        <w:t>（三）《个人信息保护法》</w:t>
      </w:r>
    </w:p>
    <w:p w14:paraId="03E4057D">
      <w:pPr>
        <w:keepNext w:val="0"/>
        <w:keepLines w:val="0"/>
        <w:widowControl/>
        <w:suppressLineNumbers w:val="0"/>
        <w:jc w:val="left"/>
      </w:pPr>
    </w:p>
    <w:p w14:paraId="67D9050D">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同样于 2021 年落地生根的这部法律，堪称个人信息保护领域的集大成典范之作，以手术刀般的精准度细腻界定个人信息范畴边界，全方位规范从信息采集起始至最终销毁的完整处理流程。举例而言，第十三条丝丝入扣地明晰列举出合法处理个人信息的多元情形，将 “同意原则” 雕琢细化至明示、单独同意等特定场景应用（尤其是敏感信息处理场景）；第二十八条则以严苛标准限定敏感个人信息的特殊保护机制，要求处理者配备更高阶、更严密的安全保障软硬件设施与技术手段，匠心独运地编织出个人信息保护的精细闭环链路，与前述两部法律协同联动，严密织就一张坚不可摧的网络数据法治防护网。</w:t>
      </w:r>
    </w:p>
    <w:p w14:paraId="4A8F5D76">
      <w:pPr>
        <w:pStyle w:val="3"/>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sz w:val="32"/>
          <w:szCs w:val="32"/>
          <w:shd w:val="clear" w:fill="FFFFFF"/>
        </w:rPr>
      </w:pPr>
      <w:r>
        <w:rPr>
          <w:rFonts w:hint="default" w:ascii="Segoe UI" w:hAnsi="Segoe UI" w:eastAsia="Segoe UI" w:cs="Segoe UI"/>
          <w:b/>
          <w:bCs/>
          <w:i w:val="0"/>
          <w:iCs w:val="0"/>
          <w:caps w:val="0"/>
          <w:spacing w:val="0"/>
          <w:sz w:val="32"/>
          <w:szCs w:val="32"/>
          <w:shd w:val="clear" w:fill="FFFFFF"/>
        </w:rPr>
        <w:t>三、欧盟 GDPR 核心要点</w:t>
      </w:r>
    </w:p>
    <w:p w14:paraId="6A657BDB">
      <w:pPr>
        <w:keepNext w:val="0"/>
        <w:keepLines w:val="0"/>
        <w:widowControl/>
        <w:suppressLineNumbers w:val="0"/>
        <w:jc w:val="left"/>
      </w:pPr>
    </w:p>
    <w:p w14:paraId="6A4808EC">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2018 年全面生效实施的 GDPR，在全球数据保护领域傲然树立起一座巍峨高峰，凭借其近乎严苛至极的规制标准引领国际潮流。其一，其广泛管辖权机制犹如一张无形巨网，基于欧盟居民数据施展 “长臂管辖” 策略，全然不顾数据处理者所处的地理方位坐标，但凡涉及欧盟居民数据踪迹，皆毫无遗漏地被纳入规制范畴，恰似域外电商平台处理欧盟客户零星订单信息瞬间便被法网牢牢锁定；其二，它不遗余力地将数据主体权利推举至极致化巅峰，赋予用户全方位、多层次的强大掌控力，诸如用户依法享有随时无障碍索求个人数据副本的访问权，更手握能一键抹除历史冗余信息、重塑数字 “清白” 的被遗忘权，这般权利范畴广度与深度远远超越常规知情权架构，颠覆性重塑个人对自身数据流向及存废的绝对掌控格局；其三，数据保护影响评估（DPIA）机制强制化落地，针对一切高风险数据处理项目强硬要求前置深度评估流程，以大规模生物识别数据应用场景为例，若未事先扎实履行评估义务，即刻便会被判定为违法行径，借此凌厉手段严控新兴前沿技术衍生的数据安全风险隐患。</w:t>
      </w:r>
    </w:p>
    <w:p w14:paraId="1FC0144A">
      <w:pPr>
        <w:pStyle w:val="3"/>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sz w:val="32"/>
          <w:szCs w:val="32"/>
          <w:shd w:val="clear" w:fill="FFFFFF"/>
        </w:rPr>
      </w:pPr>
      <w:r>
        <w:rPr>
          <w:rFonts w:hint="default" w:ascii="Segoe UI" w:hAnsi="Segoe UI" w:eastAsia="Segoe UI" w:cs="Segoe UI"/>
          <w:b/>
          <w:bCs/>
          <w:i w:val="0"/>
          <w:iCs w:val="0"/>
          <w:caps w:val="0"/>
          <w:spacing w:val="0"/>
          <w:sz w:val="32"/>
          <w:szCs w:val="32"/>
          <w:shd w:val="clear" w:fill="FFFFFF"/>
        </w:rPr>
        <w:t>四、法规条文异同深度剖析</w:t>
      </w:r>
    </w:p>
    <w:p w14:paraId="0081F315">
      <w:pPr>
        <w:pStyle w:val="4"/>
        <w:keepNext w:val="0"/>
        <w:keepLines w:val="0"/>
        <w:widowControl/>
        <w:suppressLineNumbers w:val="0"/>
        <w:pBdr>
          <w:bottom w:val="none" w:color="auto" w:sz="0" w:space="0"/>
        </w:pBdr>
        <w:shd w:val="clear" w:fill="FFFFFF"/>
        <w:spacing w:after="60" w:afterAutospacing="0"/>
        <w:ind w:left="0" w:firstLine="0"/>
      </w:pPr>
      <w:r>
        <w:rPr>
          <w:rFonts w:hint="default" w:ascii="Segoe UI" w:hAnsi="Segoe UI" w:eastAsia="Segoe UI" w:cs="Segoe UI"/>
          <w:b/>
          <w:bCs/>
          <w:i w:val="0"/>
          <w:iCs w:val="0"/>
          <w:caps w:val="0"/>
          <w:spacing w:val="0"/>
          <w:shd w:val="clear" w:fill="FFFFFF"/>
        </w:rPr>
        <w:t>（一）相同点</w:t>
      </w:r>
    </w:p>
    <w:p w14:paraId="3EBA08B7">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eastAsia" w:asciiTheme="minorEastAsia" w:hAnsiTheme="minorEastAsia" w:eastAsiaTheme="minorEastAsia" w:cstheme="minorEastAsia"/>
          <w:b/>
          <w:bCs/>
          <w:i w:val="0"/>
          <w:iCs w:val="0"/>
          <w:caps w:val="0"/>
          <w:spacing w:val="0"/>
          <w:kern w:val="0"/>
          <w:sz w:val="24"/>
          <w:szCs w:val="24"/>
          <w:shd w:val="clear" w:fill="FFFFFF"/>
          <w:lang w:val="en-US" w:eastAsia="zh-CN" w:bidi="ar"/>
        </w:rPr>
        <w:t>1.终极目标高度契合</w:t>
      </w:r>
      <w:r>
        <w:rPr>
          <w:rFonts w:hint="eastAsia" w:asciiTheme="minorEastAsia" w:hAnsiTheme="minorEastAsia" w:eastAsiaTheme="minorEastAsia" w:cstheme="minorEastAsia"/>
          <w:i w:val="0"/>
          <w:iCs w:val="0"/>
          <w:caps w:val="0"/>
          <w:spacing w:val="0"/>
          <w:kern w:val="0"/>
          <w:sz w:val="24"/>
          <w:szCs w:val="24"/>
          <w:shd w:val="clear" w:fill="FFFFFF"/>
          <w:lang w:val="en-US" w:eastAsia="zh-CN" w:bidi="ar"/>
        </w:rPr>
        <w:t>：</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中外法规皆矢志不渝地将捍卫数据安全堡垒、悉心护佑个人信息合法权益奉为圭臬，全力筑牢数字时代信任根基。皆清醒洞察数据失控、个人信息遭肆意践踏将引发的灾难性后果，致力于防范数据沦为不法分子侵权牟利凶器，持之以恒维系数字经济生态系统健康良性运转。</w:t>
      </w:r>
    </w:p>
    <w:p w14:paraId="3F17FA87">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eastAsia" w:asciiTheme="minorEastAsia" w:hAnsiTheme="minorEastAsia" w:eastAsiaTheme="minorEastAsia" w:cstheme="minorEastAsia"/>
          <w:b/>
          <w:bCs/>
          <w:i w:val="0"/>
          <w:iCs w:val="0"/>
          <w:caps w:val="0"/>
          <w:spacing w:val="0"/>
          <w:kern w:val="0"/>
          <w:sz w:val="24"/>
          <w:szCs w:val="24"/>
          <w:shd w:val="clear" w:fill="FFFFFF"/>
          <w:lang w:val="en-US" w:eastAsia="zh-CN" w:bidi="ar"/>
        </w:rPr>
        <w:t>2.</w:t>
      </w:r>
      <w:r>
        <w:rPr>
          <w:rFonts w:hint="default" w:asciiTheme="minorEastAsia" w:hAnsiTheme="minorEastAsia" w:eastAsiaTheme="minorEastAsia" w:cstheme="minorEastAsia"/>
          <w:b/>
          <w:bCs/>
          <w:i w:val="0"/>
          <w:iCs w:val="0"/>
          <w:caps w:val="0"/>
          <w:spacing w:val="0"/>
          <w:kern w:val="0"/>
          <w:sz w:val="24"/>
          <w:szCs w:val="24"/>
          <w:shd w:val="clear" w:fill="FFFFFF"/>
          <w:lang w:val="en-US" w:eastAsia="zh-CN" w:bidi="ar"/>
        </w:rPr>
        <w:t>全生命周期管控共识</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不约而同秉持全流程管控先进理念，严密涵盖数据从呱呱坠地的收集瞬间，到静卧存储介质的蛰伏期、辗转传输通道的奔波时刻、活跃于使用场景的价值释放阶段，直至功成身退被销毁归零的完整历程。我国法规体系与 GDPR 均以零容忍态度要求各环节严守安全防护底线、践行合规操作准则，以未雨绸缪之姿杜绝数据 “裸奔” 滋生安全隐患。</w:t>
      </w:r>
    </w:p>
    <w:p w14:paraId="756EA140">
      <w:pPr>
        <w:pStyle w:val="4"/>
        <w:keepNext w:val="0"/>
        <w:keepLines w:val="0"/>
        <w:widowControl/>
        <w:suppressLineNumbers w:val="0"/>
        <w:pBdr>
          <w:bottom w:val="none" w:color="auto" w:sz="0" w:space="0"/>
        </w:pBdr>
        <w:shd w:val="clear" w:fill="FFFFFF"/>
        <w:spacing w:after="60" w:afterAutospacing="0"/>
        <w:ind w:left="0" w:firstLine="0"/>
      </w:pPr>
      <w:r>
        <w:rPr>
          <w:rFonts w:hint="default" w:ascii="Segoe UI" w:hAnsi="Segoe UI" w:eastAsia="Segoe UI" w:cs="Segoe UI"/>
          <w:b/>
          <w:bCs/>
          <w:i w:val="0"/>
          <w:iCs w:val="0"/>
          <w:caps w:val="0"/>
          <w:spacing w:val="0"/>
          <w:shd w:val="clear" w:fill="FFFFFF"/>
        </w:rPr>
        <w:t>（二）差异点</w:t>
      </w:r>
    </w:p>
    <w:p w14:paraId="63823B1D">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Style w:val="7"/>
          <w:rFonts w:hint="eastAsia" w:asciiTheme="minorEastAsia" w:hAnsiTheme="minorEastAsia" w:cstheme="minorEastAsia"/>
          <w:b/>
          <w:bCs/>
          <w:i w:val="0"/>
          <w:iCs w:val="0"/>
          <w:caps w:val="0"/>
          <w:color w:val="222222"/>
          <w:spacing w:val="0"/>
          <w:sz w:val="24"/>
          <w:szCs w:val="24"/>
          <w:shd w:val="clear" w:fill="FFFFFF"/>
          <w:lang w:val="en-US" w:eastAsia="zh-CN"/>
        </w:rPr>
        <w:t>1.</w:t>
      </w:r>
      <w:r>
        <w:rPr>
          <w:rStyle w:val="7"/>
          <w:rFonts w:hint="default" w:asciiTheme="minorEastAsia" w:hAnsiTheme="minorEastAsia" w:eastAsiaTheme="minorEastAsia" w:cstheme="minorEastAsia"/>
          <w:b/>
          <w:bCs/>
          <w:i w:val="0"/>
          <w:iCs w:val="0"/>
          <w:caps w:val="0"/>
          <w:color w:val="222222"/>
          <w:spacing w:val="0"/>
          <w:sz w:val="24"/>
          <w:szCs w:val="24"/>
          <w:shd w:val="clear" w:fill="FFFFFF"/>
          <w:lang w:val="en-US" w:eastAsia="zh-CN"/>
        </w:rPr>
        <w:t>立法风格泾渭分明</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：我国明智选取多部法律协同并进、渐进完善的稳健立法路径，紧密依循网络</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安全宏观架构、数据本体特质、个人信息精微脉络分野逐步雕琢细化规则，宛如步步为营的战略布局，丝丝入扣贴合国情动态与产业发展韵律节奏；反观 GDPR，恰似一部包罗万象、高强度集成的法典巨著，凭借一揽子涵盖多元复杂规则体系的磅礴气势，令初涉数据业务领域的从业者常感合规重压如山，却也倒逼行业极速蜕变升级。</w:t>
      </w:r>
    </w:p>
    <w:p w14:paraId="092DAF29">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Style w:val="7"/>
          <w:rFonts w:hint="eastAsia" w:asciiTheme="minorEastAsia" w:hAnsiTheme="minorEastAsia" w:cstheme="minorEastAsia"/>
          <w:b/>
          <w:bCs/>
          <w:i w:val="0"/>
          <w:iCs w:val="0"/>
          <w:caps w:val="0"/>
          <w:color w:val="222222"/>
          <w:spacing w:val="0"/>
          <w:sz w:val="24"/>
          <w:szCs w:val="24"/>
          <w:shd w:val="clear" w:fill="FFFFFF"/>
          <w:lang w:val="en-US" w:eastAsia="zh-CN"/>
        </w:rPr>
        <w:t>2.</w:t>
      </w:r>
      <w:r>
        <w:rPr>
          <w:rStyle w:val="7"/>
          <w:rFonts w:hint="default" w:asciiTheme="minorEastAsia" w:hAnsiTheme="minorEastAsia" w:eastAsiaTheme="minorEastAsia" w:cstheme="minorEastAsia"/>
          <w:b/>
          <w:bCs/>
          <w:i w:val="0"/>
          <w:iCs w:val="0"/>
          <w:caps w:val="0"/>
          <w:color w:val="222222"/>
          <w:spacing w:val="0"/>
          <w:sz w:val="24"/>
          <w:szCs w:val="24"/>
          <w:shd w:val="clear" w:fill="FFFFFF"/>
          <w:lang w:val="en-US" w:eastAsia="zh-CN"/>
        </w:rPr>
        <w:t>管辖权辐射范围有别</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：我国立足国家主权领土疆界，精准锁定境内运营主体数据活动，同时审慎考量特定跨境关键情形（诸如关键信息基础设施向境外谨慎传输数据场景）实施管辖；GDPR 则凭借超国界扩张式管辖权，如炬目光紧盯欧盟居民数据关联线索，致使全球范围内企业但凡涉欧业务，皆需如履薄冰精心布局数据合规战略，典型如美国科技巨头进军欧洲市场时，多被迫斥巨资设立本地数据中心，巧妙缓冲严苛法规冲击与风险。</w:t>
      </w:r>
    </w:p>
    <w:p w14:paraId="2CE92FCB">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Style w:val="7"/>
          <w:rFonts w:hint="eastAsia" w:asciiTheme="minorEastAsia" w:hAnsiTheme="minorEastAsia" w:cstheme="minorEastAsia"/>
          <w:b/>
          <w:bCs/>
          <w:i w:val="0"/>
          <w:iCs w:val="0"/>
          <w:caps w:val="0"/>
          <w:color w:val="222222"/>
          <w:spacing w:val="0"/>
          <w:sz w:val="24"/>
          <w:szCs w:val="24"/>
          <w:shd w:val="clear" w:fill="FFFFFF"/>
          <w:lang w:val="en-US" w:eastAsia="zh-CN"/>
        </w:rPr>
        <w:t>3.</w:t>
      </w:r>
      <w:r>
        <w:rPr>
          <w:rStyle w:val="7"/>
          <w:rFonts w:hint="default" w:asciiTheme="minorEastAsia" w:hAnsiTheme="minorEastAsia" w:eastAsiaTheme="minorEastAsia" w:cstheme="minorEastAsia"/>
          <w:b/>
          <w:bCs/>
          <w:i w:val="0"/>
          <w:iCs w:val="0"/>
          <w:caps w:val="0"/>
          <w:color w:val="222222"/>
          <w:spacing w:val="0"/>
          <w:sz w:val="24"/>
          <w:szCs w:val="24"/>
          <w:shd w:val="clear" w:fill="FFFFFF"/>
          <w:lang w:val="en-US" w:eastAsia="zh-CN"/>
        </w:rPr>
        <w:t>个人信息界定宽窄各异</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：我国法律智慧结合身份识别关键要素与特定应用场景敏感度精准甄别，巧妙聚焦真正攸关个人核心权益的关键信息，力避过度宽泛界定致资源虚耗；GDPR 秉持宽泛包容理念，广泛涵盖一切理论上可关联至个体的碎片化日常数据，从细微浏览记录到临时位置信息均一网打尽，虽强化个体权益保护，却也导致企业合规数据梳理成本飙升，运营负担骤增。</w:t>
      </w:r>
    </w:p>
    <w:p w14:paraId="7D669694">
      <w:pPr>
        <w:keepNext w:val="0"/>
        <w:keepLines w:val="0"/>
        <w:pageBreakBefore w:val="0"/>
        <w:widowControl/>
        <w:suppressLineNumbers w:val="0"/>
        <w:shd w:val="clear" w:fill="FFFFFF"/>
        <w:kinsoku/>
        <w:wordWrap/>
        <w:overflowPunct/>
        <w:topLinePunct w:val="0"/>
        <w:autoSpaceDE/>
        <w:autoSpaceDN/>
        <w:bidi w:val="0"/>
        <w:adjustRightInd/>
        <w:snapToGrid/>
        <w:ind w:left="0" w:firstLine="482"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Style w:val="7"/>
          <w:rFonts w:hint="eastAsia" w:asciiTheme="minorEastAsia" w:hAnsiTheme="minorEastAsia" w:cstheme="minorEastAsia"/>
          <w:b/>
          <w:bCs/>
          <w:i w:val="0"/>
          <w:iCs w:val="0"/>
          <w:caps w:val="0"/>
          <w:color w:val="222222"/>
          <w:spacing w:val="0"/>
          <w:sz w:val="24"/>
          <w:szCs w:val="24"/>
          <w:shd w:val="clear" w:fill="FFFFFF"/>
          <w:lang w:val="en-US" w:eastAsia="zh-CN"/>
        </w:rPr>
        <w:t>4.</w:t>
      </w:r>
      <w:r>
        <w:rPr>
          <w:rStyle w:val="7"/>
          <w:rFonts w:hint="default" w:asciiTheme="minorEastAsia" w:hAnsiTheme="minorEastAsia" w:eastAsiaTheme="minorEastAsia" w:cstheme="minorEastAsia"/>
          <w:b/>
          <w:bCs/>
          <w:i w:val="0"/>
          <w:iCs w:val="0"/>
          <w:caps w:val="0"/>
          <w:color w:val="222222"/>
          <w:spacing w:val="0"/>
          <w:sz w:val="24"/>
          <w:szCs w:val="24"/>
          <w:shd w:val="clear" w:fill="FFFFFF"/>
          <w:lang w:val="en-US" w:eastAsia="zh-CN"/>
        </w:rPr>
        <w:t>企业合规成本落差显著</w:t>
      </w: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：我国秉持灵活务实策略，依循行业特质、数据量级规模分层精准规制，为中小微企业量身定制适度减负路径，激发市场创新活力；GDPR 则推行统一严苛标准，全然不顾企业规模体量差异，复杂冗长报告义务、高额不菲认证费用（诸如隐私保护专项认证）常令中小企业在合规泥沼中举步维艰、不堪重负，却也意外催生专业化数据合规咨询产业蓬勃繁荣盛景。</w:t>
      </w:r>
    </w:p>
    <w:p w14:paraId="14A74A5F">
      <w:pPr>
        <w:pStyle w:val="3"/>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sz w:val="32"/>
          <w:szCs w:val="32"/>
          <w:shd w:val="clear" w:fill="FFFFFF"/>
        </w:rPr>
      </w:pPr>
      <w:r>
        <w:rPr>
          <w:rFonts w:hint="default" w:ascii="Segoe UI" w:hAnsi="Segoe UI" w:eastAsia="Segoe UI" w:cs="Segoe UI"/>
          <w:b/>
          <w:bCs/>
          <w:i w:val="0"/>
          <w:iCs w:val="0"/>
          <w:caps w:val="0"/>
          <w:spacing w:val="0"/>
          <w:sz w:val="32"/>
          <w:szCs w:val="32"/>
          <w:shd w:val="clear" w:fill="FFFFFF"/>
        </w:rPr>
        <w:t>五、监管执行机制对比</w:t>
      </w:r>
    </w:p>
    <w:p w14:paraId="706A0B35">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我国匠心独运地构建起以网信部门为主导、多部门协同联动的高效监管格局，网信办凭借高屋建瓴视野统筹全局战略方向，工信部聚焦电信领域数据合规督导、公安部深挖数据犯罪线索穷究到底等各司其职；监管模式注重常态化日常督查与关键节点安全审查（像针对关键信息基础设施数据跨境关键流向严格审查）有机融合，巧妙依循企业信用表现分级差异化监管，奖优策进、惩劣戒怠，促进行业整体合规自律。</w:t>
      </w:r>
    </w:p>
    <w:p w14:paraId="797061B8">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GDPR 则仰赖各欧盟成员国本土监管机构担当一线主责，欧盟委员会居中协调校准统一执法尺度；格外倚重公民投诉驱动执法流程，个体但凡维权申诉即刻触发深度调查程序，搭配令人咋舌的巨额罚单威慑利器，谷歌等行业巨头屡遭重创罚单警示，以儆效尤强力鞭策全行业谨守法规底线、强化自律修为。</w:t>
      </w:r>
    </w:p>
    <w:p w14:paraId="42E1350C">
      <w:pPr>
        <w:pStyle w:val="3"/>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sz w:val="32"/>
          <w:szCs w:val="32"/>
          <w:shd w:val="clear" w:fill="FFFFFF"/>
        </w:rPr>
      </w:pPr>
      <w:r>
        <w:rPr>
          <w:rFonts w:hint="default" w:ascii="Segoe UI" w:hAnsi="Segoe UI" w:eastAsia="Segoe UI" w:cs="Segoe UI"/>
          <w:b/>
          <w:bCs/>
          <w:i w:val="0"/>
          <w:iCs w:val="0"/>
          <w:caps w:val="0"/>
          <w:spacing w:val="0"/>
          <w:sz w:val="32"/>
          <w:szCs w:val="32"/>
          <w:shd w:val="clear" w:fill="FFFFFF"/>
        </w:rPr>
        <w:t>六、结合科研方向对我国法规完善及专业学习启示</w:t>
      </w:r>
    </w:p>
    <w:p w14:paraId="44A823DB">
      <w:pPr>
        <w:pStyle w:val="4"/>
        <w:keepNext w:val="0"/>
        <w:keepLines w:val="0"/>
        <w:widowControl/>
        <w:suppressLineNumbers w:val="0"/>
        <w:pBdr>
          <w:bottom w:val="none" w:color="auto" w:sz="0" w:space="0"/>
        </w:pBdr>
        <w:shd w:val="clear" w:fill="FFFFFF"/>
        <w:spacing w:after="60" w:afterAutospacing="0"/>
        <w:ind w:left="0" w:firstLine="0"/>
      </w:pPr>
      <w:r>
        <w:rPr>
          <w:rFonts w:hint="default" w:ascii="Segoe UI" w:hAnsi="Segoe UI" w:eastAsia="Segoe UI" w:cs="Segoe UI"/>
          <w:b/>
          <w:bCs/>
          <w:i w:val="0"/>
          <w:iCs w:val="0"/>
          <w:caps w:val="0"/>
          <w:spacing w:val="0"/>
          <w:shd w:val="clear" w:fill="FFFFFF"/>
        </w:rPr>
        <w:t>（一）法规完善建言</w:t>
      </w:r>
    </w:p>
    <w:p w14:paraId="7C28191E">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积极汲取 GDPR 蕴含的风险预防前瞻智慧，深度研判量子计算、脑机接口等前沿颠覆性技术潜在数据风险，提前细化适配法规规范，抢占新兴技术法治高地；巧妙借鉴其赋予用户权利的精细化颗粒度，在我国法规框架下适度拓展个人信息自主决定权限边界，激活个体参与数据治理热情；全力强化跨境执法协作深度广度，尤其在 “一带一路” 宏伟倡议下携手沿线国家共建共护数据安全丝绸之路，为数字经济国际合作保驾护航。</w:t>
      </w:r>
    </w:p>
    <w:p w14:paraId="1AAC39B2">
      <w:pPr>
        <w:pStyle w:val="4"/>
        <w:keepNext w:val="0"/>
        <w:keepLines w:val="0"/>
        <w:widowControl/>
        <w:suppressLineNumbers w:val="0"/>
        <w:pBdr>
          <w:bottom w:val="none" w:color="auto" w:sz="0" w:space="0"/>
        </w:pBdr>
        <w:shd w:val="clear" w:fill="FFFFFF"/>
        <w:spacing w:after="60" w:afterAutospacing="0"/>
        <w:ind w:left="0" w:firstLine="0"/>
      </w:pPr>
      <w:r>
        <w:rPr>
          <w:rFonts w:hint="default" w:ascii="Segoe UI" w:hAnsi="Segoe UI" w:eastAsia="Segoe UI" w:cs="Segoe UI"/>
          <w:b/>
          <w:bCs/>
          <w:i w:val="0"/>
          <w:iCs w:val="0"/>
          <w:caps w:val="0"/>
          <w:spacing w:val="0"/>
          <w:shd w:val="clear" w:fill="FFFFFF"/>
        </w:rPr>
        <w:t>（二）专业学习导向</w:t>
      </w:r>
      <w:bookmarkStart w:id="0" w:name="_GoBack"/>
      <w:bookmarkEnd w:id="0"/>
    </w:p>
    <w:p w14:paraId="56619D56">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于知识厚积层面，在深耕我国法规条文细节之余，狠下功夫精修欧盟法外语原版精髓条文，精准把握国际合规前沿术语动态，搭建中西法规互通桥梁；在技能精研维度，精心模拟企业多元合规实操场景，沉浸式历练数据脱敏、加密算法创新、合规审计全流程实战技艺，为未来实习就业厚植竞争优势；从职业伦理铸魂视角，深度内化法规价值意蕴，确保未来从业生涯时刻严守数据正义准则，矢志成为数字时代披坚执锐的 “护法卫士”，护航隐私安全净土。</w:t>
      </w:r>
    </w:p>
    <w:p w14:paraId="3355E124">
      <w:pPr>
        <w:pStyle w:val="3"/>
        <w:keepNext w:val="0"/>
        <w:keepLines w:val="0"/>
        <w:widowControl/>
        <w:suppressLineNumbers w:val="0"/>
        <w:pBdr>
          <w:bottom w:val="none" w:color="auto" w:sz="0" w:space="0"/>
        </w:pBdr>
        <w:shd w:val="clear" w:fill="FFFFFF"/>
        <w:spacing w:after="60" w:afterAutospacing="0"/>
        <w:ind w:left="0" w:firstLine="0"/>
        <w:rPr>
          <w:rFonts w:hint="default" w:ascii="Segoe UI" w:hAnsi="Segoe UI" w:eastAsia="Segoe UI" w:cs="Segoe UI"/>
          <w:b/>
          <w:bCs/>
          <w:i w:val="0"/>
          <w:iCs w:val="0"/>
          <w:caps w:val="0"/>
          <w:spacing w:val="0"/>
          <w:sz w:val="32"/>
          <w:szCs w:val="32"/>
          <w:shd w:val="clear" w:fill="FFFFFF"/>
        </w:rPr>
      </w:pPr>
      <w:r>
        <w:rPr>
          <w:rFonts w:hint="default" w:ascii="Segoe UI" w:hAnsi="Segoe UI" w:eastAsia="Segoe UI" w:cs="Segoe UI"/>
          <w:b/>
          <w:bCs/>
          <w:i w:val="0"/>
          <w:iCs w:val="0"/>
          <w:caps w:val="0"/>
          <w:spacing w:val="0"/>
          <w:sz w:val="32"/>
          <w:szCs w:val="32"/>
          <w:shd w:val="clear" w:fill="FFFFFF"/>
        </w:rPr>
        <w:t>七、结论</w:t>
      </w:r>
    </w:p>
    <w:p w14:paraId="6497225E">
      <w:pPr>
        <w:keepNext w:val="0"/>
        <w:keepLines w:val="0"/>
        <w:pageBreakBefore w:val="0"/>
        <w:widowControl/>
        <w:suppressLineNumbers w:val="0"/>
        <w:shd w:val="clear" w:fill="FFFFFF"/>
        <w:kinsoku/>
        <w:wordWrap/>
        <w:overflowPunct/>
        <w:topLinePunct w:val="0"/>
        <w:autoSpaceDE/>
        <w:autoSpaceDN/>
        <w:bidi w:val="0"/>
        <w:adjustRightInd/>
        <w:snapToGrid/>
        <w:ind w:left="0" w:firstLine="480" w:firstLineChars="200"/>
        <w:jc w:val="left"/>
        <w:textAlignment w:val="auto"/>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pPr>
      <w:r>
        <w:rPr>
          <w:rFonts w:hint="default" w:asciiTheme="minorEastAsia" w:hAnsiTheme="minorEastAsia" w:eastAsiaTheme="minorEastAsia" w:cstheme="minorEastAsia"/>
          <w:i w:val="0"/>
          <w:iCs w:val="0"/>
          <w:caps w:val="0"/>
          <w:spacing w:val="0"/>
          <w:kern w:val="0"/>
          <w:sz w:val="24"/>
          <w:szCs w:val="24"/>
          <w:shd w:val="clear" w:fill="FFFFFF"/>
          <w:lang w:val="en-US" w:eastAsia="zh-CN" w:bidi="ar"/>
        </w:rPr>
        <w:t>我国三部法规与 GDPR 在全球数据安全治理的壮阔光谱中相映生辉、各展风姿。我国法规体系立足本土、稳扎稳打、适应性卓越；GDPR 则以创新领航、规制严苛、影响深远独树一帜。展望未来，我国法理应秉持兼容并蓄胸怀采撷他山之石、稳步国际接轨，吾辈莘莘学子更当以法规为倚天剑、技术为屠龙刀，倾尽全力守护网络空间数据安澜，奋楫笃行助力数字中国稳健远航，志在国际数据法治舞台中央崭露头角、绽放芳华。</w:t>
      </w:r>
    </w:p>
    <w:p w14:paraId="70497F15">
      <w:pPr>
        <w:keepNext w:val="0"/>
        <w:keepLines w:val="0"/>
        <w:widowControl/>
        <w:suppressLineNumbers w:val="0"/>
        <w:jc w:val="left"/>
      </w:pPr>
    </w:p>
    <w:p w14:paraId="4952050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T Extra">
    <w:panose1 w:val="05050102010205020202"/>
    <w:charset w:val="00"/>
    <w:family w:val="auto"/>
    <w:pitch w:val="default"/>
    <w:sig w:usb0="80000000" w:usb1="00000000" w:usb2="00000000" w:usb3="00000000" w:csb0="00000000" w:csb1="00000000"/>
  </w:font>
  <w:font w:name="Sitka Display">
    <w:panose1 w:val="02000505000000020004"/>
    <w:charset w:val="00"/>
    <w:family w:val="auto"/>
    <w:pitch w:val="default"/>
    <w:sig w:usb0="A00002EF" w:usb1="4000204B" w:usb2="00000000" w:usb3="00000000" w:csb0="2000019F" w:csb1="00000000"/>
  </w:font>
  <w:font w:name="Tiger">
    <w:panose1 w:val="02070300020205020404"/>
    <w:charset w:val="00"/>
    <w:family w:val="auto"/>
    <w:pitch w:val="default"/>
    <w:sig w:usb0="A00003AF" w:usb1="100078FF" w:usb2="00000000" w:usb3="00000000" w:csb0="6000019F" w:csb1="DFF70000"/>
  </w:font>
  <w:font w:name="楷体">
    <w:panose1 w:val="02010609060101010101"/>
    <w:charset w:val="86"/>
    <w:family w:val="auto"/>
    <w:pitch w:val="default"/>
    <w:sig w:usb0="800002BF" w:usb1="38CF7CFA" w:usb2="00000016" w:usb3="00000000" w:csb0="00040001" w:csb1="00000000"/>
  </w:font>
  <w:font w:name="Symbol Tiger">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E880754"/>
    <w:rsid w:val="74C46B5A"/>
    <w:rsid w:val="79AC5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1902</Words>
  <Characters>1929</Characters>
  <Lines>0</Lines>
  <Paragraphs>0</Paragraphs>
  <TotalTime>10</TotalTime>
  <ScaleCrop>false</ScaleCrop>
  <LinksUpToDate>false</LinksUpToDate>
  <CharactersWithSpaces>1948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2024-12-18T07:04:00Z</dcterms:created>
  <dc:creator>Administrator</dc:creator>
  <cp:lastModifiedBy>秋萤野马</cp:lastModifiedBy>
  <dcterms:modified xsi:type="dcterms:W3CDTF">2024-12-29T03:27:24Z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14D69319B10C4520A88E7A5C2D191FCE_12</vt:lpwstr>
  </property>
  <property fmtid="{D5CDD505-2E9C-101B-9397-08002B2CF9AE}" pid="4" name="KSOTemplateDocerSaveRecord">
    <vt:lpwstr>eyJoZGlkIjoiNWY0ZTA5YzFmOTU5MWNhOTM2YTFmZWVkOTUzMzgxMjQiLCJ1c2VySWQiOiI4MDM2NzY2MzYifQ==</vt:lpwstr>
  </property>
</Properties>
</file>