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Využití herní knihovny Bevy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41799250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D9026C">
              <w:rPr>
                <w:noProof/>
              </w:rPr>
              <w:t>26.4.2025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>vedení práce a</w:t>
            </w:r>
            <w:r w:rsidR="004820CF" w:rsidRPr="008F0A6B">
              <w:t>….</w:t>
            </w:r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r w:rsidRPr="008F0A6B">
        <w:t>A</w:t>
      </w:r>
      <w:r w:rsidR="008528F2" w:rsidRPr="008F0A6B">
        <w:t>bstract</w:t>
      </w:r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r w:rsidRPr="008F0A6B">
        <w:rPr>
          <w:sz w:val="28"/>
        </w:rPr>
        <w:t>Title: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>Use of Bevy game engine for teaching computer graphics</w:t>
      </w:r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„Bachelor Thesis“ pro bakalářskou práci a „Diploma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5 – 6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r w:rsidRPr="008F0A6B">
        <w:t xml:space="preserve">Key words: </w:t>
      </w:r>
    </w:p>
    <w:p w14:paraId="55C5E042" w14:textId="1C61F809" w:rsidR="002340F4" w:rsidRPr="008F0A6B" w:rsidRDefault="00267A97" w:rsidP="004820CF">
      <w:r w:rsidRPr="008F0A6B">
        <w:t>Rust, Bevy, Computer graphics, Game engine, Rendering, Shaders, Education</w:t>
      </w:r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Bevy,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>Využití API Vulkan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 xml:space="preserve">a vymezit problémovou situaci, která bude v bakalářské/diplomové práci řešena. Sepsáním zásadních částí úvodu a metodiky na začátku sepisování práce si student/ka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rasterovou a vektorovou.  Rasterový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>, a proto musí projít rasterizací – proces při kterém je obraz převeden z vektorového prostoru do rasterové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>azyk Rust</w:t>
      </w:r>
      <w:bookmarkEnd w:id="5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Jazyk Rust je funkcionální staticky typovaný jazyk, vyvíjený jako výkonná, paměťově bezpečná náhrada za jazyk C. V současné době je již část linuxového jádra přepsána do Rustu,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Cargo. Cargo je oficiální nástroj pro správu balíčků a build projektů v Rustu. Při kompilaci vychází Cargo z konfigurace uložené v soboru cargo.toml,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garbage collectoru. Rust toho dosahuje pomocí systému vlastnictví (ownership),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Rust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r w:rsidR="00B67B56">
        <w:rPr>
          <w:rFonts w:eastAsia="ComeniaSerif"/>
          <w:lang w:bidi="ar-SA"/>
        </w:rPr>
        <w:t>pricipům</w:t>
      </w:r>
      <w:r w:rsidRPr="008F0A6B">
        <w:rPr>
          <w:rFonts w:eastAsia="ComeniaSerif"/>
          <w:lang w:bidi="ar-SA"/>
        </w:rPr>
        <w:t xml:space="preserve"> </w:t>
      </w:r>
      <w:r w:rsidR="00B67B56">
        <w:rPr>
          <w:rFonts w:eastAsia="ComeniaSerif"/>
          <w:lang w:bidi="ar-SA"/>
        </w:rPr>
        <w:t xml:space="preserve">ownership, </w:t>
      </w:r>
      <w:r w:rsidRPr="008F0A6B">
        <w:rPr>
          <w:rFonts w:eastAsia="ComeniaSerif"/>
          <w:lang w:bidi="ar-SA"/>
        </w:rPr>
        <w:t>borrow a lifetime</w:t>
      </w:r>
      <w:r w:rsidR="00B67B56">
        <w:rPr>
          <w:rFonts w:eastAsia="ComeniaSerif"/>
          <w:lang w:bidi="ar-SA"/>
        </w:rPr>
        <w:t xml:space="preserve"> jazyk R</w:t>
      </w:r>
      <w:r w:rsidRPr="008F0A6B">
        <w:rPr>
          <w:rFonts w:eastAsia="ComeniaSerif"/>
          <w:lang w:bidi="ar-SA"/>
        </w:rPr>
        <w:t xml:space="preserve">ust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dangling pointers nebo use after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Rust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r w:rsidR="00AC3E22">
        <w:rPr>
          <w:rFonts w:eastAsia="ComeniaSerif"/>
          <w:lang w:bidi="ar-SA"/>
        </w:rPr>
        <w:t>imutable</w:t>
      </w:r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(mutable)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&amp;mut</w:t>
      </w:r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>Pro rozbalení reference Rust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Životnost (lifetime) je doba, po kterou zůstává reference (zápůjčka) platná a ukazuje na existující data. K jeho deklaraci používá Rust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Rust lifetimes určit sám, ale občas je mu potřeba pomocí pomocí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r w:rsidR="007B0A42" w:rsidRPr="007B0A42">
        <w:rPr>
          <w:rStyle w:val="KdChar"/>
          <w:sz w:val="22"/>
          <w:szCs w:val="22"/>
        </w:rPr>
        <w:t>lifetime_name</w:t>
      </w:r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r w:rsidRPr="008F0A6B">
        <w:rPr>
          <w:rFonts w:eastAsia="ComeniaSerif"/>
          <w:lang w:bidi="ar-SA"/>
        </w:rPr>
        <w:t>Rust je staticky typovaný jazyk, tedy všechny proměnné mají předem určený typ v době kompilace. Rust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let – Deklarace běžné proměnné, která je bez slovíčka mut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const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mut – Proměnná je označena jako tzv. mutable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Integery jsou deklarovány jako </w:t>
      </w:r>
      <w:r w:rsidR="00BD2090" w:rsidRPr="008F0A6B">
        <w:rPr>
          <w:rFonts w:eastAsia="ComeniaSerif"/>
          <w:lang w:bidi="ar-SA"/>
        </w:rPr>
        <w:t xml:space="preserve">i32, i64, u32, u64, usize, isize. Písmena U/I napovídají, zda se jedná o unsigned/signed integer a dle následující číslovky lze určit jeho velikost. Rust nativně podporuje 8 až 128bitové integery. Velikost size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>. Na 64bitovém systému bude tedy size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float,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char a 8bitový bool,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r w:rsidR="00FF004B" w:rsidRPr="008F0A6B">
        <w:rPr>
          <w:rFonts w:eastAsia="ComeniaSerif"/>
          <w:lang w:bidi="ar-SA"/>
        </w:rPr>
        <w:t xml:space="preserve">encoding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>. Tyto stringy jsou statické. Pro stringy s dynamickou velikostí je lepší využít datový typ String,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mut </w:t>
      </w:r>
      <w:r w:rsidRPr="008F0A6B">
        <w:rPr>
          <w:u w:val="single"/>
        </w:rPr>
        <w:t>counter</w:t>
      </w:r>
      <w:r w:rsidRPr="008F0A6B">
        <w:t>: usize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>    const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>    let path: &amp;str = "/path/dir/file";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mut </w:t>
      </w:r>
      <w:r w:rsidRPr="008F0A6B">
        <w:rPr>
          <w:u w:val="single"/>
        </w:rPr>
        <w:t>name</w:t>
      </w:r>
      <w:r w:rsidRPr="008F0A6B">
        <w:t>: String = "Jack".to_owned();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Rust stejně jako další systémové jazyky podporuje vytváření aliasu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struct a enum.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struct MyStruct{</w:t>
      </w:r>
    </w:p>
    <w:p w14:paraId="531A565B" w14:textId="4A7C5275" w:rsidR="00265B7E" w:rsidRPr="008F0A6B" w:rsidRDefault="00265B7E" w:rsidP="00265B7E">
      <w:pPr>
        <w:pStyle w:val="Kd"/>
      </w:pPr>
      <w:r w:rsidRPr="008F0A6B">
        <w:t>        number: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>        index: usize,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enum MyEnum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NamesEnum = MyEnum;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if, else, for, while, loop fungují identicky jako v ostatních jazycích. Velmi užitečnou strukturu, kterou Rust přidává je match. </w:t>
      </w:r>
      <w:r w:rsidR="00FE62C1" w:rsidRPr="008F0A6B">
        <w:rPr>
          <w:rFonts w:eastAsia="ComeniaSerif"/>
          <w:lang w:bidi="ar-SA"/>
        </w:rPr>
        <w:t>Match je klasický switch statement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>    match number {</w:t>
      </w:r>
    </w:p>
    <w:p w14:paraId="0A0B1B45" w14:textId="77777777" w:rsidR="00FE62C1" w:rsidRPr="008F0A6B" w:rsidRDefault="00FE62C1" w:rsidP="00FE62C1">
      <w:pPr>
        <w:pStyle w:val="Kd"/>
      </w:pPr>
      <w:r w:rsidRPr="008F0A6B">
        <w:t>        1 =&gt; println!("Jedna"),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>        2 =&gt; println!("Dva"),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>        3 | 4 =&gt; println!("Tři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>        _ =&gt; println!("Jiné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Funkce jsou v Rustu definovány pomocí klíčového slova </w:t>
      </w:r>
      <w:r w:rsidR="00B14C35" w:rsidRPr="008F0A6B">
        <w:rPr>
          <w:rFonts w:eastAsia="ComeniaSerif"/>
          <w:lang w:bidi="ar-SA"/>
        </w:rPr>
        <w:t>„</w:t>
      </w:r>
      <w:r w:rsidRPr="008F0A6B">
        <w:rPr>
          <w:rFonts w:eastAsia="ComeniaSerif"/>
          <w:lang w:bidi="ar-SA"/>
        </w:rPr>
        <w:t>fn</w:t>
      </w:r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>. Poté následuje název funkce, její parametry a případě typ návratové hodnoty. Rust nemá podporu pro defaultní návratové hodnoty jako například None z Pythonu, pro případy kdy je none potřeba lze využít přetížení Option&lt;T&gt; jako typ návratové hodnoty.</w:t>
      </w:r>
    </w:p>
    <w:p w14:paraId="479AA66B" w14:textId="77777777" w:rsidR="00B14C35" w:rsidRPr="008F0A6B" w:rsidRDefault="006C5E3A" w:rsidP="00B14C35">
      <w:pPr>
        <w:pStyle w:val="Kd"/>
      </w:pPr>
      <w:r w:rsidRPr="008F0A6B">
        <w:t>fn soucet(a: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Rust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>return a+b;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Rustová obdoba knihoven nebo balíčků u jiných jazyků. Pro import se používá klíčové slovo „use“. Moduly mohou být deklarovány v rámci jednoho souboru pomocí slova „mod“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 jsou konstrukce umožňující generaci kódu během kompilace. Rust rozlišuje dva druhy maker, deklarativní a procedurální. Název každého deklarativního makra je zakončen symbolem ‚!‘ a používá se obdobně jako běžné funkce. Příkladem je třeba makro println!()</w:t>
      </w:r>
      <w:r w:rsidR="00FE698C" w:rsidRPr="008F0A6B">
        <w:rPr>
          <w:rFonts w:eastAsia="ComeniaSerif"/>
          <w:lang w:bidi="ar-SA"/>
        </w:rPr>
        <w:t xml:space="preserve">, které vypisuje text do konzole pomocí stdout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enumy a structy kde jsou makra používána pro generaci pomocného kódu. Například při implementaci debugu, který usnadní převod obsahu na string: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r w:rsidRPr="008F0A6B">
        <w:t>struct MyStruct{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number: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Rust má moderní ekosystém, který usnadňuje vývoj a správu projektů. Klíčovou součástí je cli utilita Cargo, jedná se o správce balíčků a build systém, který se stará o kompilaci, závislosti a testování. Další důležitou částí ekosystému jsou veřejné úložiště knihoven, jako například Crates.io. Pro správu verzí Rustu se používá nástroj Rustup,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Standardní Rust projekt má jasně definovanou strukturu. Zdrojové soubory se nacházejí ve složce src/, kde je buď main.rs pro binární aplikace, nebo lib.rs pro knihovny. V kořenovém adresáři projektu se nachází konfigurační soubor Cargo.toml.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Cargo vytvořit příkazem </w:t>
      </w:r>
      <w:r w:rsidRPr="008F0A6B">
        <w:rPr>
          <w:rStyle w:val="KdChar"/>
          <w:lang w:bidi="ar-SA"/>
        </w:rPr>
        <w:t>cargo new my_project</w:t>
      </w:r>
      <w:r w:rsidRPr="008F0A6B">
        <w:rPr>
          <w:rFonts w:eastAsia="ComeniaSerif"/>
          <w:lang w:bidi="ar-SA"/>
        </w:rPr>
        <w:t xml:space="preserve">, přičemž Cargo automaticky vygeneruje potřebné soubory a složky. Kompilace projektu se provádí příkazem </w:t>
      </w:r>
      <w:r w:rsidRPr="008F0A6B">
        <w:rPr>
          <w:rStyle w:val="KdChar"/>
          <w:lang w:bidi="ar-SA"/>
        </w:rPr>
        <w:t>cargo build</w:t>
      </w:r>
      <w:r w:rsidRPr="008F0A6B">
        <w:rPr>
          <w:rFonts w:eastAsia="ComeniaSerif"/>
          <w:lang w:bidi="ar-SA"/>
        </w:rPr>
        <w:t xml:space="preserve">, zatímco </w:t>
      </w:r>
      <w:r w:rsidRPr="008F0A6B">
        <w:rPr>
          <w:rStyle w:val="KdChar"/>
          <w:lang w:bidi="ar-SA"/>
        </w:rPr>
        <w:t>cargo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--release</w:t>
      </w:r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Testování je v Rustu přímo integrované do jazyka a Cargo poskytuje příkaz cargo test pro automatické spouštění testů. Testy se definují pomocí anotace #[test], která označuje funkce, jež ověřují správné chování kódu. Rust má také silný ekosystém nástrojů pro zlepšení kvality kódu. Clippy slouží jako linter a pomáhá odhalit neoptimální konstrukce, zatímco Rustfmt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> jazyce Rust</w:t>
      </w:r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>aopak, v některých případech je také možné z Rustu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 xml:space="preserve">v Rust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 xml:space="preserve">, pak je možné ho propojit s Rustem.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>tuto integraci usnadňují. Příkladem jsou pyo3, csbindgen, j4r nebo wasm-bindgen.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r w:rsidRPr="008F0A6B">
        <w:rPr>
          <w:rFonts w:eastAsia="ComeniaSerif"/>
          <w:lang w:bidi="ar-SA"/>
        </w:rPr>
        <w:t>Bevy</w:t>
      </w:r>
      <w:bookmarkEnd w:id="9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Jazyk Rust nespadá do rodiny objektově orientovaných jazyků a Bevy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Bevy engine na svém webu za „data-driven“ pomocí vlastního Bevy ESC systému, jehož předností má být simplicita,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Bevy knihovnu </w:t>
      </w:r>
      <w:r w:rsidR="003B0470">
        <w:rPr>
          <w:rFonts w:eastAsia="ComeniaSerif"/>
          <w:lang w:bidi="ar-SA"/>
        </w:rPr>
        <w:t>wgpu.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struct, ozančený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Příkladem může být jedna z často používaných komponent – Transform.</w:t>
      </w:r>
      <w:r w:rsidR="00102BF0" w:rsidRPr="008F0A6B">
        <w:rPr>
          <w:rFonts w:eastAsia="ComeniaSerif"/>
          <w:lang w:bidi="ar-SA"/>
        </w:rPr>
        <w:t xml:space="preserve"> Komponenta určuje pozici entity v prostoru. Při renderu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2EC37BEB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Pr="008F0A6B"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r w:rsidRPr="008F0A6B">
        <w:t xml:space="preserve">fn rotate_system(mut </w:t>
      </w:r>
      <w:r w:rsidRPr="008F0A6B">
        <w:rPr>
          <w:u w:val="single"/>
        </w:rPr>
        <w:t>query</w:t>
      </w:r>
      <w:r w:rsidRPr="008F0A6B">
        <w:t>: Query&lt;&amp;mut Transform, With&lt;Rotuj&gt;&gt;){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for mut </w:t>
      </w:r>
      <w:r w:rsidRPr="008F0A6B">
        <w:rPr>
          <w:u w:val="single"/>
        </w:rPr>
        <w:t>transform</w:t>
      </w:r>
      <w:r w:rsidRPr="008F0A6B">
        <w:t xml:space="preserve"> in </w:t>
      </w:r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>Tento systém je nutné do Bevy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r w:rsidRPr="008F0A6B">
        <w:t>(Update, rotate_system);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(Resource)</w:t>
      </w:r>
      <w:bookmarkEnd w:id="11"/>
    </w:p>
    <w:p w14:paraId="32065E34" w14:textId="187C9D25" w:rsidR="008F0A6B" w:rsidRPr="008F0A6B" w:rsidRDefault="008F0A6B" w:rsidP="008F0A6B">
      <w:pPr>
        <w:rPr>
          <w:rFonts w:eastAsia="ComeniaSerif"/>
        </w:rPr>
      </w:pPr>
      <w:r>
        <w:rPr>
          <w:rFonts w:eastAsia="ComeniaSerif"/>
        </w:rPr>
        <w:t>Resource je z pohledu Bevy singleton struct, který slouží ke skladování informací používaných při běhu. Může se jednat o konfigurace, assety, proměnn</w:t>
      </w:r>
      <w:r w:rsidR="00D15FB4">
        <w:rPr>
          <w:rFonts w:eastAsia="ComeniaSerif"/>
        </w:rPr>
        <w:t>é a další. Tyto informace se mohou za běhu měnit. Registrace zdroje probíhá skrze metodu app.insert_resource(). Mutable i inmutable přístup ke zdrojům probíhá skrze systémy. Avšak vlastníkem zdrojů je stále Bevy.</w:t>
      </w:r>
    </w:p>
    <w:p w14:paraId="4BA96EF0" w14:textId="7F41FA15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lastRenderedPageBreak/>
        <w:t>Pluginy</w:t>
      </w:r>
      <w:bookmarkEnd w:id="12"/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Bevy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Bevy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enginu</w:t>
      </w:r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Bevy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r>
        <w:rPr>
          <w:rFonts w:eastAsia="ComeniaSerif"/>
        </w:rPr>
        <w:t>Renderovací backendy</w:t>
      </w:r>
      <w:bookmarkEnd w:id="13"/>
    </w:p>
    <w:p w14:paraId="32552B9A" w14:textId="032D19C2" w:rsidR="00CD1158" w:rsidRDefault="00CD1158" w:rsidP="00CD1158">
      <w:pPr>
        <w:rPr>
          <w:rFonts w:eastAsia="ComeniaSerif"/>
        </w:rPr>
      </w:pPr>
      <w:r>
        <w:rPr>
          <w:rFonts w:eastAsia="ComeniaSerif"/>
        </w:rPr>
        <w:t xml:space="preserve">Bevy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wgpu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>podporuje několik renderovacích backendů</w:t>
      </w:r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Pr="00CD1158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backendy,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>mít plnou podporu jsou: Vulkan, Metal, DirectX 12 a WebGPU pro prohlížeče. Sekundární renderovací backend, který lze využít ale nemá plnou podporu je OpenGL.</w:t>
      </w:r>
    </w:p>
    <w:p w14:paraId="34FE932B" w14:textId="77777777" w:rsidR="00B40461" w:rsidRPr="008F0A6B" w:rsidRDefault="00B40461" w:rsidP="00FC0C79">
      <w:pPr>
        <w:rPr>
          <w:rFonts w:eastAsia="ComeniaSerif"/>
          <w:lang w:bidi="ar-SA"/>
        </w:rPr>
      </w:pPr>
    </w:p>
    <w:p w14:paraId="26E63A37" w14:textId="77777777" w:rsidR="004B556C" w:rsidRPr="008F0A6B" w:rsidRDefault="004B556C" w:rsidP="004B556C">
      <w:pPr>
        <w:pStyle w:val="Nadpis2"/>
      </w:pPr>
      <w:bookmarkStart w:id="14" w:name="_Toc195370012"/>
      <w:r w:rsidRPr="008F0A6B">
        <w:t>Podkapitola</w:t>
      </w:r>
      <w:bookmarkEnd w:id="14"/>
    </w:p>
    <w:p w14:paraId="6954137D" w14:textId="77777777" w:rsidR="00E45882" w:rsidRPr="008F0A6B" w:rsidRDefault="00E45882" w:rsidP="00E45882">
      <w:r w:rsidRPr="008F0A6B">
        <w:t>Vlastní text práce.</w:t>
      </w:r>
    </w:p>
    <w:p w14:paraId="597C9580" w14:textId="77777777" w:rsidR="0023304C" w:rsidRPr="008F0A6B" w:rsidRDefault="00E45882" w:rsidP="0023304C">
      <w:pPr>
        <w:rPr>
          <w:b/>
        </w:rPr>
      </w:pPr>
      <w:bookmarkStart w:id="15" w:name="_Toc348517268"/>
      <w:r w:rsidRPr="008F0A6B">
        <w:rPr>
          <w:b/>
        </w:rPr>
        <w:t xml:space="preserve">Tabulka </w:t>
      </w:r>
      <w:r w:rsidR="00C57707" w:rsidRPr="008F0A6B">
        <w:rPr>
          <w:b/>
        </w:rPr>
        <w:fldChar w:fldCharType="begin"/>
      </w:r>
      <w:r w:rsidR="00C57707" w:rsidRPr="008F0A6B">
        <w:rPr>
          <w:b/>
        </w:rPr>
        <w:instrText xml:space="preserve"> SEQ Tabulka \* ARABIC </w:instrText>
      </w:r>
      <w:r w:rsidR="00C57707" w:rsidRPr="008F0A6B">
        <w:rPr>
          <w:b/>
        </w:rPr>
        <w:fldChar w:fldCharType="separate"/>
      </w:r>
      <w:r w:rsidR="002340F4" w:rsidRPr="008F0A6B">
        <w:rPr>
          <w:b/>
        </w:rPr>
        <w:t>1</w:t>
      </w:r>
      <w:r w:rsidR="00C57707" w:rsidRPr="008F0A6B">
        <w:rPr>
          <w:b/>
        </w:rPr>
        <w:fldChar w:fldCharType="end"/>
      </w:r>
      <w:r w:rsidRPr="008F0A6B">
        <w:rPr>
          <w:b/>
        </w:rPr>
        <w:t xml:space="preserve"> Název tabulky</w:t>
      </w:r>
      <w:r w:rsidR="00262A7A" w:rsidRPr="008F0A6B">
        <w:rPr>
          <w:b/>
        </w:rPr>
        <w:t>.</w:t>
      </w:r>
      <w:bookmarkEnd w:id="15"/>
      <w:r w:rsidR="00262A7A" w:rsidRPr="008F0A6B">
        <w:rPr>
          <w:b/>
        </w:rPr>
        <w:t xml:space="preserve"> </w:t>
      </w:r>
      <w:r w:rsidR="0023304C" w:rsidRPr="008F0A6B">
        <w:rPr>
          <w:b/>
        </w:rPr>
        <w:t>Zdroj: citace zdroje, nebo autor, vlastní zpracování</w:t>
      </w:r>
    </w:p>
    <w:p w14:paraId="1B802957" w14:textId="77777777" w:rsidR="00E45882" w:rsidRPr="008F0A6B" w:rsidRDefault="00E45882" w:rsidP="00E45882">
      <w:pPr>
        <w:pStyle w:val="Titulek"/>
        <w:keepNext/>
        <w:jc w:val="left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1"/>
        <w:gridCol w:w="2161"/>
        <w:gridCol w:w="2161"/>
        <w:gridCol w:w="2161"/>
      </w:tblGrid>
      <w:tr w:rsidR="00E45882" w:rsidRPr="008F0A6B" w14:paraId="21801E8D" w14:textId="77777777" w:rsidTr="00886BC8">
        <w:tc>
          <w:tcPr>
            <w:tcW w:w="2161" w:type="dxa"/>
            <w:shd w:val="clear" w:color="auto" w:fill="auto"/>
          </w:tcPr>
          <w:p w14:paraId="1EBEC048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16E33D2F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6AF024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22F80FBA" w14:textId="77777777" w:rsidR="00E45882" w:rsidRPr="008F0A6B" w:rsidRDefault="00E45882" w:rsidP="004B556C"/>
        </w:tc>
      </w:tr>
      <w:tr w:rsidR="00E45882" w:rsidRPr="008F0A6B" w14:paraId="0819D486" w14:textId="77777777" w:rsidTr="00886BC8">
        <w:tc>
          <w:tcPr>
            <w:tcW w:w="2161" w:type="dxa"/>
            <w:shd w:val="clear" w:color="auto" w:fill="auto"/>
          </w:tcPr>
          <w:p w14:paraId="4B20C1B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2B56A8B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44C52C24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B3B2C28" w14:textId="77777777" w:rsidR="00E45882" w:rsidRPr="008F0A6B" w:rsidRDefault="00E45882" w:rsidP="004B556C"/>
        </w:tc>
      </w:tr>
      <w:tr w:rsidR="00E45882" w:rsidRPr="008F0A6B" w14:paraId="5D9F9A82" w14:textId="77777777" w:rsidTr="00886BC8">
        <w:tc>
          <w:tcPr>
            <w:tcW w:w="2161" w:type="dxa"/>
            <w:shd w:val="clear" w:color="auto" w:fill="auto"/>
          </w:tcPr>
          <w:p w14:paraId="61FAD1EC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E54423E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317E39D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27E9825" w14:textId="77777777" w:rsidR="00E45882" w:rsidRPr="008F0A6B" w:rsidRDefault="00E45882" w:rsidP="004B556C"/>
        </w:tc>
      </w:tr>
      <w:tr w:rsidR="00E45882" w:rsidRPr="008F0A6B" w14:paraId="79CCA4FD" w14:textId="77777777" w:rsidTr="00886BC8">
        <w:tc>
          <w:tcPr>
            <w:tcW w:w="2161" w:type="dxa"/>
            <w:shd w:val="clear" w:color="auto" w:fill="auto"/>
          </w:tcPr>
          <w:p w14:paraId="4EF7499D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7FCFE472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657BF681" w14:textId="77777777" w:rsidR="00E45882" w:rsidRPr="008F0A6B" w:rsidRDefault="00E45882" w:rsidP="004B556C"/>
        </w:tc>
        <w:tc>
          <w:tcPr>
            <w:tcW w:w="2161" w:type="dxa"/>
            <w:shd w:val="clear" w:color="auto" w:fill="auto"/>
          </w:tcPr>
          <w:p w14:paraId="5FAC8DE6" w14:textId="77777777" w:rsidR="00E45882" w:rsidRPr="008F0A6B" w:rsidRDefault="00E45882" w:rsidP="004B556C"/>
        </w:tc>
      </w:tr>
    </w:tbl>
    <w:p w14:paraId="3AE28874" w14:textId="77777777" w:rsidR="004B556C" w:rsidRPr="008F0A6B" w:rsidRDefault="004B556C" w:rsidP="004B556C">
      <w:pPr>
        <w:pStyle w:val="Nadpis3"/>
      </w:pPr>
      <w:r w:rsidRPr="008F0A6B">
        <w:t>Podřazená podkapitola</w:t>
      </w:r>
    </w:p>
    <w:p w14:paraId="1F999E70" w14:textId="77777777" w:rsidR="00E45882" w:rsidRPr="008F0A6B" w:rsidRDefault="00E45882" w:rsidP="00E45882">
      <w:r w:rsidRPr="008F0A6B">
        <w:t>Vlastní text práce.</w:t>
      </w:r>
    </w:p>
    <w:p w14:paraId="635FEF6C" w14:textId="77777777" w:rsidR="00E45882" w:rsidRPr="008F0A6B" w:rsidRDefault="0023304C" w:rsidP="00E45882">
      <w:pPr>
        <w:keepNext/>
        <w:spacing w:after="200" w:line="276" w:lineRule="auto"/>
        <w:jc w:val="left"/>
      </w:pPr>
      <w:r w:rsidRPr="008F0A6B">
        <w:rPr>
          <w:noProof/>
        </w:rPr>
        <w:drawing>
          <wp:inline distT="0" distB="0" distL="0" distR="0" wp14:anchorId="36BB5DBF" wp14:editId="4D082959">
            <wp:extent cx="5400040" cy="90106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link_NPO_RGB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0009" w14:textId="0CBB9CB8" w:rsidR="004B556C" w:rsidRPr="008F0A6B" w:rsidRDefault="00E45882" w:rsidP="00BD1503">
      <w:pPr>
        <w:pStyle w:val="Titulek"/>
        <w:jc w:val="left"/>
        <w:rPr>
          <w:rFonts w:ascii="Arial" w:hAnsi="Arial"/>
          <w:b w:val="0"/>
          <w:bCs w:val="0"/>
          <w:i/>
          <w:iCs/>
          <w:sz w:val="28"/>
          <w:szCs w:val="28"/>
        </w:rPr>
      </w:pPr>
      <w:bookmarkStart w:id="16" w:name="_Toc348517265"/>
      <w:r w:rsidRPr="008F0A6B">
        <w:t xml:space="preserve">Obr. </w:t>
      </w:r>
      <w:fldSimple w:instr=" SEQ Obr. \* ARABIC ">
        <w:r w:rsidR="008A08E1" w:rsidRPr="008F0A6B">
          <w:t>2</w:t>
        </w:r>
      </w:fldSimple>
      <w:r w:rsidRPr="008F0A6B">
        <w:t xml:space="preserve"> Název obrázku/grafu/fotografie</w:t>
      </w:r>
      <w:r w:rsidR="00262A7A" w:rsidRPr="008F0A6B">
        <w:t>.</w:t>
      </w:r>
      <w:bookmarkEnd w:id="16"/>
      <w:r w:rsidR="00262A7A" w:rsidRPr="008F0A6B">
        <w:t xml:space="preserve"> </w:t>
      </w:r>
      <w:r w:rsidR="00995861" w:rsidRPr="008F0A6B">
        <w:t xml:space="preserve">Zdroj: citace zdroje, nebo autor, vlastní zpracování </w:t>
      </w:r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7" w:name="_Toc195370013"/>
      <w:r w:rsidRPr="00B04724">
        <w:lastRenderedPageBreak/>
        <w:t>Metodika a zpracování</w:t>
      </w:r>
      <w:bookmarkEnd w:id="17"/>
    </w:p>
    <w:p w14:paraId="7BB88060" w14:textId="3A9D2513" w:rsidR="00B04724" w:rsidRDefault="00B04724" w:rsidP="00B04724">
      <w:pPr>
        <w:pStyle w:val="Nadpis1"/>
      </w:pPr>
      <w:bookmarkStart w:id="18" w:name="_Toc195370014"/>
      <w:r>
        <w:t>Ukázky</w:t>
      </w:r>
      <w:bookmarkEnd w:id="18"/>
    </w:p>
    <w:p w14:paraId="53A6CF75" w14:textId="4388C06F" w:rsidR="00D9026C" w:rsidRDefault="00D9026C" w:rsidP="00D9026C">
      <w:pPr>
        <w:pStyle w:val="Nadpis2"/>
      </w:pPr>
      <w:r>
        <w:t>Compute shader</w:t>
      </w:r>
      <w:r w:rsidR="00155A00">
        <w:t xml:space="preserve"> A</w:t>
      </w:r>
    </w:p>
    <w:p w14:paraId="6BE00447" w14:textId="0C14FEEF" w:rsidR="00AD6BF7" w:rsidRPr="00D9026C" w:rsidRDefault="00D9026C" w:rsidP="00D9026C">
      <w:r>
        <w:t>Ukázka 10a implementuje jednoduchý compute shader</w:t>
      </w:r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Bevy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Wgpu není možné </w:t>
      </w:r>
      <w:r w:rsidR="006C4A0E">
        <w:t>nad bufferem operovat přímo. Výstupní data se po doběhnutí compute shaderu nachází v pamět</w:t>
      </w:r>
      <w:r w:rsidR="00D60AF1">
        <w:t>i</w:t>
      </w:r>
      <w:r w:rsidR="006C4A0E">
        <w:t xml:space="preserve"> GPU a nastává potřeba je přesunout do běžné RAM, kde budou přístupná pro CPU.  Bevy pro tyto účely implementuje r</w:t>
      </w:r>
      <w:r w:rsidR="00AD6BF7">
        <w:t>eadback</w:t>
      </w:r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>, kdy readback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6744357B" w14:textId="68679A21" w:rsidR="00B04724" w:rsidRDefault="00B04724" w:rsidP="00B04724">
      <w:pPr>
        <w:pStyle w:val="Nadpis1"/>
      </w:pPr>
      <w:bookmarkStart w:id="19" w:name="_Toc195370015"/>
      <w:r>
        <w:t>Shrnutí výsledků</w:t>
      </w:r>
      <w:bookmarkEnd w:id="19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20" w:name="_Toc195370016"/>
      <w:r w:rsidRPr="008F0A6B">
        <w:t>Závěr</w:t>
      </w:r>
      <w:bookmarkEnd w:id="20"/>
    </w:p>
    <w:p w14:paraId="2465C127" w14:textId="77777777" w:rsidR="00741AA9" w:rsidRDefault="00E64FF2" w:rsidP="00E64FF2">
      <w:r>
        <w:t>Knihovna Bevy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engine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>, ale zároveň značně mění fungovaní knihovny jako celku. Verze jsou mezi sebou nekompatibilní a migrace mezi verzemi často vyžaduje značné zásahy do projektu. Na tyto časté změny trpí hlavně malé veřejné knihovny.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r>
        <w:t xml:space="preserve">Engine zapouzdřuje low level funkcionalitu čímž usnadňuje vývojáři práci, ale </w:t>
      </w:r>
      <w:r w:rsidR="00741AA9">
        <w:t>student se pak učí spíše principy enginu jako takového než principy počítačové grafiky, na které engine stojí.</w:t>
      </w:r>
      <w:r w:rsidR="00E64FF2">
        <w:t xml:space="preserve"> </w:t>
      </w:r>
    </w:p>
    <w:p w14:paraId="61DFBBA6" w14:textId="2707E8A9" w:rsidR="00741AA9" w:rsidRPr="00E64FF2" w:rsidRDefault="00741AA9" w:rsidP="00E64FF2">
      <w:r>
        <w:t xml:space="preserve">Myšlenka přepínání grafického backendu je rozhodně zajímavá, ale během psaní 3D ukázek byla tato funkcionalita spíše na obtíž. </w:t>
      </w:r>
    </w:p>
    <w:p w14:paraId="5CFD3F2E" w14:textId="539B321F" w:rsidR="00D7500B" w:rsidRPr="008F0A6B" w:rsidRDefault="00B04724" w:rsidP="00422B51">
      <w:pPr>
        <w:pStyle w:val="Nadpis1"/>
      </w:pPr>
      <w:bookmarkStart w:id="21" w:name="_Toc195370017"/>
      <w:r>
        <w:lastRenderedPageBreak/>
        <w:t>Zdroje a literatura</w:t>
      </w:r>
      <w:bookmarkEnd w:id="21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3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(https://www.citace.com/vytvorit-citaci)</w:t>
      </w:r>
      <w:r w:rsidRPr="008F0A6B">
        <w:rPr>
          <w:rFonts w:eastAsia="Calibri"/>
          <w:i/>
          <w:iCs/>
          <w:lang w:bidi="ar-SA"/>
        </w:rPr>
        <w:t>, Zotero</w:t>
      </w:r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5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>[1] Bevy foundation, Bevy documentation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The Rust Programming Language [online]. Dostupné z: </w:t>
      </w:r>
      <w:hyperlink r:id="rId16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63EA590B" w:rsidR="000C60AD" w:rsidRPr="008F0A6B" w:rsidRDefault="000C60AD" w:rsidP="00185E4F">
      <w:pPr>
        <w:rPr>
          <w:rFonts w:eastAsia="Calibri"/>
          <w:lang w:bidi="ar-SA"/>
        </w:rPr>
      </w:pPr>
      <w:r>
        <w:t xml:space="preserve">[3] </w:t>
      </w:r>
      <w:r w:rsidRPr="000C60AD">
        <w:t>PROKOP, Dominik.</w:t>
      </w:r>
      <w:r>
        <w:t xml:space="preserve"> </w:t>
      </w:r>
      <w:r w:rsidRPr="000C60AD">
        <w:t>Využití API Vulkan v kontextu výuky počítačové grafiky</w:t>
      </w:r>
      <w:r w:rsidR="00CB13AF">
        <w:t xml:space="preserve"> [online]. Dostupné z</w:t>
      </w:r>
      <w:r w:rsidR="00CB13AF" w:rsidRPr="00CB13AF">
        <w:t>: https://theses.cz/id/il01k0/.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22" w:name="_Toc195370018"/>
      <w:r w:rsidRPr="008F0A6B">
        <w:lastRenderedPageBreak/>
        <w:t>Přílohy</w:t>
      </w:r>
      <w:bookmarkEnd w:id="22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(Github, Gitlab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7"/>
          <w:footerReference w:type="default" r:id="rId18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19"/>
          <w:footerReference w:type="default" r:id="rId20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>práce se svým vedoucím práce a vložil do STAGu, je součástí odevzdávané elektronické (popř. tištěné, je-li to požadováno) verze závěrečné práce. Zadání práce student získá z informačního systému eVŠKP (</w:t>
      </w:r>
      <w:hyperlink r:id="rId21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2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C6CBD" w14:textId="77777777" w:rsidR="004A6E26" w:rsidRPr="008F0A6B" w:rsidRDefault="004A6E26" w:rsidP="003A3689">
      <w:pPr>
        <w:spacing w:line="240" w:lineRule="auto"/>
      </w:pPr>
      <w:r w:rsidRPr="008F0A6B">
        <w:separator/>
      </w:r>
    </w:p>
    <w:p w14:paraId="41945671" w14:textId="77777777" w:rsidR="004A6E26" w:rsidRPr="008F0A6B" w:rsidRDefault="004A6E26"/>
  </w:endnote>
  <w:endnote w:type="continuationSeparator" w:id="0">
    <w:p w14:paraId="0BB769BA" w14:textId="77777777" w:rsidR="004A6E26" w:rsidRPr="008F0A6B" w:rsidRDefault="004A6E26" w:rsidP="003A3689">
      <w:pPr>
        <w:spacing w:line="240" w:lineRule="auto"/>
      </w:pPr>
      <w:r w:rsidRPr="008F0A6B">
        <w:continuationSeparator/>
      </w:r>
    </w:p>
    <w:p w14:paraId="165FC53C" w14:textId="77777777" w:rsidR="004A6E26" w:rsidRPr="008F0A6B" w:rsidRDefault="004A6E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7ACB5" w14:textId="77777777" w:rsidR="004A6E26" w:rsidRPr="008F0A6B" w:rsidRDefault="004A6E26" w:rsidP="003A3689">
      <w:pPr>
        <w:spacing w:line="240" w:lineRule="auto"/>
      </w:pPr>
      <w:r w:rsidRPr="008F0A6B">
        <w:separator/>
      </w:r>
    </w:p>
    <w:p w14:paraId="31597D16" w14:textId="77777777" w:rsidR="004A6E26" w:rsidRPr="008F0A6B" w:rsidRDefault="004A6E26"/>
  </w:footnote>
  <w:footnote w:type="continuationSeparator" w:id="0">
    <w:p w14:paraId="68CF5627" w14:textId="77777777" w:rsidR="004A6E26" w:rsidRPr="008F0A6B" w:rsidRDefault="004A6E26" w:rsidP="003A3689">
      <w:pPr>
        <w:spacing w:line="240" w:lineRule="auto"/>
      </w:pPr>
      <w:r w:rsidRPr="008F0A6B">
        <w:continuationSeparator/>
      </w:r>
    </w:p>
    <w:p w14:paraId="752905BC" w14:textId="77777777" w:rsidR="004A6E26" w:rsidRPr="008F0A6B" w:rsidRDefault="004A6E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30A70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49CD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91799"/>
    <w:rsid w:val="00294A75"/>
    <w:rsid w:val="002A0E9F"/>
    <w:rsid w:val="002A18E8"/>
    <w:rsid w:val="002A4739"/>
    <w:rsid w:val="002B1EDE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3689"/>
    <w:rsid w:val="003A3C0D"/>
    <w:rsid w:val="003A5D21"/>
    <w:rsid w:val="003B0470"/>
    <w:rsid w:val="003B6BCF"/>
    <w:rsid w:val="003B7DF7"/>
    <w:rsid w:val="003C02B0"/>
    <w:rsid w:val="003C1091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805"/>
    <w:rsid w:val="00460FA3"/>
    <w:rsid w:val="004636DF"/>
    <w:rsid w:val="00463EC2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7A64"/>
    <w:rsid w:val="004D0160"/>
    <w:rsid w:val="004D02C2"/>
    <w:rsid w:val="004D24D9"/>
    <w:rsid w:val="004D60DE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7506"/>
    <w:rsid w:val="0054029B"/>
    <w:rsid w:val="005408BA"/>
    <w:rsid w:val="0054183F"/>
    <w:rsid w:val="00541FAE"/>
    <w:rsid w:val="0054236E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28C8"/>
    <w:rsid w:val="005B2BD8"/>
    <w:rsid w:val="005B448A"/>
    <w:rsid w:val="005B67A8"/>
    <w:rsid w:val="005B6B11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5C69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6244C"/>
    <w:rsid w:val="0096274D"/>
    <w:rsid w:val="009630C8"/>
    <w:rsid w:val="00963F7E"/>
    <w:rsid w:val="0096458C"/>
    <w:rsid w:val="00967A3F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7FCA"/>
    <w:rsid w:val="009D0749"/>
    <w:rsid w:val="009D1DD0"/>
    <w:rsid w:val="009D6C72"/>
    <w:rsid w:val="009D7683"/>
    <w:rsid w:val="009E10E0"/>
    <w:rsid w:val="009E2BB4"/>
    <w:rsid w:val="009E3125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38C9"/>
    <w:rsid w:val="00E544F3"/>
    <w:rsid w:val="00E54E8F"/>
    <w:rsid w:val="00E61101"/>
    <w:rsid w:val="00E61E08"/>
    <w:rsid w:val="00E644D8"/>
    <w:rsid w:val="00E64FF2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D10FF"/>
    <w:rsid w:val="00ED41D6"/>
    <w:rsid w:val="00ED7C74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citace.zcu.cz/" TargetMode="Externa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is.uhk.cz/evskp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c.rust-lang.org/stable/book/title-page.html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zotero.org/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apastyle.apa.org/" TargetMode="External"/><Relationship Id="rId22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1260</TotalTime>
  <Pages>23</Pages>
  <Words>3866</Words>
  <Characters>22037</Characters>
  <Application>Microsoft Office Word</Application>
  <DocSecurity>0</DocSecurity>
  <Lines>183</Lines>
  <Paragraphs>51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25852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73</cp:revision>
  <cp:lastPrinted>2012-04-25T05:27:00Z</cp:lastPrinted>
  <dcterms:created xsi:type="dcterms:W3CDTF">2024-10-24T12:33:00Z</dcterms:created>
  <dcterms:modified xsi:type="dcterms:W3CDTF">2025-04-26T21:29:00Z</dcterms:modified>
</cp:coreProperties>
</file>