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D1507D" w:rsidRDefault="00D1507D">
      <w:pPr>
        <w:pBdr>
          <w:top w:val="single" w:sz="12" w:space="0" w:color="auto"/>
        </w:pBdr>
        <w:spacing w:after="0"/>
      </w:pPr>
    </w:p>
    <w:p w14:paraId="66B79CC5" w14:textId="77777777" w:rsidR="00D1507D" w:rsidRDefault="004A7B4C">
      <w:pPr>
        <w:pStyle w:val="Heading1"/>
      </w:pPr>
      <w:r>
        <w:rPr>
          <w:b/>
          <w:bCs/>
        </w:rPr>
        <w:t>Business Proposal: Open‑Access AI Agent for Occupational Health Workflows</w:t>
      </w:r>
    </w:p>
    <w:p w14:paraId="5AB82A29" w14:textId="77777777" w:rsidR="00D1507D" w:rsidRDefault="004A7B4C">
      <w:r>
        <w:rPr>
          <w:i/>
          <w:iCs/>
        </w:rPr>
        <w:t>Submitted for consideration by the Health and Safety Executive (HSE)</w:t>
      </w:r>
    </w:p>
    <w:p w14:paraId="0A37501D" w14:textId="77777777" w:rsidR="00D1507D" w:rsidRDefault="00D1507D">
      <w:pPr>
        <w:pBdr>
          <w:top w:val="single" w:sz="12" w:space="0" w:color="auto"/>
        </w:pBdr>
        <w:spacing w:after="0"/>
      </w:pPr>
    </w:p>
    <w:p w14:paraId="0583529C" w14:textId="77777777" w:rsidR="00D1507D" w:rsidRDefault="004A7B4C">
      <w:pPr>
        <w:pStyle w:val="Heading2"/>
      </w:pPr>
      <w:r>
        <w:rPr>
          <w:b/>
          <w:bCs/>
        </w:rPr>
        <w:t>1. Executive Summary</w:t>
      </w:r>
    </w:p>
    <w:p w14:paraId="5EB5CA47" w14:textId="01A14D96" w:rsidR="00D1507D" w:rsidRDefault="37EBA051">
      <w:r>
        <w:t xml:space="preserve">Occupational Health (OH) providers across the UK face increasing pressure: workforce shortages, fragmented guidance, highly variable standards, and rising demand for statutory health surveillance. Small providers and </w:t>
      </w:r>
      <w:r w:rsidR="5395B9C1">
        <w:t>Small to Medium enterprises (</w:t>
      </w:r>
      <w:r>
        <w:t>SMEs</w:t>
      </w:r>
      <w:r w:rsidR="189F4F77">
        <w:t>)</w:t>
      </w:r>
      <w:r>
        <w:t xml:space="preserve"> struggle most with access to specialist expertise and consistent, compliant workflow development. These pressures drive unwarranted variability in how duty holders meet their responsibilities under health and safety law.</w:t>
      </w:r>
    </w:p>
    <w:p w14:paraId="61C2A900" w14:textId="71B6C5BA" w:rsidR="00D1507D" w:rsidRDefault="14055678">
      <w:r>
        <w:t>We propose the development of an</w:t>
      </w:r>
      <w:r w:rsidR="005E748E">
        <w:t xml:space="preserve"> accessible</w:t>
      </w:r>
      <w:r w:rsidRPr="00C61B24">
        <w:t xml:space="preserve"> AI Agent</w:t>
      </w:r>
      <w:r w:rsidR="5D460095">
        <w:t xml:space="preserve">, </w:t>
      </w:r>
      <w:r w:rsidR="00C61B24">
        <w:t xml:space="preserve">using a non-profit business model, designed to support </w:t>
      </w:r>
      <w:r>
        <w:t xml:space="preserve">a trusted, evidence‑based digital tool that supports OH practitioners to generate hazard‑specific, risk‑profiled, </w:t>
      </w:r>
      <w:r w:rsidR="005E748E">
        <w:t xml:space="preserve">evidence based, </w:t>
      </w:r>
      <w:r>
        <w:t xml:space="preserve">and regulatory‑compliant </w:t>
      </w:r>
      <w:r w:rsidR="005E748E">
        <w:t xml:space="preserve">(through consultation with the HSE) </w:t>
      </w:r>
      <w:r>
        <w:t xml:space="preserve">OH workflows. The Agent will only draw from robust, authoritative sources, </w:t>
      </w:r>
      <w:r w:rsidR="5D460095">
        <w:t>such as</w:t>
      </w:r>
      <w:r>
        <w:t xml:space="preserve"> HSE guidance, </w:t>
      </w:r>
      <w:r w:rsidR="439EBA73">
        <w:t>which me</w:t>
      </w:r>
      <w:r w:rsidR="260F3B9C">
        <w:t>e</w:t>
      </w:r>
      <w:r w:rsidR="439EBA73">
        <w:t>t minima</w:t>
      </w:r>
      <w:r w:rsidR="3F7AD585">
        <w:t xml:space="preserve">l regulatory </w:t>
      </w:r>
      <w:r w:rsidR="439EBA73">
        <w:t>compliance</w:t>
      </w:r>
      <w:r>
        <w:t>. It will not make clinical decisions</w:t>
      </w:r>
      <w:r w:rsidR="403CF3F2">
        <w:t>.</w:t>
      </w:r>
      <w:r>
        <w:t xml:space="preserve"> </w:t>
      </w:r>
      <w:r w:rsidR="403CF3F2">
        <w:t>I</w:t>
      </w:r>
      <w:r>
        <w:t>nstead, it enables greater clarity, consistency, and assurance for duty holders</w:t>
      </w:r>
      <w:r w:rsidR="005E748E">
        <w:t xml:space="preserve">, </w:t>
      </w:r>
      <w:r>
        <w:t xml:space="preserve">keeping OH professionals </w:t>
      </w:r>
      <w:proofErr w:type="gramStart"/>
      <w:r>
        <w:t>firmly</w:t>
      </w:r>
      <w:proofErr w:type="gramEnd"/>
      <w:r>
        <w:t xml:space="preserve"> in control</w:t>
      </w:r>
      <w:r w:rsidR="005E748E">
        <w:t xml:space="preserve"> and providing greater visibility for the regulator. </w:t>
      </w:r>
    </w:p>
    <w:p w14:paraId="770B7C9A" w14:textId="43E017F1" w:rsidR="00D1507D" w:rsidRDefault="004A7B4C">
      <w:r>
        <w:t xml:space="preserve">This initiative aligns strongly with HSE’s ambitions to improve national consistency, strengthen statutory compliance, and support employers of all sizes in implementing effective health </w:t>
      </w:r>
      <w:r w:rsidR="001A3711">
        <w:t>management</w:t>
      </w:r>
      <w:r>
        <w:t>.</w:t>
      </w:r>
    </w:p>
    <w:p w14:paraId="5DAB6C7B" w14:textId="77777777" w:rsidR="00D1507D" w:rsidRDefault="00D1507D">
      <w:pPr>
        <w:pBdr>
          <w:top w:val="single" w:sz="12" w:space="0" w:color="auto"/>
        </w:pBdr>
        <w:spacing w:after="0"/>
      </w:pPr>
    </w:p>
    <w:p w14:paraId="3482E029" w14:textId="77777777" w:rsidR="00D1507D" w:rsidRDefault="004A7B4C">
      <w:pPr>
        <w:pStyle w:val="Heading2"/>
      </w:pPr>
      <w:r>
        <w:rPr>
          <w:b/>
          <w:bCs/>
        </w:rPr>
        <w:t>2. The Challenge</w:t>
      </w:r>
    </w:p>
    <w:p w14:paraId="21CF4E35" w14:textId="17C5E7C5" w:rsidR="00D1507D" w:rsidRDefault="289F71D4">
      <w:r>
        <w:t xml:space="preserve">Widely </w:t>
      </w:r>
      <w:r w:rsidR="00C61B24">
        <w:t>recognized</w:t>
      </w:r>
      <w:r>
        <w:t xml:space="preserve"> </w:t>
      </w:r>
      <w:r w:rsidR="00C61B24">
        <w:t>s</w:t>
      </w:r>
      <w:r w:rsidR="14055678">
        <w:t>ystemic challenges across OH provision</w:t>
      </w:r>
      <w:r w:rsidR="5D460095">
        <w:t xml:space="preserve">, </w:t>
      </w:r>
      <w:r w:rsidR="14055678">
        <w:t>outlined in DWP’s</w:t>
      </w:r>
      <w:r w:rsidR="00C61B24">
        <w:t xml:space="preserve"> </w:t>
      </w:r>
      <w:hyperlink r:id="rId10" w:history="1">
        <w:r w:rsidR="00C61B24" w:rsidRPr="00C61B24">
          <w:rPr>
            <w:rStyle w:val="Hyperlink"/>
          </w:rPr>
          <w:t>Understanding Occupational Health Provision Review</w:t>
        </w:r>
      </w:hyperlink>
      <w:r w:rsidR="00C61B24">
        <w:t xml:space="preserve"> (</w:t>
      </w:r>
      <w:r w:rsidR="14055678">
        <w:t>202</w:t>
      </w:r>
      <w:r w:rsidR="00C61B24">
        <w:t>5</w:t>
      </w:r>
      <w:r w:rsidR="00C61B24">
        <w:rPr>
          <w:rStyle w:val="CommentReference"/>
        </w:rPr>
        <w:t xml:space="preserve">), </w:t>
      </w:r>
      <w:r w:rsidR="00C61B24">
        <w:t>continues</w:t>
      </w:r>
      <w:r w:rsidR="14055678">
        <w:t xml:space="preserve"> to obstruct effective, legally compliant health </w:t>
      </w:r>
      <w:r w:rsidR="2D2D8E52">
        <w:t>risk</w:t>
      </w:r>
      <w:r w:rsidR="1DCAFE2B">
        <w:t xml:space="preserve"> management:</w:t>
      </w:r>
    </w:p>
    <w:p w14:paraId="05DC9327" w14:textId="77777777" w:rsidR="00D1507D" w:rsidRDefault="004A7B4C">
      <w:pPr>
        <w:pStyle w:val="ListParagraph"/>
        <w:numPr>
          <w:ilvl w:val="0"/>
          <w:numId w:val="2"/>
        </w:numPr>
      </w:pPr>
      <w:r>
        <w:t>Providers operate in silos with limited ability to scale.</w:t>
      </w:r>
    </w:p>
    <w:p w14:paraId="14EFDBC4" w14:textId="0D10AB40" w:rsidR="008229CB" w:rsidRDefault="008229CB">
      <w:pPr>
        <w:pStyle w:val="ListParagraph"/>
        <w:numPr>
          <w:ilvl w:val="0"/>
          <w:numId w:val="2"/>
        </w:numPr>
      </w:pPr>
      <w:r>
        <w:t>A lack of consistency in service has been observed by the HSE</w:t>
      </w:r>
    </w:p>
    <w:p w14:paraId="6D987DCB" w14:textId="799CEE23" w:rsidR="00D1507D" w:rsidRDefault="004A7B4C">
      <w:pPr>
        <w:pStyle w:val="ListParagraph"/>
        <w:numPr>
          <w:ilvl w:val="0"/>
          <w:numId w:val="2"/>
        </w:numPr>
      </w:pPr>
      <w:r>
        <w:t>Demand for OH services outstrip capacity.</w:t>
      </w:r>
    </w:p>
    <w:p w14:paraId="08181FDA" w14:textId="6B31A6CF" w:rsidR="00281231" w:rsidRDefault="00281231" w:rsidP="00281231">
      <w:pPr>
        <w:pStyle w:val="ListParagraph"/>
      </w:pPr>
      <w:r>
        <w:t>Workforce shortages hinder consistent delivery.</w:t>
      </w:r>
    </w:p>
    <w:p w14:paraId="2811C18B" w14:textId="49B09DBB" w:rsidR="007946F9" w:rsidRDefault="2BF62C4E" w:rsidP="007946F9">
      <w:pPr>
        <w:pStyle w:val="ListParagraph"/>
        <w:numPr>
          <w:ilvl w:val="0"/>
          <w:numId w:val="2"/>
        </w:numPr>
      </w:pPr>
      <w:r>
        <w:lastRenderedPageBreak/>
        <w:t xml:space="preserve">Duty holders often lack clarity </w:t>
      </w:r>
      <w:r w:rsidR="00C61B24">
        <w:t>about</w:t>
      </w:r>
      <w:r>
        <w:t xml:space="preserve"> what is required to meet minimum regulatory compliance</w:t>
      </w:r>
      <w:r w:rsidR="6EC94255">
        <w:t>.</w:t>
      </w:r>
    </w:p>
    <w:p w14:paraId="11D59E02" w14:textId="77777777" w:rsidR="00D1507D" w:rsidRDefault="004A7B4C">
      <w:pPr>
        <w:pStyle w:val="ListParagraph"/>
        <w:numPr>
          <w:ilvl w:val="0"/>
          <w:numId w:val="2"/>
        </w:numPr>
      </w:pPr>
      <w:r>
        <w:t>Evidence‑based guidance is dispersed across multiple sources.</w:t>
      </w:r>
    </w:p>
    <w:p w14:paraId="05F9E5F0" w14:textId="77777777" w:rsidR="00D1507D" w:rsidRDefault="004A7B4C">
      <w:pPr>
        <w:pStyle w:val="ListParagraph"/>
        <w:numPr>
          <w:ilvl w:val="0"/>
          <w:numId w:val="2"/>
        </w:numPr>
      </w:pPr>
      <w:r>
        <w:t>Workflow quality varies widely, with few mechanisms for assurance.</w:t>
      </w:r>
    </w:p>
    <w:p w14:paraId="4CDD63D0" w14:textId="597C6583" w:rsidR="008A4E3F" w:rsidRDefault="008A4E3F">
      <w:pPr>
        <w:pStyle w:val="ListParagraph"/>
        <w:numPr>
          <w:ilvl w:val="0"/>
          <w:numId w:val="2"/>
        </w:numPr>
      </w:pPr>
      <w:r>
        <w:t>Outcomes</w:t>
      </w:r>
      <w:r w:rsidR="00D43AA0">
        <w:t xml:space="preserve"> for duty holders are seen as disjointed and difficult to act on</w:t>
      </w:r>
    </w:p>
    <w:p w14:paraId="36953B64" w14:textId="2B030EF7" w:rsidR="00D1507D" w:rsidRDefault="003372B6">
      <w:r w:rsidRPr="00C61B24">
        <w:t xml:space="preserve">Workflow standards </w:t>
      </w:r>
      <w:r w:rsidR="00BB6A1F" w:rsidRPr="00C61B24">
        <w:t>are</w:t>
      </w:r>
      <w:r w:rsidRPr="00C61B24">
        <w:t xml:space="preserve"> only as good as the information input</w:t>
      </w:r>
      <w:r>
        <w:t xml:space="preserve">, and generic models </w:t>
      </w:r>
      <w:r w:rsidR="00E672E0">
        <w:t xml:space="preserve">do not take into consideration </w:t>
      </w:r>
      <w:r w:rsidR="00DC6258">
        <w:t xml:space="preserve">how </w:t>
      </w:r>
      <w:r w:rsidR="009142BA">
        <w:t>an</w:t>
      </w:r>
      <w:r w:rsidR="00DC6258">
        <w:t xml:space="preserve"> individual</w:t>
      </w:r>
      <w:r w:rsidR="009142BA">
        <w:t>’s</w:t>
      </w:r>
      <w:r w:rsidR="00DC6258">
        <w:t xml:space="preserve"> risk </w:t>
      </w:r>
      <w:r w:rsidR="00105B98">
        <w:t>relate</w:t>
      </w:r>
      <w:r w:rsidR="008229CB">
        <w:t xml:space="preserve">s </w:t>
      </w:r>
      <w:r w:rsidR="00105B98">
        <w:t xml:space="preserve">to </w:t>
      </w:r>
      <w:r>
        <w:t>specific hazards.</w:t>
      </w:r>
    </w:p>
    <w:p w14:paraId="1D796507" w14:textId="16BFA1DE" w:rsidR="00D1507D" w:rsidRDefault="5AB4C9AB">
      <w:r>
        <w:t>There is a clear opportunity for national uplift through a structured, hazard‑specific, evidence‑based approach.</w:t>
      </w:r>
      <w:r w:rsidR="00C61B24">
        <w:t xml:space="preserve"> Which does not replace, professional judgement.</w:t>
      </w:r>
    </w:p>
    <w:p w14:paraId="02EB378F" w14:textId="77777777" w:rsidR="00D1507D" w:rsidRDefault="00D1507D">
      <w:pPr>
        <w:pBdr>
          <w:top w:val="single" w:sz="12" w:space="0" w:color="auto"/>
        </w:pBdr>
        <w:spacing w:after="0"/>
      </w:pPr>
    </w:p>
    <w:p w14:paraId="4D09DB68" w14:textId="77777777" w:rsidR="00D1507D" w:rsidRDefault="004A7B4C">
      <w:pPr>
        <w:pStyle w:val="Heading2"/>
      </w:pPr>
      <w:r>
        <w:rPr>
          <w:b/>
          <w:bCs/>
        </w:rPr>
        <w:t>3. Proposed Solution: The OH AI Agent</w:t>
      </w:r>
    </w:p>
    <w:p w14:paraId="659C7B3A" w14:textId="600A80EB" w:rsidR="00D1507D" w:rsidRDefault="005E748E">
      <w:r w:rsidRPr="005E748E">
        <w:t xml:space="preserve">The </w:t>
      </w:r>
      <w:r w:rsidRPr="005E748E">
        <w:t>proposed tool will support OH practitioners to build</w:t>
      </w:r>
      <w:r w:rsidRPr="005E748E">
        <w:rPr>
          <w:b/>
          <w:bCs/>
        </w:rPr>
        <w:t xml:space="preserve"> </w:t>
      </w:r>
      <w:r w:rsidR="5AB4C9AB">
        <w:t>defensible, high‑quality workflows aligned to regulatory expectations and tailored to each organisation’s risk profile.</w:t>
      </w:r>
    </w:p>
    <w:p w14:paraId="1FEE43D0" w14:textId="77777777" w:rsidR="00D1507D" w:rsidRDefault="004A7B4C">
      <w:pPr>
        <w:pStyle w:val="Heading3"/>
      </w:pPr>
      <w:r>
        <w:rPr>
          <w:b/>
          <w:bCs/>
        </w:rPr>
        <w:t>A. Hazard‑Specific, Risk‑Profiled Workflows</w:t>
      </w:r>
    </w:p>
    <w:p w14:paraId="0AAFB878" w14:textId="77777777" w:rsidR="00D1507D" w:rsidRDefault="004A7B4C">
      <w:r>
        <w:t>The Agent will generate workflows based on:</w:t>
      </w:r>
    </w:p>
    <w:p w14:paraId="463C1977" w14:textId="41C62E2F" w:rsidR="00D1507D" w:rsidRPr="00C61B24" w:rsidRDefault="004A7B4C" w:rsidP="00C61B24">
      <w:pPr>
        <w:pStyle w:val="ListParagraph"/>
        <w:numPr>
          <w:ilvl w:val="0"/>
          <w:numId w:val="15"/>
        </w:numPr>
        <w:spacing w:line="300" w:lineRule="atLeast"/>
        <w:rPr>
          <w:rFonts w:eastAsia="Times New Roman" w:cs="Segoe UI"/>
          <w:lang w:val="en-GB" w:eastAsia="en-GB"/>
        </w:rPr>
      </w:pPr>
      <w:r w:rsidRPr="0069046B">
        <w:t>Hazard</w:t>
      </w:r>
      <w:r w:rsidR="00C43618" w:rsidRPr="0069046B">
        <w:t>s</w:t>
      </w:r>
      <w:r w:rsidRPr="0069046B">
        <w:t xml:space="preserve"> </w:t>
      </w:r>
      <w:r w:rsidR="00C43618" w:rsidRPr="00C61B24">
        <w:rPr>
          <w:rFonts w:eastAsia="Times New Roman" w:cs="Segoe UI"/>
          <w:lang w:val="en-GB" w:eastAsia="en-GB"/>
        </w:rPr>
        <w:t>(</w:t>
      </w:r>
      <w:r w:rsidR="00C43618" w:rsidRPr="0069046B">
        <w:rPr>
          <w:rFonts w:eastAsia="Times New Roman" w:cs="Segoe UI"/>
          <w:lang w:val="en-GB" w:eastAsia="en-GB"/>
        </w:rPr>
        <w:t>captured using standardised hazard phrases, supplemented by additional logic to identify and manage risks not adequately covered by existing classifications</w:t>
      </w:r>
      <w:r w:rsidR="00C43618" w:rsidRPr="00C61B24">
        <w:rPr>
          <w:rFonts w:eastAsia="Times New Roman" w:cs="Segoe UI"/>
          <w:lang w:val="en-GB" w:eastAsia="en-GB"/>
        </w:rPr>
        <w:t>)</w:t>
      </w:r>
    </w:p>
    <w:p w14:paraId="354E00B8" w14:textId="77777777" w:rsidR="00D1507D" w:rsidRDefault="004A7B4C">
      <w:pPr>
        <w:pStyle w:val="ListParagraph"/>
        <w:numPr>
          <w:ilvl w:val="0"/>
          <w:numId w:val="3"/>
        </w:numPr>
      </w:pPr>
      <w:r>
        <w:t>Exposure level and frequency</w:t>
      </w:r>
    </w:p>
    <w:p w14:paraId="5D0BDC3D" w14:textId="77777777" w:rsidR="00D1507D" w:rsidRDefault="004A7B4C">
      <w:pPr>
        <w:pStyle w:val="ListParagraph"/>
        <w:numPr>
          <w:ilvl w:val="0"/>
          <w:numId w:val="3"/>
        </w:numPr>
      </w:pPr>
      <w:r>
        <w:t>Sector and tasks</w:t>
      </w:r>
    </w:p>
    <w:p w14:paraId="636285BF" w14:textId="77777777" w:rsidR="00D1507D" w:rsidRDefault="004A7B4C">
      <w:pPr>
        <w:pStyle w:val="ListParagraph"/>
        <w:numPr>
          <w:ilvl w:val="0"/>
          <w:numId w:val="3"/>
        </w:numPr>
      </w:pPr>
      <w:r>
        <w:t>Workforce characteristics</w:t>
      </w:r>
    </w:p>
    <w:p w14:paraId="46B3FE7D" w14:textId="77777777" w:rsidR="00D1507D" w:rsidRDefault="004A7B4C">
      <w:pPr>
        <w:pStyle w:val="ListParagraph"/>
        <w:numPr>
          <w:ilvl w:val="0"/>
          <w:numId w:val="3"/>
        </w:numPr>
      </w:pPr>
      <w:r>
        <w:t>Single vs multi‑site structure</w:t>
      </w:r>
    </w:p>
    <w:p w14:paraId="6B15A21F" w14:textId="77777777" w:rsidR="00D1507D" w:rsidRDefault="004A7B4C">
      <w:pPr>
        <w:pStyle w:val="ListParagraph"/>
        <w:numPr>
          <w:ilvl w:val="0"/>
          <w:numId w:val="3"/>
        </w:numPr>
      </w:pPr>
      <w:r>
        <w:t>OH delivery model (e.g., OHP-led, OHN-led, technician‑delivered)</w:t>
      </w:r>
    </w:p>
    <w:p w14:paraId="5C88797C" w14:textId="0E524CB2" w:rsidR="005E748E" w:rsidRDefault="005E748E">
      <w:pPr>
        <w:pStyle w:val="ListParagraph"/>
        <w:numPr>
          <w:ilvl w:val="0"/>
          <w:numId w:val="3"/>
        </w:numPr>
      </w:pPr>
      <w:r>
        <w:t>A</w:t>
      </w:r>
      <w:r w:rsidRPr="005E748E">
        <w:t>ccount</w:t>
      </w:r>
      <w:r>
        <w:t>ing for</w:t>
      </w:r>
      <w:r w:rsidRPr="005E748E">
        <w:t xml:space="preserve"> minimum legal requirements within </w:t>
      </w:r>
      <w:r>
        <w:t>UK</w:t>
      </w:r>
      <w:r w:rsidRPr="005E748E">
        <w:t xml:space="preserve"> law</w:t>
      </w:r>
    </w:p>
    <w:p w14:paraId="28CE950A" w14:textId="77777777" w:rsidR="00D1507D" w:rsidRDefault="004A7B4C">
      <w:r>
        <w:t xml:space="preserve">This ensures workflows meet </w:t>
      </w:r>
      <w:r w:rsidRPr="005E748E">
        <w:t>minimum regulatory standards</w:t>
      </w:r>
      <w:r>
        <w:t xml:space="preserve"> and avoids the pitfalls of generic screening models.</w:t>
      </w:r>
    </w:p>
    <w:p w14:paraId="7D67F839" w14:textId="197CE784" w:rsidR="00E7648B" w:rsidRDefault="00E7648B" w:rsidP="00E7648B">
      <w:pPr>
        <w:pStyle w:val="Heading3"/>
      </w:pPr>
      <w:r>
        <w:rPr>
          <w:b/>
          <w:bCs/>
        </w:rPr>
        <w:t>B. Assurance and Governance Features</w:t>
      </w:r>
    </w:p>
    <w:p w14:paraId="18AA9F8A" w14:textId="77777777" w:rsidR="00E7648B" w:rsidRPr="00B76880" w:rsidRDefault="00E7648B" w:rsidP="00E7648B">
      <w:r w:rsidRPr="00B76880">
        <w:t>In addition to workflows, the Agent can generate:</w:t>
      </w:r>
    </w:p>
    <w:p w14:paraId="64B73C49" w14:textId="77777777" w:rsidR="00E7648B" w:rsidRPr="00C61B24" w:rsidRDefault="00E7648B" w:rsidP="00E7648B">
      <w:pPr>
        <w:pStyle w:val="ListParagraph"/>
        <w:numPr>
          <w:ilvl w:val="0"/>
          <w:numId w:val="5"/>
        </w:numPr>
        <w:spacing w:after="0" w:line="300" w:lineRule="atLeast"/>
        <w:rPr>
          <w:rFonts w:eastAsia="Times New Roman" w:cs="Segoe UI"/>
          <w:lang w:val="en-GB" w:eastAsia="en-GB"/>
        </w:rPr>
      </w:pPr>
      <w:r w:rsidRPr="00C61B24">
        <w:rPr>
          <w:rFonts w:eastAsia="Times New Roman" w:cs="Segoe UI"/>
          <w:lang w:val="en-GB" w:eastAsia="en-GB"/>
        </w:rPr>
        <w:t>Benchmarking of an organisation’s current practice against defined regulatory minimum requirements</w:t>
      </w:r>
    </w:p>
    <w:p w14:paraId="64909D7A" w14:textId="06FB17F5" w:rsidR="00E7648B" w:rsidRPr="00C61B24" w:rsidRDefault="00E7648B" w:rsidP="00E7648B">
      <w:pPr>
        <w:pStyle w:val="ListParagraph"/>
        <w:numPr>
          <w:ilvl w:val="0"/>
          <w:numId w:val="5"/>
        </w:numPr>
        <w:spacing w:after="0" w:line="300" w:lineRule="atLeast"/>
        <w:rPr>
          <w:rFonts w:eastAsia="Times New Roman" w:cs="Segoe UI"/>
          <w:lang w:val="en-GB" w:eastAsia="en-GB"/>
        </w:rPr>
      </w:pPr>
      <w:r w:rsidRPr="00C61B24">
        <w:rPr>
          <w:rFonts w:eastAsia="Times New Roman" w:cs="Segoe UI"/>
          <w:lang w:val="en-GB" w:eastAsia="en-GB"/>
        </w:rPr>
        <w:t xml:space="preserve">Audit tools, </w:t>
      </w:r>
      <w:r w:rsidR="005E748E" w:rsidRPr="00C61B24">
        <w:rPr>
          <w:rFonts w:eastAsia="Times New Roman" w:cs="Segoe UI"/>
          <w:lang w:val="en-GB" w:eastAsia="en-GB"/>
        </w:rPr>
        <w:t>e.g.</w:t>
      </w:r>
      <w:r w:rsidR="005E748E">
        <w:rPr>
          <w:rFonts w:eastAsia="Times New Roman" w:cs="Segoe UI"/>
          <w:lang w:val="en-GB" w:eastAsia="en-GB"/>
        </w:rPr>
        <w:t>,</w:t>
      </w:r>
      <w:r w:rsidRPr="00C61B24">
        <w:rPr>
          <w:rFonts w:eastAsia="Times New Roman" w:cs="Segoe UI"/>
          <w:lang w:val="en-GB" w:eastAsia="en-GB"/>
        </w:rPr>
        <w:t xml:space="preserve"> structured gap analysis, to map an organisation’s current practice against the defined workflow</w:t>
      </w:r>
    </w:p>
    <w:p w14:paraId="66802EF6" w14:textId="77777777" w:rsidR="00884356" w:rsidRDefault="00E7648B" w:rsidP="00884356">
      <w:pPr>
        <w:pStyle w:val="ListParagraph"/>
        <w:numPr>
          <w:ilvl w:val="0"/>
          <w:numId w:val="5"/>
        </w:numPr>
      </w:pPr>
      <w:r w:rsidRPr="00B76880">
        <w:t>Training materials to support consistent implementation</w:t>
      </w:r>
    </w:p>
    <w:p w14:paraId="02F8FA7C" w14:textId="28B4FD3E" w:rsidR="00E7648B" w:rsidRDefault="00E7648B" w:rsidP="00995BE9">
      <w:pPr>
        <w:pStyle w:val="ListParagraph"/>
        <w:numPr>
          <w:ilvl w:val="0"/>
          <w:numId w:val="5"/>
        </w:numPr>
      </w:pPr>
      <w:r w:rsidRPr="00884356">
        <w:rPr>
          <w:rFonts w:eastAsia="Times New Roman" w:cs="Segoe UI"/>
          <w:lang w:val="en-GB" w:eastAsia="en-GB"/>
        </w:rPr>
        <w:lastRenderedPageBreak/>
        <w:t>Built</w:t>
      </w:r>
      <w:r w:rsidRPr="00884356">
        <w:rPr>
          <w:rFonts w:eastAsia="Times New Roman" w:cs="Segoe UI"/>
          <w:lang w:val="en-GB" w:eastAsia="en-GB"/>
        </w:rPr>
        <w:noBreakHyphen/>
        <w:t>in governance prompts</w:t>
      </w:r>
      <w:r w:rsidR="00884356" w:rsidRPr="00884356">
        <w:rPr>
          <w:rFonts w:eastAsia="Times New Roman" w:cs="Segoe UI"/>
          <w:lang w:val="en-GB" w:eastAsia="en-GB"/>
        </w:rPr>
        <w:t>,</w:t>
      </w:r>
      <w:r w:rsidRPr="00884356">
        <w:rPr>
          <w:rFonts w:eastAsia="Times New Roman" w:cs="Segoe UI"/>
          <w:lang w:val="en-GB" w:eastAsia="en-GB"/>
        </w:rPr>
        <w:t xml:space="preserve"> support safe delegation and appropriate supervision of activities (including by technicians and non</w:t>
      </w:r>
      <w:r w:rsidRPr="00884356">
        <w:rPr>
          <w:rFonts w:eastAsia="Times New Roman" w:cs="Segoe UI"/>
          <w:lang w:val="en-GB" w:eastAsia="en-GB"/>
        </w:rPr>
        <w:noBreakHyphen/>
        <w:t>qualified nurses), in line with regulatory requirements and aligned to FOM standards.</w:t>
      </w:r>
    </w:p>
    <w:p w14:paraId="7E1293A6" w14:textId="6AE68EFF" w:rsidR="00D1507D" w:rsidRDefault="00B76880">
      <w:pPr>
        <w:pStyle w:val="Heading3"/>
      </w:pPr>
      <w:r>
        <w:rPr>
          <w:b/>
          <w:bCs/>
        </w:rPr>
        <w:t>C</w:t>
      </w:r>
      <w:r w:rsidR="004A7B4C">
        <w:rPr>
          <w:b/>
          <w:bCs/>
        </w:rPr>
        <w:t>. Evidence‑Based Knowledge Domain</w:t>
      </w:r>
    </w:p>
    <w:p w14:paraId="565B142B" w14:textId="77777777" w:rsidR="00D1507D" w:rsidRDefault="004A7B4C">
      <w:r>
        <w:t>The AI Agent will exclusively use:</w:t>
      </w:r>
    </w:p>
    <w:p w14:paraId="38E23773" w14:textId="77777777" w:rsidR="00D1507D" w:rsidRDefault="004A7B4C">
      <w:pPr>
        <w:pStyle w:val="ListParagraph"/>
        <w:numPr>
          <w:ilvl w:val="0"/>
          <w:numId w:val="4"/>
        </w:numPr>
      </w:pPr>
      <w:r>
        <w:t xml:space="preserve">HSE guidance, </w:t>
      </w:r>
      <w:proofErr w:type="spellStart"/>
      <w:r>
        <w:t>ACoPs</w:t>
      </w:r>
      <w:proofErr w:type="spellEnd"/>
      <w:r>
        <w:t>, and regulatory frameworks</w:t>
      </w:r>
    </w:p>
    <w:p w14:paraId="2AF754EA" w14:textId="77777777" w:rsidR="00D1507D" w:rsidRDefault="004A7B4C">
      <w:pPr>
        <w:pStyle w:val="ListParagraph"/>
        <w:numPr>
          <w:ilvl w:val="0"/>
          <w:numId w:val="4"/>
        </w:numPr>
      </w:pPr>
      <w:r>
        <w:t>Peer‑reviewed and accredited scientific sources</w:t>
      </w:r>
    </w:p>
    <w:p w14:paraId="0929D43B" w14:textId="77777777" w:rsidR="00D1507D" w:rsidRDefault="004A7B4C">
      <w:pPr>
        <w:pStyle w:val="ListParagraph"/>
        <w:numPr>
          <w:ilvl w:val="0"/>
          <w:numId w:val="4"/>
        </w:numPr>
      </w:pPr>
      <w:r>
        <w:t>Structured literature reviews</w:t>
      </w:r>
    </w:p>
    <w:p w14:paraId="6C5F6BFD" w14:textId="3C687BED" w:rsidR="00D1507D" w:rsidRDefault="5AB4C9AB">
      <w:pPr>
        <w:pStyle w:val="ListParagraph"/>
        <w:numPr>
          <w:ilvl w:val="0"/>
          <w:numId w:val="4"/>
        </w:numPr>
      </w:pPr>
      <w:r>
        <w:t>Validated OH workflows from comparable risk environments</w:t>
      </w:r>
      <w:r w:rsidR="00884356">
        <w:t xml:space="preserve"> with expert consensus agreement</w:t>
      </w:r>
    </w:p>
    <w:p w14:paraId="2AFA2947" w14:textId="6714E811" w:rsidR="00F913C6" w:rsidRPr="009109CC" w:rsidRDefault="00884356" w:rsidP="00C61B24">
      <w:pPr>
        <w:spacing w:after="0" w:line="300" w:lineRule="atLeast"/>
        <w:rPr>
          <w:rFonts w:eastAsia="Times New Roman" w:cs="Segoe UI"/>
          <w:lang w:val="en-GB" w:eastAsia="en-GB"/>
        </w:rPr>
      </w:pPr>
      <w:r w:rsidRPr="00884356">
        <w:rPr>
          <w:rFonts w:eastAsia="Times New Roman" w:cs="Segoe UI"/>
          <w:lang w:val="en-GB" w:eastAsia="en-GB"/>
        </w:rPr>
        <w:t>Using controlled knowledge retrieval and structured workflow logic, including retrieval</w:t>
      </w:r>
      <w:r w:rsidRPr="00884356">
        <w:rPr>
          <w:rFonts w:ascii="Cambria Math" w:eastAsia="Times New Roman" w:hAnsi="Cambria Math" w:cs="Cambria Math"/>
          <w:lang w:val="en-GB" w:eastAsia="en-GB"/>
        </w:rPr>
        <w:t>‑</w:t>
      </w:r>
      <w:r w:rsidRPr="00884356">
        <w:rPr>
          <w:rFonts w:eastAsia="Times New Roman" w:cs="Segoe UI"/>
          <w:lang w:val="en-GB" w:eastAsia="en-GB"/>
        </w:rPr>
        <w:t>augmented generation and knowledge protocol engineering, the Agent will be designed to deliver outputs that remain</w:t>
      </w:r>
      <w:r>
        <w:rPr>
          <w:rFonts w:eastAsia="Times New Roman" w:cs="Segoe UI"/>
          <w:lang w:val="en-GB" w:eastAsia="en-GB"/>
        </w:rPr>
        <w:t xml:space="preserve"> </w:t>
      </w:r>
      <w:r w:rsidR="027B22EC" w:rsidRPr="008F89EE">
        <w:rPr>
          <w:rFonts w:eastAsia="Times New Roman" w:cs="Segoe UI"/>
          <w:lang w:val="en-GB" w:eastAsia="en-GB"/>
        </w:rPr>
        <w:t>current, robust, and aligned with evolving standards and the specific hazards and risk profiles of organisations</w:t>
      </w:r>
    </w:p>
    <w:p w14:paraId="0D7E4465" w14:textId="77777777" w:rsidR="00D1507D" w:rsidRDefault="5AB4C9AB" w:rsidP="008F89EE">
      <w:pPr>
        <w:pStyle w:val="Heading3"/>
        <w:rPr>
          <w:b/>
          <w:bCs/>
        </w:rPr>
      </w:pPr>
      <w:r w:rsidRPr="008F89EE">
        <w:rPr>
          <w:b/>
          <w:bCs/>
        </w:rPr>
        <w:t>D. What the AI Agent Will Not Do</w:t>
      </w:r>
    </w:p>
    <w:p w14:paraId="2C454E0A" w14:textId="77777777" w:rsidR="00D1507D" w:rsidRDefault="004A7B4C">
      <w:pPr>
        <w:pStyle w:val="ListParagraph"/>
        <w:numPr>
          <w:ilvl w:val="0"/>
          <w:numId w:val="6"/>
        </w:numPr>
      </w:pPr>
      <w:r>
        <w:t>No clinical decisions or diagnosis</w:t>
      </w:r>
    </w:p>
    <w:p w14:paraId="1CDA67BF" w14:textId="77777777" w:rsidR="00D1507D" w:rsidRDefault="004A7B4C">
      <w:pPr>
        <w:pStyle w:val="ListParagraph"/>
        <w:numPr>
          <w:ilvl w:val="0"/>
          <w:numId w:val="6"/>
        </w:numPr>
      </w:pPr>
      <w:r>
        <w:t>No personalised medical advice</w:t>
      </w:r>
    </w:p>
    <w:p w14:paraId="3198CAAC" w14:textId="77777777" w:rsidR="00D1507D" w:rsidRDefault="004A7B4C">
      <w:pPr>
        <w:pStyle w:val="ListParagraph"/>
        <w:numPr>
          <w:ilvl w:val="0"/>
          <w:numId w:val="6"/>
        </w:numPr>
      </w:pPr>
      <w:r>
        <w:t>No removal of professional judgement</w:t>
      </w:r>
    </w:p>
    <w:p w14:paraId="62910722" w14:textId="77777777" w:rsidR="00D1507D" w:rsidRDefault="004A7B4C">
      <w:pPr>
        <w:pStyle w:val="ListParagraph"/>
        <w:numPr>
          <w:ilvl w:val="0"/>
          <w:numId w:val="6"/>
        </w:numPr>
      </w:pPr>
      <w:r>
        <w:t>No transfer of accountability from duty holders</w:t>
      </w:r>
    </w:p>
    <w:p w14:paraId="3338D610" w14:textId="2FAAA9B5" w:rsidR="00884356" w:rsidRDefault="00884356">
      <w:pPr>
        <w:pStyle w:val="ListParagraph"/>
        <w:numPr>
          <w:ilvl w:val="0"/>
          <w:numId w:val="6"/>
        </w:numPr>
      </w:pPr>
      <w:r>
        <w:t>N</w:t>
      </w:r>
      <w:r w:rsidRPr="00884356">
        <w:t>ot replace risk assessment, exposure monitoring or hierarchy of controls</w:t>
      </w:r>
    </w:p>
    <w:p w14:paraId="3E5F8D00" w14:textId="77777777" w:rsidR="00D1507D" w:rsidRDefault="004A7B4C">
      <w:r>
        <w:t>This aligns with HSE’s expectations around clarity, scope, and compliance boundaries.</w:t>
      </w:r>
    </w:p>
    <w:p w14:paraId="6A05A809" w14:textId="77777777" w:rsidR="00D1507D" w:rsidRDefault="00D1507D">
      <w:pPr>
        <w:pBdr>
          <w:top w:val="single" w:sz="12" w:space="0" w:color="auto"/>
        </w:pBdr>
        <w:spacing w:after="0"/>
      </w:pPr>
    </w:p>
    <w:p w14:paraId="320494D7" w14:textId="77777777" w:rsidR="00D1507D" w:rsidRDefault="004A7B4C">
      <w:pPr>
        <w:pStyle w:val="Heading2"/>
      </w:pPr>
      <w:r>
        <w:rPr>
          <w:b/>
          <w:bCs/>
        </w:rPr>
        <w:t>4. Benefits to HSE and Duty Holders</w:t>
      </w:r>
    </w:p>
    <w:p w14:paraId="300BB9AF" w14:textId="77777777" w:rsidR="00D1507D" w:rsidRDefault="004A7B4C">
      <w:pPr>
        <w:pStyle w:val="Heading3"/>
      </w:pPr>
      <w:r>
        <w:rPr>
          <w:b/>
          <w:bCs/>
        </w:rPr>
        <w:t>A. For Duty Holders</w:t>
      </w:r>
    </w:p>
    <w:p w14:paraId="48D55912" w14:textId="21DBDF8C" w:rsidR="00884356" w:rsidRDefault="00884356">
      <w:pPr>
        <w:pStyle w:val="ListParagraph"/>
        <w:numPr>
          <w:ilvl w:val="0"/>
          <w:numId w:val="7"/>
        </w:numPr>
      </w:pPr>
      <w:r>
        <w:t>E</w:t>
      </w:r>
      <w:r w:rsidRPr="00884356">
        <w:t>ffective and consistent outcomes for duty holders</w:t>
      </w:r>
    </w:p>
    <w:p w14:paraId="582363C6" w14:textId="222A38E4" w:rsidR="00D1507D" w:rsidRDefault="5AB4C9AB">
      <w:pPr>
        <w:pStyle w:val="ListParagraph"/>
        <w:numPr>
          <w:ilvl w:val="0"/>
          <w:numId w:val="7"/>
        </w:numPr>
      </w:pPr>
      <w:r>
        <w:t xml:space="preserve">Practical </w:t>
      </w:r>
      <w:r w:rsidR="00884356">
        <w:t xml:space="preserve">guidance </w:t>
      </w:r>
      <w:r>
        <w:t>to meet statutory duties under COSHH and related regulations</w:t>
      </w:r>
    </w:p>
    <w:p w14:paraId="32D71019" w14:textId="70A82A4E" w:rsidR="00884356" w:rsidRDefault="00884356">
      <w:pPr>
        <w:pStyle w:val="ListParagraph"/>
        <w:numPr>
          <w:ilvl w:val="0"/>
          <w:numId w:val="7"/>
        </w:numPr>
      </w:pPr>
      <w:r w:rsidRPr="00884356">
        <w:t>Support increased confidence that health surveillance will align with basic minimum standards required.</w:t>
      </w:r>
    </w:p>
    <w:p w14:paraId="0EAEC506" w14:textId="64A6815B" w:rsidR="00884356" w:rsidRDefault="00884356">
      <w:pPr>
        <w:pStyle w:val="ListParagraph"/>
        <w:numPr>
          <w:ilvl w:val="0"/>
          <w:numId w:val="7"/>
        </w:numPr>
      </w:pPr>
      <w:r w:rsidRPr="00884356">
        <w:t>Greater consistency in health surveillance, with clearer assurance that workflows are robust, defensible, and aligned to regulatory expectations.</w:t>
      </w:r>
    </w:p>
    <w:p w14:paraId="07990A79" w14:textId="77777777" w:rsidR="00D1507D" w:rsidRDefault="004A7B4C">
      <w:pPr>
        <w:pStyle w:val="ListParagraph"/>
        <w:numPr>
          <w:ilvl w:val="0"/>
          <w:numId w:val="7"/>
        </w:numPr>
      </w:pPr>
      <w:r>
        <w:t>Clarity on terminology (e.g., distinction between statutory surveillance vs wellbeing checks)</w:t>
      </w:r>
    </w:p>
    <w:p w14:paraId="26996113" w14:textId="09319B67" w:rsidR="00884356" w:rsidRDefault="00884356">
      <w:pPr>
        <w:pStyle w:val="ListParagraph"/>
        <w:numPr>
          <w:ilvl w:val="0"/>
          <w:numId w:val="7"/>
        </w:numPr>
      </w:pPr>
      <w:r w:rsidRPr="00884356">
        <w:lastRenderedPageBreak/>
        <w:t>Clear, reliable health surveillance outcomes that duty holders can use with confidence to understand whether existing controls are working as intended and where changes may be needed.</w:t>
      </w:r>
    </w:p>
    <w:p w14:paraId="126B9829" w14:textId="5FD0B4ED" w:rsidR="00131AD3" w:rsidRDefault="00131AD3">
      <w:pPr>
        <w:pStyle w:val="ListParagraph"/>
        <w:numPr>
          <w:ilvl w:val="0"/>
          <w:numId w:val="7"/>
        </w:numPr>
      </w:pPr>
      <w:r>
        <w:t>Improved processes which lead to earlier identification of health concerns, reducing the risk to employees</w:t>
      </w:r>
    </w:p>
    <w:p w14:paraId="68CF8619" w14:textId="5B115E43" w:rsidR="00953D6E" w:rsidRDefault="77F6290C">
      <w:pPr>
        <w:pStyle w:val="ListParagraph"/>
        <w:numPr>
          <w:ilvl w:val="0"/>
          <w:numId w:val="7"/>
        </w:numPr>
      </w:pPr>
      <w:r>
        <w:t xml:space="preserve">Tiered access to Occupational Health with use of responsible </w:t>
      </w:r>
      <w:proofErr w:type="gramStart"/>
      <w:r>
        <w:t>persons</w:t>
      </w:r>
      <w:proofErr w:type="gramEnd"/>
      <w:r>
        <w:t xml:space="preserve"> </w:t>
      </w:r>
    </w:p>
    <w:p w14:paraId="2AAC5AE5" w14:textId="78F45E1A" w:rsidR="00D1507D" w:rsidRDefault="004A7B4C">
      <w:pPr>
        <w:pStyle w:val="Heading3"/>
      </w:pPr>
      <w:r>
        <w:rPr>
          <w:b/>
          <w:bCs/>
        </w:rPr>
        <w:t>B. For Providers of OH</w:t>
      </w:r>
    </w:p>
    <w:p w14:paraId="69AA733F" w14:textId="77777777" w:rsidR="00D1507D" w:rsidRDefault="004A7B4C">
      <w:pPr>
        <w:pStyle w:val="ListParagraph"/>
        <w:numPr>
          <w:ilvl w:val="0"/>
          <w:numId w:val="8"/>
        </w:numPr>
      </w:pPr>
      <w:r>
        <w:t>Significant time saved producing compliant workflows</w:t>
      </w:r>
    </w:p>
    <w:p w14:paraId="27704C2D" w14:textId="51759E6D" w:rsidR="00D1507D" w:rsidRDefault="004A7B4C">
      <w:pPr>
        <w:pStyle w:val="ListParagraph"/>
        <w:numPr>
          <w:ilvl w:val="0"/>
          <w:numId w:val="8"/>
        </w:numPr>
      </w:pPr>
      <w:r>
        <w:t xml:space="preserve">Reliable, hazard‑specific content </w:t>
      </w:r>
      <w:r w:rsidR="00EB7044">
        <w:t xml:space="preserve"> and outcomes </w:t>
      </w:r>
      <w:r>
        <w:t>aligned to regulatory minimums</w:t>
      </w:r>
    </w:p>
    <w:p w14:paraId="13547DC5" w14:textId="391987EE" w:rsidR="00131AD3" w:rsidRDefault="5AB4C9AB" w:rsidP="00131AD3">
      <w:pPr>
        <w:pStyle w:val="ListParagraph"/>
        <w:numPr>
          <w:ilvl w:val="0"/>
          <w:numId w:val="8"/>
        </w:numPr>
      </w:pPr>
      <w:r>
        <w:t>Greater assurance</w:t>
      </w:r>
      <w:r w:rsidR="00131AD3">
        <w:t>, consistency and reproducibility of outcomes</w:t>
      </w:r>
    </w:p>
    <w:p w14:paraId="4B4A8B44" w14:textId="28212AEB" w:rsidR="00FC283B" w:rsidRDefault="004A7B4C" w:rsidP="004A7B4C">
      <w:pPr>
        <w:pStyle w:val="ListParagraph"/>
        <w:numPr>
          <w:ilvl w:val="0"/>
          <w:numId w:val="8"/>
        </w:numPr>
      </w:pPr>
      <w:r>
        <w:t>Stronger confidence in consistency across clinical teams</w:t>
      </w:r>
    </w:p>
    <w:p w14:paraId="575D440A" w14:textId="4AE52B45" w:rsidR="004A7B4C" w:rsidRDefault="004A7B4C" w:rsidP="004A7B4C">
      <w:pPr>
        <w:pStyle w:val="ListParagraph"/>
        <w:numPr>
          <w:ilvl w:val="0"/>
          <w:numId w:val="8"/>
        </w:numPr>
      </w:pPr>
      <w:r>
        <w:t>Improved training standards</w:t>
      </w:r>
    </w:p>
    <w:p w14:paraId="6D6DE84E" w14:textId="77777777" w:rsidR="00D1507D" w:rsidRDefault="004A7B4C">
      <w:pPr>
        <w:pStyle w:val="Heading3"/>
      </w:pPr>
      <w:r>
        <w:rPr>
          <w:b/>
          <w:bCs/>
        </w:rPr>
        <w:t>C. For HSE</w:t>
      </w:r>
    </w:p>
    <w:p w14:paraId="60CEEC25" w14:textId="78E19FC3" w:rsidR="00C613EF" w:rsidRPr="00A90651" w:rsidRDefault="6003B959" w:rsidP="00A90651">
      <w:pPr>
        <w:pStyle w:val="ListParagraph"/>
        <w:numPr>
          <w:ilvl w:val="0"/>
          <w:numId w:val="9"/>
        </w:numPr>
        <w:spacing w:after="0" w:line="300" w:lineRule="atLeast"/>
        <w:rPr>
          <w:rFonts w:eastAsia="Times New Roman" w:cs="Segoe UI"/>
          <w:lang w:val="en-GB" w:eastAsia="en-GB"/>
        </w:rPr>
      </w:pPr>
      <w:r w:rsidRPr="00C61B24">
        <w:rPr>
          <w:rFonts w:eastAsia="Times New Roman" w:cs="Segoe UI"/>
          <w:lang w:val="en-GB" w:eastAsia="en-GB"/>
        </w:rPr>
        <w:t xml:space="preserve">The opportunity to shape the AI </w:t>
      </w:r>
      <w:r w:rsidR="10DBA982" w:rsidRPr="008F89EE">
        <w:rPr>
          <w:rFonts w:eastAsia="Times New Roman" w:cs="Segoe UI"/>
          <w:lang w:val="en-GB" w:eastAsia="en-GB"/>
        </w:rPr>
        <w:t>Agent</w:t>
      </w:r>
      <w:r w:rsidRPr="00C61B24">
        <w:rPr>
          <w:rFonts w:eastAsia="Times New Roman" w:cs="Segoe UI"/>
          <w:lang w:val="en-GB" w:eastAsia="en-GB"/>
        </w:rPr>
        <w:t xml:space="preserve"> by defining the minimum compliance standard for workflows and contributing directly to the </w:t>
      </w:r>
      <w:r w:rsidR="00A90651">
        <w:rPr>
          <w:rFonts w:eastAsia="Times New Roman" w:cs="Segoe UI"/>
          <w:lang w:val="en-GB" w:eastAsia="en-GB"/>
        </w:rPr>
        <w:t xml:space="preserve">change through </w:t>
      </w:r>
      <w:r w:rsidR="00A90651" w:rsidRPr="00A90651">
        <w:rPr>
          <w:rFonts w:eastAsia="Times New Roman" w:cs="Segoe UI"/>
          <w:lang w:val="en-GB" w:eastAsia="en-GB"/>
        </w:rPr>
        <w:t>knowledge retrieval and structured workflow log</w:t>
      </w:r>
      <w:r w:rsidR="00A90651" w:rsidRPr="00A90651">
        <w:rPr>
          <w:rFonts w:eastAsia="Times New Roman" w:cs="Segoe UI"/>
          <w:lang w:val="en-GB" w:eastAsia="en-GB"/>
        </w:rPr>
        <w:t xml:space="preserve">ic </w:t>
      </w:r>
    </w:p>
    <w:p w14:paraId="6E057389" w14:textId="2D8AC797" w:rsidR="00EF31E8" w:rsidRPr="00C61B24" w:rsidRDefault="00EF31E8" w:rsidP="00EF31E8">
      <w:pPr>
        <w:pStyle w:val="ListParagraph"/>
        <w:numPr>
          <w:ilvl w:val="0"/>
          <w:numId w:val="9"/>
        </w:numPr>
        <w:rPr>
          <w:rFonts w:eastAsia="Times New Roman" w:cs="Segoe UI"/>
          <w:lang w:val="en-GB" w:eastAsia="en-GB"/>
        </w:rPr>
      </w:pPr>
      <w:r>
        <w:t>A scalable, evidence</w:t>
      </w:r>
      <w:r>
        <w:rPr>
          <w:rFonts w:ascii="Cambria Math" w:hAnsi="Cambria Math" w:cs="Cambria Math"/>
        </w:rPr>
        <w:t>‑</w:t>
      </w:r>
      <w:r>
        <w:t>based tool available to providers of all sizes</w:t>
      </w:r>
      <w:r w:rsidR="00A90651">
        <w:t xml:space="preserve"> and therefore all duty holders</w:t>
      </w:r>
    </w:p>
    <w:p w14:paraId="72AC8F09" w14:textId="78A804D9" w:rsidR="00D1507D" w:rsidRDefault="004A7B4C">
      <w:pPr>
        <w:pStyle w:val="ListParagraph"/>
        <w:numPr>
          <w:ilvl w:val="0"/>
          <w:numId w:val="9"/>
        </w:numPr>
      </w:pPr>
      <w:r>
        <w:t>Increased national consistency in OH delivery</w:t>
      </w:r>
    </w:p>
    <w:p w14:paraId="42D2B4A9" w14:textId="3260F2B2" w:rsidR="00D1507D" w:rsidRDefault="004A7B4C">
      <w:pPr>
        <w:pStyle w:val="ListParagraph"/>
        <w:numPr>
          <w:ilvl w:val="0"/>
          <w:numId w:val="9"/>
        </w:numPr>
      </w:pPr>
      <w:r>
        <w:t>Clearer and more reliable implementation of statutory health surveillance</w:t>
      </w:r>
      <w:r w:rsidR="00A90651">
        <w:t>/health monitoring</w:t>
      </w:r>
    </w:p>
    <w:p w14:paraId="1AEDD4C9" w14:textId="38FB12DD" w:rsidR="003D4606" w:rsidRDefault="003D4606">
      <w:pPr>
        <w:pStyle w:val="ListParagraph"/>
        <w:numPr>
          <w:ilvl w:val="0"/>
          <w:numId w:val="9"/>
        </w:numPr>
      </w:pPr>
      <w:r>
        <w:t xml:space="preserve">Improved </w:t>
      </w:r>
      <w:r w:rsidR="00A90651">
        <w:t>compliance o</w:t>
      </w:r>
      <w:r w:rsidR="00576306">
        <w:t>utcomes driving control measures</w:t>
      </w:r>
    </w:p>
    <w:p w14:paraId="4420F97B" w14:textId="1EC85BB1" w:rsidR="00D1507D" w:rsidRDefault="00A90651">
      <w:pPr>
        <w:pStyle w:val="ListParagraph"/>
        <w:numPr>
          <w:ilvl w:val="0"/>
          <w:numId w:val="9"/>
        </w:numPr>
      </w:pPr>
      <w:r>
        <w:t>Providing</w:t>
      </w:r>
      <w:r w:rsidR="004A7B4C">
        <w:t xml:space="preserve"> inspectors </w:t>
      </w:r>
      <w:r>
        <w:t>with improved visibility</w:t>
      </w:r>
    </w:p>
    <w:p w14:paraId="5A39BBE3" w14:textId="0B8335C9" w:rsidR="00D1507D" w:rsidRDefault="00D1507D">
      <w:pPr>
        <w:pBdr>
          <w:top w:val="single" w:sz="12" w:space="0" w:color="auto"/>
        </w:pBdr>
        <w:spacing w:after="0"/>
      </w:pPr>
    </w:p>
    <w:p w14:paraId="77514C53" w14:textId="77777777" w:rsidR="00D1507D" w:rsidRDefault="004A7B4C">
      <w:pPr>
        <w:pStyle w:val="Heading2"/>
      </w:pPr>
      <w:r>
        <w:rPr>
          <w:b/>
          <w:bCs/>
        </w:rPr>
        <w:t>5. Partnership Request to HSE</w:t>
      </w:r>
    </w:p>
    <w:p w14:paraId="3DD8C78A" w14:textId="77777777" w:rsidR="00D1507D" w:rsidRDefault="004A7B4C">
      <w:r>
        <w:t>We request HSE’s support in the following areas:</w:t>
      </w:r>
    </w:p>
    <w:p w14:paraId="130E1020" w14:textId="77777777" w:rsidR="00D1507D" w:rsidRDefault="004A7B4C">
      <w:pPr>
        <w:pStyle w:val="ListParagraph"/>
        <w:numPr>
          <w:ilvl w:val="0"/>
          <w:numId w:val="10"/>
        </w:numPr>
      </w:pPr>
      <w:r>
        <w:rPr>
          <w:b/>
          <w:bCs/>
        </w:rPr>
        <w:t>Endorsement or sponsorship</w:t>
      </w:r>
      <w:r>
        <w:t xml:space="preserve"> to strengthen credibility and signal national leadership.</w:t>
      </w:r>
    </w:p>
    <w:p w14:paraId="7A8CD1A2" w14:textId="43B32421" w:rsidR="00D1507D" w:rsidRDefault="004A7B4C">
      <w:pPr>
        <w:pStyle w:val="ListParagraph"/>
        <w:numPr>
          <w:ilvl w:val="0"/>
          <w:numId w:val="10"/>
        </w:numPr>
      </w:pPr>
      <w:r>
        <w:rPr>
          <w:b/>
          <w:bCs/>
        </w:rPr>
        <w:t>Guidance on hazard prioritisation</w:t>
      </w:r>
      <w:r>
        <w:t xml:space="preserve"> for early pilots (e.g., </w:t>
      </w:r>
      <w:r w:rsidR="00CB6BFB">
        <w:t xml:space="preserve">wet work </w:t>
      </w:r>
      <w:r>
        <w:t>—high‑volume, high‑risk, and poorly standardised).</w:t>
      </w:r>
    </w:p>
    <w:p w14:paraId="09292EC7" w14:textId="2B89067C" w:rsidR="00D1507D" w:rsidRDefault="004A7B4C">
      <w:pPr>
        <w:pStyle w:val="ListParagraph"/>
        <w:numPr>
          <w:ilvl w:val="0"/>
          <w:numId w:val="10"/>
        </w:numPr>
      </w:pPr>
      <w:r>
        <w:rPr>
          <w:b/>
          <w:bCs/>
        </w:rPr>
        <w:t>Definition of workflow expectations</w:t>
      </w:r>
      <w:r>
        <w:t xml:space="preserve">: structure, mandatory content, </w:t>
      </w:r>
      <w:r w:rsidR="004C18AD">
        <w:t xml:space="preserve">minimum compliance standards, </w:t>
      </w:r>
      <w:r>
        <w:t>evidence base.</w:t>
      </w:r>
    </w:p>
    <w:p w14:paraId="1ECF284F" w14:textId="729CA96E" w:rsidR="00D1507D" w:rsidRDefault="5AB4C9AB">
      <w:pPr>
        <w:pStyle w:val="ListParagraph"/>
        <w:numPr>
          <w:ilvl w:val="0"/>
          <w:numId w:val="10"/>
        </w:numPr>
      </w:pPr>
      <w:r w:rsidRPr="008F89EE">
        <w:rPr>
          <w:b/>
          <w:bCs/>
        </w:rPr>
        <w:t>Assistance in identifying authoritative sources</w:t>
      </w:r>
      <w:r>
        <w:t xml:space="preserve"> for the Agent’s </w:t>
      </w:r>
      <w:r w:rsidR="10DBA982">
        <w:t xml:space="preserve"> </w:t>
      </w:r>
      <w:r w:rsidR="00A90651" w:rsidRPr="00A90651">
        <w:t>controlled knowledge retrieval and structured workflow logic</w:t>
      </w:r>
      <w:r>
        <w:t>.</w:t>
      </w:r>
    </w:p>
    <w:p w14:paraId="2FE7A06A" w14:textId="77777777" w:rsidR="00D1507D" w:rsidRDefault="004A7B4C">
      <w:pPr>
        <w:pStyle w:val="ListParagraph"/>
        <w:numPr>
          <w:ilvl w:val="0"/>
          <w:numId w:val="10"/>
        </w:numPr>
      </w:pPr>
      <w:r>
        <w:rPr>
          <w:b/>
          <w:bCs/>
        </w:rPr>
        <w:t>Participation in testing and validation</w:t>
      </w:r>
      <w:r>
        <w:t>, ensuring regulatory alignment.</w:t>
      </w:r>
    </w:p>
    <w:p w14:paraId="476CB083" w14:textId="77777777" w:rsidR="00D1507D" w:rsidRDefault="004A7B4C">
      <w:pPr>
        <w:pStyle w:val="ListParagraph"/>
        <w:numPr>
          <w:ilvl w:val="0"/>
          <w:numId w:val="10"/>
        </w:numPr>
      </w:pPr>
      <w:r>
        <w:rPr>
          <w:b/>
          <w:bCs/>
        </w:rPr>
        <w:lastRenderedPageBreak/>
        <w:t>Signposting to innovation and funding routes</w:t>
      </w:r>
      <w:r>
        <w:t xml:space="preserve"> to enable build, pilot, and scale‑up.</w:t>
      </w:r>
    </w:p>
    <w:p w14:paraId="18A0D948" w14:textId="77777777" w:rsidR="00D1507D" w:rsidRDefault="004A7B4C">
      <w:r>
        <w:t>This partnership would ensure the tool delivers high‑impact benefits while remaining aligned with HSE’s regulatory and scientific expectations.</w:t>
      </w:r>
    </w:p>
    <w:p w14:paraId="41C8F396" w14:textId="77777777" w:rsidR="00D1507D" w:rsidRDefault="00D1507D">
      <w:pPr>
        <w:pBdr>
          <w:top w:val="single" w:sz="12" w:space="0" w:color="auto"/>
        </w:pBdr>
        <w:spacing w:after="0"/>
      </w:pPr>
    </w:p>
    <w:p w14:paraId="1B00E26D" w14:textId="77777777" w:rsidR="00D1507D" w:rsidRDefault="004A7B4C">
      <w:pPr>
        <w:pStyle w:val="Heading2"/>
      </w:pPr>
      <w:r>
        <w:rPr>
          <w:b/>
          <w:bCs/>
        </w:rPr>
        <w:t>6. Proposed Roadmap</w:t>
      </w:r>
    </w:p>
    <w:p w14:paraId="4B366673" w14:textId="77777777" w:rsidR="00D1507D" w:rsidRDefault="004A7B4C">
      <w:r>
        <w:rPr>
          <w:b/>
          <w:bCs/>
        </w:rPr>
        <w:t>Phase 1 — Prototype (0–3 months)</w:t>
      </w:r>
    </w:p>
    <w:p w14:paraId="147119F2" w14:textId="28447C9A" w:rsidR="00995BE9" w:rsidRDefault="00995BE9">
      <w:pPr>
        <w:pStyle w:val="ListParagraph"/>
        <w:numPr>
          <w:ilvl w:val="0"/>
          <w:numId w:val="11"/>
        </w:numPr>
      </w:pPr>
      <w:r w:rsidRPr="00995BE9">
        <w:t>Early user engagement with occupational health providers and duty holders to understand practical needs, areas of uncertainty, and usability considerations, informing the scope and design of the prototype while maintaining alignment with published regulatory standards.</w:t>
      </w:r>
    </w:p>
    <w:p w14:paraId="1FF972B7" w14:textId="7F1CD28C" w:rsidR="00D1507D" w:rsidRDefault="5AB4C9AB">
      <w:pPr>
        <w:pStyle w:val="ListParagraph"/>
        <w:numPr>
          <w:ilvl w:val="0"/>
          <w:numId w:val="11"/>
        </w:numPr>
      </w:pPr>
      <w:r>
        <w:t xml:space="preserve">Build hazard‑specific risk‑profiling logic (starting with </w:t>
      </w:r>
      <w:r w:rsidR="1C397C67">
        <w:t>wet work</w:t>
      </w:r>
      <w:r>
        <w:t>).</w:t>
      </w:r>
    </w:p>
    <w:p w14:paraId="5E9C51F4" w14:textId="14BC425C" w:rsidR="00576306" w:rsidRDefault="00576306">
      <w:pPr>
        <w:pStyle w:val="ListParagraph"/>
        <w:numPr>
          <w:ilvl w:val="0"/>
          <w:numId w:val="11"/>
        </w:numPr>
      </w:pPr>
      <w:r>
        <w:t xml:space="preserve">Design </w:t>
      </w:r>
      <w:r w:rsidR="00E612C2">
        <w:t>project plan with HSE input</w:t>
      </w:r>
    </w:p>
    <w:p w14:paraId="47B67C5F" w14:textId="77777777" w:rsidR="00D1507D" w:rsidRDefault="004A7B4C">
      <w:pPr>
        <w:pStyle w:val="ListParagraph"/>
        <w:numPr>
          <w:ilvl w:val="0"/>
          <w:numId w:val="11"/>
        </w:numPr>
      </w:pPr>
      <w:r>
        <w:t>Define workflow structure with HSE input.</w:t>
      </w:r>
    </w:p>
    <w:p w14:paraId="3D916C0F" w14:textId="6E194C35" w:rsidR="00D1507D" w:rsidRDefault="5AB4C9AB">
      <w:pPr>
        <w:pStyle w:val="ListParagraph"/>
        <w:numPr>
          <w:ilvl w:val="0"/>
          <w:numId w:val="11"/>
        </w:numPr>
      </w:pPr>
      <w:r>
        <w:t xml:space="preserve">Construct initial evidence‑based </w:t>
      </w:r>
      <w:r w:rsidR="00995BE9" w:rsidRPr="00995BE9">
        <w:t>using controlled knowledge retrieval and structured workflow logic</w:t>
      </w:r>
    </w:p>
    <w:p w14:paraId="21E076DD" w14:textId="77777777" w:rsidR="00D1507D" w:rsidRDefault="004A7B4C">
      <w:r>
        <w:rPr>
          <w:b/>
          <w:bCs/>
        </w:rPr>
        <w:t>Phase 2 — Pilot (3–9 months)</w:t>
      </w:r>
    </w:p>
    <w:p w14:paraId="4121956B" w14:textId="71C26218" w:rsidR="00D1507D" w:rsidRDefault="004A7B4C">
      <w:pPr>
        <w:pStyle w:val="ListParagraph"/>
        <w:numPr>
          <w:ilvl w:val="0"/>
          <w:numId w:val="12"/>
        </w:numPr>
      </w:pPr>
      <w:r>
        <w:t>Pilot in selected sectors (e.g., NHS, manufacturing)</w:t>
      </w:r>
      <w:r w:rsidR="00E612C2">
        <w:t xml:space="preserve"> with one specific hazard</w:t>
      </w:r>
    </w:p>
    <w:p w14:paraId="52D7D6D7" w14:textId="77777777" w:rsidR="00D1507D" w:rsidRDefault="004A7B4C">
      <w:pPr>
        <w:pStyle w:val="ListParagraph"/>
        <w:numPr>
          <w:ilvl w:val="0"/>
          <w:numId w:val="12"/>
        </w:numPr>
      </w:pPr>
      <w:r>
        <w:t>Validate outputs with OH practitioners and HSE subject‑matter experts.</w:t>
      </w:r>
    </w:p>
    <w:p w14:paraId="1444F6E6" w14:textId="77777777" w:rsidR="00D1507D" w:rsidRDefault="004A7B4C">
      <w:pPr>
        <w:pStyle w:val="ListParagraph"/>
        <w:numPr>
          <w:ilvl w:val="0"/>
          <w:numId w:val="12"/>
        </w:numPr>
      </w:pPr>
      <w:r>
        <w:t>Test audit and benchmarking tools.</w:t>
      </w:r>
    </w:p>
    <w:p w14:paraId="48DB00D1" w14:textId="77777777" w:rsidR="00D1507D" w:rsidRDefault="004A7B4C">
      <w:r>
        <w:rPr>
          <w:b/>
          <w:bCs/>
        </w:rPr>
        <w:t>Phase 3 — National Scale‑Up (9–18 months)</w:t>
      </w:r>
    </w:p>
    <w:p w14:paraId="6711B7B9" w14:textId="77777777" w:rsidR="00D1507D" w:rsidRDefault="004A7B4C">
      <w:pPr>
        <w:pStyle w:val="ListParagraph"/>
        <w:numPr>
          <w:ilvl w:val="0"/>
          <w:numId w:val="13"/>
        </w:numPr>
      </w:pPr>
      <w:r>
        <w:t>Expand to additional hazards (respirable silica, sensitisers).</w:t>
      </w:r>
    </w:p>
    <w:p w14:paraId="5377C649" w14:textId="32154655" w:rsidR="00D1507D" w:rsidRDefault="5AB4C9AB">
      <w:pPr>
        <w:pStyle w:val="ListParagraph"/>
        <w:numPr>
          <w:ilvl w:val="0"/>
          <w:numId w:val="13"/>
        </w:numPr>
      </w:pPr>
      <w:r>
        <w:t xml:space="preserve">Publish </w:t>
      </w:r>
      <w:r w:rsidR="00995BE9" w:rsidRPr="00995BE9">
        <w:t>digital tool</w:t>
      </w:r>
      <w:r w:rsidR="00995BE9">
        <w:t xml:space="preserve"> </w:t>
      </w:r>
      <w:r>
        <w:t>version with guidance and training materials.</w:t>
      </w:r>
    </w:p>
    <w:p w14:paraId="35E3E57D" w14:textId="77777777" w:rsidR="00D1507D" w:rsidRDefault="004A7B4C">
      <w:pPr>
        <w:pStyle w:val="ListParagraph"/>
        <w:numPr>
          <w:ilvl w:val="0"/>
          <w:numId w:val="13"/>
        </w:numPr>
      </w:pPr>
      <w:r>
        <w:t>Embed model governance and monitoring to prevent drift.</w:t>
      </w:r>
    </w:p>
    <w:p w14:paraId="72A3D3EC" w14:textId="77777777" w:rsidR="00D1507D" w:rsidRDefault="00D1507D">
      <w:pPr>
        <w:pBdr>
          <w:top w:val="single" w:sz="12" w:space="0" w:color="auto"/>
        </w:pBdr>
        <w:spacing w:after="0"/>
      </w:pPr>
    </w:p>
    <w:p w14:paraId="16A1F5A8" w14:textId="77777777" w:rsidR="00D1507D" w:rsidRDefault="004A7B4C">
      <w:pPr>
        <w:pStyle w:val="Heading2"/>
      </w:pPr>
      <w:r>
        <w:rPr>
          <w:b/>
          <w:bCs/>
        </w:rPr>
        <w:t>7. Conclusion</w:t>
      </w:r>
    </w:p>
    <w:p w14:paraId="56FD8CAC" w14:textId="77777777" w:rsidR="00D1507D" w:rsidRDefault="004A7B4C">
      <w:r>
        <w:t>This proposal presents a timely and practical opportunity to elevate the national baseline of occupational health practice. By co‑developing an open‑access AI Agent with HSE, we can deliver:</w:t>
      </w:r>
    </w:p>
    <w:p w14:paraId="2C02D4FA" w14:textId="77777777" w:rsidR="00D1507D" w:rsidRDefault="004A7B4C">
      <w:pPr>
        <w:pStyle w:val="ListParagraph"/>
        <w:numPr>
          <w:ilvl w:val="0"/>
          <w:numId w:val="14"/>
        </w:numPr>
      </w:pPr>
      <w:r>
        <w:t>Safer, more consistent OH practice</w:t>
      </w:r>
    </w:p>
    <w:p w14:paraId="002A1B13" w14:textId="77777777" w:rsidR="00D1507D" w:rsidRDefault="004A7B4C">
      <w:pPr>
        <w:pStyle w:val="ListParagraph"/>
        <w:numPr>
          <w:ilvl w:val="0"/>
          <w:numId w:val="14"/>
        </w:numPr>
      </w:pPr>
      <w:r>
        <w:t>Stronger statutory compliance</w:t>
      </w:r>
    </w:p>
    <w:p w14:paraId="23B18869" w14:textId="77777777" w:rsidR="00D1507D" w:rsidRDefault="004A7B4C">
      <w:pPr>
        <w:pStyle w:val="ListParagraph"/>
        <w:numPr>
          <w:ilvl w:val="0"/>
          <w:numId w:val="14"/>
        </w:numPr>
      </w:pPr>
      <w:r>
        <w:t>Better use of limited specialist resource</w:t>
      </w:r>
    </w:p>
    <w:p w14:paraId="6D1B4F7A" w14:textId="77777777" w:rsidR="00D1507D" w:rsidRDefault="004A7B4C">
      <w:pPr>
        <w:pStyle w:val="ListParagraph"/>
        <w:numPr>
          <w:ilvl w:val="0"/>
          <w:numId w:val="14"/>
        </w:numPr>
      </w:pPr>
      <w:r>
        <w:t>Improved support for duty holders and small providers</w:t>
      </w:r>
    </w:p>
    <w:p w14:paraId="75410220" w14:textId="77777777" w:rsidR="00D1507D" w:rsidRDefault="004A7B4C">
      <w:pPr>
        <w:pStyle w:val="ListParagraph"/>
        <w:numPr>
          <w:ilvl w:val="0"/>
          <w:numId w:val="14"/>
        </w:numPr>
      </w:pPr>
      <w:r>
        <w:lastRenderedPageBreak/>
        <w:t>A credible, evidence‑based model aligned to HSE’s regulatory mission</w:t>
      </w:r>
    </w:p>
    <w:p w14:paraId="4B31BB0E" w14:textId="4263EF04" w:rsidR="00EC77B2" w:rsidRDefault="004A7B4C">
      <w:r>
        <w:t>With HSE’s partnership, this initiative can deliver meaningful, measurable improvements to the protection of worker health across the UK.</w:t>
      </w:r>
    </w:p>
    <w:p w14:paraId="437E6F9F" w14:textId="0ED54ED6" w:rsidR="007E09D6" w:rsidRPr="00C61B24" w:rsidRDefault="186F2D06" w:rsidP="00EC77B2">
      <w:pPr>
        <w:spacing w:after="0" w:line="300" w:lineRule="atLeast"/>
        <w:rPr>
          <w:rFonts w:eastAsia="Times New Roman" w:cs="Segoe UI"/>
          <w:lang w:val="en-GB" w:eastAsia="en-GB"/>
        </w:rPr>
      </w:pPr>
      <w:r w:rsidRPr="00C61B24">
        <w:rPr>
          <w:rFonts w:eastAsia="Times New Roman" w:cs="Segoe UI"/>
          <w:lang w:val="en-GB" w:eastAsia="en-GB"/>
        </w:rPr>
        <w:t>This proposal offers a practical opportunity to raise the baseline of occupational health</w:t>
      </w:r>
      <w:r w:rsidR="32752E28" w:rsidRPr="00C61B24">
        <w:rPr>
          <w:rFonts w:eastAsia="Times New Roman" w:cs="Segoe UI"/>
          <w:lang w:val="en-GB" w:eastAsia="en-GB"/>
        </w:rPr>
        <w:t xml:space="preserve"> across the UK,</w:t>
      </w:r>
      <w:r w:rsidRPr="00C61B24">
        <w:rPr>
          <w:rFonts w:eastAsia="Times New Roman" w:cs="Segoe UI"/>
          <w:lang w:val="en-GB" w:eastAsia="en-GB"/>
        </w:rPr>
        <w:t xml:space="preserve"> in a way that reflects real</w:t>
      </w:r>
      <w:r w:rsidR="00995BE9">
        <w:rPr>
          <w:rFonts w:eastAsia="Times New Roman" w:cs="Segoe UI"/>
          <w:lang w:val="en-GB" w:eastAsia="en-GB"/>
        </w:rPr>
        <w:t xml:space="preserve"> </w:t>
      </w:r>
      <w:r w:rsidRPr="00C61B24">
        <w:rPr>
          <w:rFonts w:eastAsia="Times New Roman" w:cs="Segoe UI"/>
          <w:lang w:val="en-GB" w:eastAsia="en-GB"/>
        </w:rPr>
        <w:t xml:space="preserve">world delivery. </w:t>
      </w:r>
    </w:p>
    <w:p w14:paraId="47A32305" w14:textId="77777777" w:rsidR="007E09D6" w:rsidRPr="00C61B24" w:rsidRDefault="007E09D6" w:rsidP="00EC77B2">
      <w:pPr>
        <w:spacing w:after="0" w:line="300" w:lineRule="atLeast"/>
        <w:rPr>
          <w:rFonts w:eastAsia="Times New Roman" w:cs="Segoe UI"/>
          <w:lang w:val="en-GB" w:eastAsia="en-GB"/>
        </w:rPr>
      </w:pPr>
    </w:p>
    <w:p w14:paraId="522ADED4" w14:textId="77777777" w:rsidR="003031A3" w:rsidRPr="00C61B24" w:rsidRDefault="00EC77B2" w:rsidP="00EC77B2">
      <w:pPr>
        <w:spacing w:after="0" w:line="300" w:lineRule="atLeast"/>
        <w:rPr>
          <w:rFonts w:eastAsia="Times New Roman" w:cs="Segoe UI"/>
          <w:lang w:val="en-GB" w:eastAsia="en-GB"/>
        </w:rPr>
      </w:pPr>
      <w:r w:rsidRPr="00C61B24">
        <w:rPr>
          <w:rFonts w:eastAsia="Times New Roman" w:cs="Segoe UI"/>
          <w:lang w:val="en-GB" w:eastAsia="en-GB"/>
        </w:rPr>
        <w:t>By co</w:t>
      </w:r>
      <w:r w:rsidRPr="00C61B24">
        <w:rPr>
          <w:rFonts w:eastAsia="Times New Roman" w:cs="Segoe UI"/>
          <w:lang w:val="en-GB" w:eastAsia="en-GB"/>
        </w:rPr>
        <w:noBreakHyphen/>
        <w:t>developing an open</w:t>
      </w:r>
      <w:r w:rsidRPr="00C61B24">
        <w:rPr>
          <w:rFonts w:eastAsia="Times New Roman" w:cs="Segoe UI"/>
          <w:lang w:val="en-GB" w:eastAsia="en-GB"/>
        </w:rPr>
        <w:noBreakHyphen/>
        <w:t xml:space="preserve">access AI Agent with HSE, we can support safer and more consistent OH practice, strengthen statutory compliance, and make better use of limited </w:t>
      </w:r>
      <w:r w:rsidR="003031A3" w:rsidRPr="00C61B24">
        <w:rPr>
          <w:rFonts w:eastAsia="Times New Roman" w:cs="Segoe UI"/>
          <w:lang w:val="en-GB" w:eastAsia="en-GB"/>
        </w:rPr>
        <w:t xml:space="preserve">OH </w:t>
      </w:r>
      <w:r w:rsidRPr="00C61B24">
        <w:rPr>
          <w:rFonts w:eastAsia="Times New Roman" w:cs="Segoe UI"/>
          <w:lang w:val="en-GB" w:eastAsia="en-GB"/>
        </w:rPr>
        <w:t xml:space="preserve">specialist expertise—particularly for duty holders and smaller providers. </w:t>
      </w:r>
    </w:p>
    <w:p w14:paraId="0735023D" w14:textId="77777777" w:rsidR="003031A3" w:rsidRPr="00C61B24" w:rsidRDefault="003031A3" w:rsidP="00EC77B2">
      <w:pPr>
        <w:spacing w:after="0" w:line="300" w:lineRule="atLeast"/>
        <w:rPr>
          <w:rFonts w:eastAsia="Times New Roman" w:cs="Segoe UI"/>
          <w:lang w:val="en-GB" w:eastAsia="en-GB"/>
        </w:rPr>
      </w:pPr>
    </w:p>
    <w:p w14:paraId="0F393A76" w14:textId="185EC840" w:rsidR="00EC77B2" w:rsidRPr="00C61B24" w:rsidRDefault="00EC77B2" w:rsidP="00EC77B2">
      <w:pPr>
        <w:spacing w:after="0" w:line="300" w:lineRule="atLeast"/>
        <w:rPr>
          <w:rFonts w:eastAsia="Times New Roman" w:cs="Segoe UI"/>
          <w:lang w:val="en-GB" w:eastAsia="en-GB"/>
        </w:rPr>
      </w:pPr>
      <w:r w:rsidRPr="00C61B24">
        <w:rPr>
          <w:rFonts w:eastAsia="Times New Roman" w:cs="Segoe UI"/>
          <w:lang w:val="en-GB" w:eastAsia="en-GB"/>
        </w:rPr>
        <w:t>With HSE’s partnership, this work can deliver meaningful, measurable improvements in the protection of worker health across the UK, firmly aligned with HSE’s regulatory mission.</w:t>
      </w:r>
    </w:p>
    <w:p w14:paraId="3E23FBD7" w14:textId="77777777" w:rsidR="00EC77B2" w:rsidRDefault="00EC77B2">
      <w:pPr>
        <w:pBdr>
          <w:bottom w:val="single" w:sz="12" w:space="1" w:color="auto"/>
        </w:pBdr>
      </w:pPr>
    </w:p>
    <w:p w14:paraId="3A8E811F" w14:textId="07FC4E9E" w:rsidR="00995BE9" w:rsidRDefault="00995BE9">
      <w:r>
        <w:t xml:space="preserve">AI in OH collaboration group (A subsidiary group of iOH): </w:t>
      </w:r>
    </w:p>
    <w:p w14:paraId="43A651A2" w14:textId="6BD08BC2" w:rsidR="00995BE9" w:rsidRPr="003031A3" w:rsidRDefault="00995BE9">
      <w:r>
        <w:t>Strategic Transformation Proposal, Clinical Sub-Group</w:t>
      </w:r>
    </w:p>
    <w:p w14:paraId="733AC756" w14:textId="6DBFD3B0" w:rsidR="00587A6A" w:rsidRPr="00995BE9" w:rsidRDefault="00995BE9" w:rsidP="00995BE9">
      <w:pPr>
        <w:spacing w:after="0"/>
        <w:rPr>
          <w:rFonts w:ascii="Aptos Display" w:hAnsi="Aptos Display"/>
          <w:color w:val="156082" w:themeColor="accent1"/>
        </w:rPr>
      </w:pPr>
      <w:r w:rsidRPr="00995BE9">
        <w:rPr>
          <w:rFonts w:ascii="Aptos Display" w:hAnsi="Aptos Display"/>
          <w:color w:val="156082" w:themeColor="accent1"/>
        </w:rPr>
        <w:t>Molly Healey</w:t>
      </w:r>
      <w:r>
        <w:rPr>
          <w:rFonts w:ascii="Aptos Display" w:hAnsi="Aptos Display"/>
          <w:color w:val="156082" w:themeColor="accent1"/>
        </w:rPr>
        <w:t xml:space="preserve"> - </w:t>
      </w:r>
      <w:r w:rsidRPr="00995BE9">
        <w:rPr>
          <w:rFonts w:ascii="Aptos Display" w:hAnsi="Aptos Display"/>
          <w:color w:val="156082" w:themeColor="accent1"/>
        </w:rPr>
        <w:t>maureen.p.healey@gsk.com</w:t>
      </w:r>
    </w:p>
    <w:p w14:paraId="37A19A15" w14:textId="47776D99" w:rsidR="00995BE9" w:rsidRPr="00995BE9" w:rsidRDefault="00995BE9" w:rsidP="00995BE9">
      <w:pPr>
        <w:spacing w:after="0"/>
        <w:rPr>
          <w:rFonts w:ascii="Aptos Display" w:hAnsi="Aptos Display"/>
          <w:color w:val="156082" w:themeColor="accent1"/>
        </w:rPr>
      </w:pPr>
      <w:r w:rsidRPr="00995BE9">
        <w:rPr>
          <w:rFonts w:ascii="Aptos Display" w:hAnsi="Aptos Display"/>
          <w:color w:val="156082" w:themeColor="accent1"/>
        </w:rPr>
        <w:t>Clare Brown</w:t>
      </w:r>
      <w:r>
        <w:rPr>
          <w:rFonts w:ascii="Aptos Display" w:hAnsi="Aptos Display"/>
          <w:color w:val="156082" w:themeColor="accent1"/>
        </w:rPr>
        <w:t xml:space="preserve"> - </w:t>
      </w:r>
      <w:r w:rsidRPr="00995BE9">
        <w:rPr>
          <w:rFonts w:ascii="Aptos Display" w:hAnsi="Aptos Display"/>
          <w:color w:val="156082" w:themeColor="accent1"/>
        </w:rPr>
        <w:t>clare.brown35@nhs.net</w:t>
      </w:r>
    </w:p>
    <w:p w14:paraId="1140472D" w14:textId="66419227" w:rsidR="00995BE9" w:rsidRPr="00995BE9" w:rsidRDefault="00995BE9" w:rsidP="00995BE9">
      <w:pPr>
        <w:spacing w:after="0"/>
      </w:pPr>
      <w:r w:rsidRPr="00995BE9">
        <w:rPr>
          <w:rFonts w:ascii="Aptos Display" w:hAnsi="Aptos Display"/>
          <w:color w:val="156082" w:themeColor="accent1"/>
        </w:rPr>
        <w:t>Janet O’Neill</w:t>
      </w:r>
      <w:r>
        <w:rPr>
          <w:rFonts w:ascii="Aptos Display" w:hAnsi="Aptos Display"/>
          <w:color w:val="156082" w:themeColor="accent1"/>
        </w:rPr>
        <w:t xml:space="preserve"> – janet.oneill6@nhs.net</w:t>
      </w:r>
    </w:p>
    <w:sectPr w:rsidR="00995BE9" w:rsidRPr="00995BE9">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AD565" w14:textId="77777777" w:rsidR="00E262ED" w:rsidRDefault="00E262ED" w:rsidP="00E262ED">
      <w:pPr>
        <w:spacing w:after="0" w:line="240" w:lineRule="auto"/>
      </w:pPr>
      <w:r>
        <w:separator/>
      </w:r>
    </w:p>
  </w:endnote>
  <w:endnote w:type="continuationSeparator" w:id="0">
    <w:p w14:paraId="62CFF890" w14:textId="77777777" w:rsidR="00E262ED" w:rsidRDefault="00E262ED" w:rsidP="00E26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8BD79" w14:textId="3AD81183" w:rsidR="00E262ED" w:rsidRPr="00E262ED" w:rsidRDefault="00E262ED">
    <w:pPr>
      <w:pStyle w:val="Footer"/>
      <w:rPr>
        <w:sz w:val="20"/>
        <w:szCs w:val="20"/>
      </w:rPr>
    </w:pPr>
    <w:r w:rsidRPr="00E262ED">
      <w:rPr>
        <w:sz w:val="20"/>
        <w:szCs w:val="20"/>
      </w:rPr>
      <w:t xml:space="preserve">April 2026 (AI in OH collaboration group, a subsidiary group of iOH and supported by </w:t>
    </w:r>
    <w:r>
      <w:rPr>
        <w:sz w:val="20"/>
        <w:szCs w:val="20"/>
      </w:rPr>
      <w:t xml:space="preserve">the </w:t>
    </w:r>
    <w:r w:rsidRPr="00E262ED">
      <w:rPr>
        <w:sz w:val="20"/>
        <w:szCs w:val="20"/>
      </w:rPr>
      <w:t xml:space="preserve">NSOH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0A4BB" w14:textId="77777777" w:rsidR="00E262ED" w:rsidRDefault="00E262ED" w:rsidP="00E262ED">
      <w:pPr>
        <w:spacing w:after="0" w:line="240" w:lineRule="auto"/>
      </w:pPr>
      <w:r>
        <w:separator/>
      </w:r>
    </w:p>
  </w:footnote>
  <w:footnote w:type="continuationSeparator" w:id="0">
    <w:p w14:paraId="50F1162C" w14:textId="77777777" w:rsidR="00E262ED" w:rsidRDefault="00E262ED" w:rsidP="00E262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C871A" w14:textId="70E08FF1" w:rsidR="00E262ED" w:rsidRDefault="00E262ED">
    <w:pPr>
      <w:pStyle w:val="Header"/>
    </w:pPr>
    <w:r>
      <w:rPr>
        <w:noProof/>
      </w:rPr>
      <w:drawing>
        <wp:anchor distT="0" distB="0" distL="114300" distR="114300" simplePos="0" relativeHeight="251658240" behindDoc="1" locked="0" layoutInCell="1" allowOverlap="1" wp14:anchorId="71FEFB3F" wp14:editId="7989A9A4">
          <wp:simplePos x="0" y="0"/>
          <wp:positionH relativeFrom="column">
            <wp:posOffset>-419100</wp:posOffset>
          </wp:positionH>
          <wp:positionV relativeFrom="paragraph">
            <wp:posOffset>-182880</wp:posOffset>
          </wp:positionV>
          <wp:extent cx="678180" cy="650310"/>
          <wp:effectExtent l="0" t="0" r="7620" b="0"/>
          <wp:wrapTight wrapText="bothSides">
            <wp:wrapPolygon edited="0">
              <wp:start x="0" y="0"/>
              <wp:lineTo x="0" y="20883"/>
              <wp:lineTo x="21236" y="20883"/>
              <wp:lineTo x="21236" y="0"/>
              <wp:lineTo x="0" y="0"/>
            </wp:wrapPolygon>
          </wp:wrapTight>
          <wp:docPr id="39248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88265" name="Picture 392488265"/>
                  <pic:cNvPicPr/>
                </pic:nvPicPr>
                <pic:blipFill>
                  <a:blip r:embed="rId1">
                    <a:extLst>
                      <a:ext uri="{28A0092B-C50C-407E-A947-70E740481C1C}">
                        <a14:useLocalDpi xmlns:a14="http://schemas.microsoft.com/office/drawing/2010/main" val="0"/>
                      </a:ext>
                    </a:extLst>
                  </a:blip>
                  <a:stretch>
                    <a:fillRect/>
                  </a:stretch>
                </pic:blipFill>
                <pic:spPr>
                  <a:xfrm>
                    <a:off x="0" y="0"/>
                    <a:ext cx="678180" cy="650310"/>
                  </a:xfrm>
                  <a:prstGeom prst="rect">
                    <a:avLst/>
                  </a:prstGeom>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hN6B5b8f/AaH/i" int2:id="lAixJ6D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32F"/>
    <w:multiLevelType w:val="hybridMultilevel"/>
    <w:tmpl w:val="5CB4CFD4"/>
    <w:lvl w:ilvl="0" w:tplc="812E2222">
      <w:start w:val="1"/>
      <w:numFmt w:val="bullet"/>
      <w:lvlText w:val=""/>
      <w:lvlJc w:val="left"/>
      <w:pPr>
        <w:ind w:left="720" w:hanging="360"/>
      </w:pPr>
      <w:rPr>
        <w:rFonts w:ascii="Symbol" w:eastAsia="Symbol" w:hAnsi="Symbol" w:cs="Symbol"/>
      </w:rPr>
    </w:lvl>
    <w:lvl w:ilvl="1" w:tplc="E242AE80">
      <w:start w:val="1"/>
      <w:numFmt w:val="bullet"/>
      <w:lvlText w:val="o"/>
      <w:lvlJc w:val="left"/>
      <w:pPr>
        <w:ind w:left="1440" w:hanging="360"/>
      </w:pPr>
      <w:rPr>
        <w:rFonts w:ascii="Courier New" w:eastAsia="Courier New" w:hAnsi="Courier New" w:cs="Courier New"/>
      </w:rPr>
    </w:lvl>
    <w:lvl w:ilvl="2" w:tplc="DB62EC50">
      <w:start w:val="1"/>
      <w:numFmt w:val="bullet"/>
      <w:lvlText w:val=""/>
      <w:lvlJc w:val="left"/>
      <w:pPr>
        <w:ind w:left="2160" w:hanging="360"/>
      </w:pPr>
      <w:rPr>
        <w:rFonts w:ascii="Wingdings" w:eastAsia="Wingdings" w:hAnsi="Wingdings" w:cs="Wingdings"/>
      </w:rPr>
    </w:lvl>
    <w:lvl w:ilvl="3" w:tplc="4CAE03AE">
      <w:start w:val="1"/>
      <w:numFmt w:val="bullet"/>
      <w:lvlText w:val=""/>
      <w:lvlJc w:val="left"/>
      <w:pPr>
        <w:ind w:left="2880" w:hanging="360"/>
      </w:pPr>
      <w:rPr>
        <w:rFonts w:ascii="Symbol" w:eastAsia="Symbol" w:hAnsi="Symbol" w:cs="Symbol"/>
      </w:rPr>
    </w:lvl>
    <w:lvl w:ilvl="4" w:tplc="9B14C558">
      <w:start w:val="1"/>
      <w:numFmt w:val="bullet"/>
      <w:lvlText w:val="o"/>
      <w:lvlJc w:val="left"/>
      <w:pPr>
        <w:ind w:left="3600" w:hanging="360"/>
      </w:pPr>
      <w:rPr>
        <w:rFonts w:ascii="Courier New" w:eastAsia="Courier New" w:hAnsi="Courier New" w:cs="Courier New"/>
      </w:rPr>
    </w:lvl>
    <w:lvl w:ilvl="5" w:tplc="5DD2A0AE">
      <w:start w:val="1"/>
      <w:numFmt w:val="bullet"/>
      <w:lvlText w:val=""/>
      <w:lvlJc w:val="left"/>
      <w:pPr>
        <w:ind w:left="4320" w:hanging="360"/>
      </w:pPr>
      <w:rPr>
        <w:rFonts w:ascii="Wingdings" w:eastAsia="Wingdings" w:hAnsi="Wingdings" w:cs="Wingdings"/>
      </w:rPr>
    </w:lvl>
    <w:lvl w:ilvl="6" w:tplc="ADDC6B90">
      <w:start w:val="1"/>
      <w:numFmt w:val="bullet"/>
      <w:lvlText w:val=""/>
      <w:lvlJc w:val="left"/>
      <w:pPr>
        <w:ind w:left="5040" w:hanging="360"/>
      </w:pPr>
      <w:rPr>
        <w:rFonts w:ascii="Symbol" w:eastAsia="Symbol" w:hAnsi="Symbol" w:cs="Symbol"/>
      </w:rPr>
    </w:lvl>
    <w:lvl w:ilvl="7" w:tplc="E0827DDA">
      <w:start w:val="1"/>
      <w:numFmt w:val="bullet"/>
      <w:lvlText w:val="o"/>
      <w:lvlJc w:val="left"/>
      <w:pPr>
        <w:ind w:left="5760" w:hanging="360"/>
      </w:pPr>
      <w:rPr>
        <w:rFonts w:ascii="Courier New" w:eastAsia="Courier New" w:hAnsi="Courier New" w:cs="Courier New"/>
      </w:rPr>
    </w:lvl>
    <w:lvl w:ilvl="8" w:tplc="B9BA9214">
      <w:start w:val="1"/>
      <w:numFmt w:val="bullet"/>
      <w:lvlText w:val=""/>
      <w:lvlJc w:val="left"/>
      <w:pPr>
        <w:ind w:left="6480" w:hanging="360"/>
      </w:pPr>
      <w:rPr>
        <w:rFonts w:ascii="Wingdings" w:eastAsia="Wingdings" w:hAnsi="Wingdings" w:cs="Wingdings"/>
      </w:rPr>
    </w:lvl>
  </w:abstractNum>
  <w:abstractNum w:abstractNumId="1" w15:restartNumberingAfterBreak="0">
    <w:nsid w:val="103DB82E"/>
    <w:multiLevelType w:val="hybridMultilevel"/>
    <w:tmpl w:val="960244BA"/>
    <w:lvl w:ilvl="0" w:tplc="136A48C4">
      <w:start w:val="1"/>
      <w:numFmt w:val="bullet"/>
      <w:lvlText w:val=""/>
      <w:lvlJc w:val="left"/>
      <w:pPr>
        <w:ind w:left="720" w:hanging="360"/>
      </w:pPr>
      <w:rPr>
        <w:rFonts w:ascii="Symbol" w:eastAsia="Symbol" w:hAnsi="Symbol" w:cs="Symbol"/>
      </w:rPr>
    </w:lvl>
    <w:lvl w:ilvl="1" w:tplc="0DA61914">
      <w:start w:val="1"/>
      <w:numFmt w:val="bullet"/>
      <w:lvlText w:val="o"/>
      <w:lvlJc w:val="left"/>
      <w:pPr>
        <w:ind w:left="1440" w:hanging="360"/>
      </w:pPr>
      <w:rPr>
        <w:rFonts w:ascii="Courier New" w:eastAsia="Courier New" w:hAnsi="Courier New" w:cs="Courier New"/>
      </w:rPr>
    </w:lvl>
    <w:lvl w:ilvl="2" w:tplc="62E44B80">
      <w:start w:val="1"/>
      <w:numFmt w:val="bullet"/>
      <w:lvlText w:val=""/>
      <w:lvlJc w:val="left"/>
      <w:pPr>
        <w:ind w:left="2160" w:hanging="360"/>
      </w:pPr>
      <w:rPr>
        <w:rFonts w:ascii="Wingdings" w:eastAsia="Wingdings" w:hAnsi="Wingdings" w:cs="Wingdings"/>
      </w:rPr>
    </w:lvl>
    <w:lvl w:ilvl="3" w:tplc="FBE6414A">
      <w:start w:val="1"/>
      <w:numFmt w:val="bullet"/>
      <w:lvlText w:val=""/>
      <w:lvlJc w:val="left"/>
      <w:pPr>
        <w:ind w:left="2880" w:hanging="360"/>
      </w:pPr>
      <w:rPr>
        <w:rFonts w:ascii="Symbol" w:eastAsia="Symbol" w:hAnsi="Symbol" w:cs="Symbol"/>
      </w:rPr>
    </w:lvl>
    <w:lvl w:ilvl="4" w:tplc="42343152">
      <w:start w:val="1"/>
      <w:numFmt w:val="bullet"/>
      <w:lvlText w:val="o"/>
      <w:lvlJc w:val="left"/>
      <w:pPr>
        <w:ind w:left="3600" w:hanging="360"/>
      </w:pPr>
      <w:rPr>
        <w:rFonts w:ascii="Courier New" w:eastAsia="Courier New" w:hAnsi="Courier New" w:cs="Courier New"/>
      </w:rPr>
    </w:lvl>
    <w:lvl w:ilvl="5" w:tplc="95E2AA24">
      <w:start w:val="1"/>
      <w:numFmt w:val="bullet"/>
      <w:lvlText w:val=""/>
      <w:lvlJc w:val="left"/>
      <w:pPr>
        <w:ind w:left="4320" w:hanging="360"/>
      </w:pPr>
      <w:rPr>
        <w:rFonts w:ascii="Wingdings" w:eastAsia="Wingdings" w:hAnsi="Wingdings" w:cs="Wingdings"/>
      </w:rPr>
    </w:lvl>
    <w:lvl w:ilvl="6" w:tplc="BDAE6E84">
      <w:start w:val="1"/>
      <w:numFmt w:val="bullet"/>
      <w:lvlText w:val=""/>
      <w:lvlJc w:val="left"/>
      <w:pPr>
        <w:ind w:left="5040" w:hanging="360"/>
      </w:pPr>
      <w:rPr>
        <w:rFonts w:ascii="Symbol" w:eastAsia="Symbol" w:hAnsi="Symbol" w:cs="Symbol"/>
      </w:rPr>
    </w:lvl>
    <w:lvl w:ilvl="7" w:tplc="59ACA44E">
      <w:start w:val="1"/>
      <w:numFmt w:val="bullet"/>
      <w:lvlText w:val="o"/>
      <w:lvlJc w:val="left"/>
      <w:pPr>
        <w:ind w:left="5760" w:hanging="360"/>
      </w:pPr>
      <w:rPr>
        <w:rFonts w:ascii="Courier New" w:eastAsia="Courier New" w:hAnsi="Courier New" w:cs="Courier New"/>
      </w:rPr>
    </w:lvl>
    <w:lvl w:ilvl="8" w:tplc="EC0AEC00">
      <w:start w:val="1"/>
      <w:numFmt w:val="bullet"/>
      <w:lvlText w:val=""/>
      <w:lvlJc w:val="left"/>
      <w:pPr>
        <w:ind w:left="6480" w:hanging="360"/>
      </w:pPr>
      <w:rPr>
        <w:rFonts w:ascii="Wingdings" w:eastAsia="Wingdings" w:hAnsi="Wingdings" w:cs="Wingdings"/>
      </w:rPr>
    </w:lvl>
  </w:abstractNum>
  <w:abstractNum w:abstractNumId="2" w15:restartNumberingAfterBreak="0">
    <w:nsid w:val="11A92B4B"/>
    <w:multiLevelType w:val="hybridMultilevel"/>
    <w:tmpl w:val="4E988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2ACC62"/>
    <w:multiLevelType w:val="hybridMultilevel"/>
    <w:tmpl w:val="78BAD2A6"/>
    <w:lvl w:ilvl="0" w:tplc="C97AEC02">
      <w:start w:val="1"/>
      <w:numFmt w:val="bullet"/>
      <w:lvlText w:val=""/>
      <w:lvlJc w:val="left"/>
      <w:pPr>
        <w:ind w:left="720" w:hanging="360"/>
      </w:pPr>
      <w:rPr>
        <w:rFonts w:ascii="Symbol" w:eastAsia="Symbol" w:hAnsi="Symbol" w:cs="Symbol"/>
      </w:rPr>
    </w:lvl>
    <w:lvl w:ilvl="1" w:tplc="9CBA3C82">
      <w:start w:val="1"/>
      <w:numFmt w:val="bullet"/>
      <w:lvlText w:val="o"/>
      <w:lvlJc w:val="left"/>
      <w:pPr>
        <w:ind w:left="1440" w:hanging="360"/>
      </w:pPr>
      <w:rPr>
        <w:rFonts w:ascii="Courier New" w:eastAsia="Courier New" w:hAnsi="Courier New" w:cs="Courier New"/>
      </w:rPr>
    </w:lvl>
    <w:lvl w:ilvl="2" w:tplc="B5E6BC96">
      <w:start w:val="1"/>
      <w:numFmt w:val="bullet"/>
      <w:lvlText w:val=""/>
      <w:lvlJc w:val="left"/>
      <w:pPr>
        <w:ind w:left="2160" w:hanging="360"/>
      </w:pPr>
      <w:rPr>
        <w:rFonts w:ascii="Wingdings" w:eastAsia="Wingdings" w:hAnsi="Wingdings" w:cs="Wingdings"/>
      </w:rPr>
    </w:lvl>
    <w:lvl w:ilvl="3" w:tplc="4D58BE6C">
      <w:start w:val="1"/>
      <w:numFmt w:val="bullet"/>
      <w:lvlText w:val=""/>
      <w:lvlJc w:val="left"/>
      <w:pPr>
        <w:ind w:left="2880" w:hanging="360"/>
      </w:pPr>
      <w:rPr>
        <w:rFonts w:ascii="Symbol" w:eastAsia="Symbol" w:hAnsi="Symbol" w:cs="Symbol"/>
      </w:rPr>
    </w:lvl>
    <w:lvl w:ilvl="4" w:tplc="DAF8F820">
      <w:start w:val="1"/>
      <w:numFmt w:val="bullet"/>
      <w:lvlText w:val="o"/>
      <w:lvlJc w:val="left"/>
      <w:pPr>
        <w:ind w:left="3600" w:hanging="360"/>
      </w:pPr>
      <w:rPr>
        <w:rFonts w:ascii="Courier New" w:eastAsia="Courier New" w:hAnsi="Courier New" w:cs="Courier New"/>
      </w:rPr>
    </w:lvl>
    <w:lvl w:ilvl="5" w:tplc="759C7688">
      <w:start w:val="1"/>
      <w:numFmt w:val="bullet"/>
      <w:lvlText w:val=""/>
      <w:lvlJc w:val="left"/>
      <w:pPr>
        <w:ind w:left="4320" w:hanging="360"/>
      </w:pPr>
      <w:rPr>
        <w:rFonts w:ascii="Wingdings" w:eastAsia="Wingdings" w:hAnsi="Wingdings" w:cs="Wingdings"/>
      </w:rPr>
    </w:lvl>
    <w:lvl w:ilvl="6" w:tplc="D946FD3C">
      <w:start w:val="1"/>
      <w:numFmt w:val="bullet"/>
      <w:lvlText w:val=""/>
      <w:lvlJc w:val="left"/>
      <w:pPr>
        <w:ind w:left="5040" w:hanging="360"/>
      </w:pPr>
      <w:rPr>
        <w:rFonts w:ascii="Symbol" w:eastAsia="Symbol" w:hAnsi="Symbol" w:cs="Symbol"/>
      </w:rPr>
    </w:lvl>
    <w:lvl w:ilvl="7" w:tplc="887A21E2">
      <w:start w:val="1"/>
      <w:numFmt w:val="bullet"/>
      <w:lvlText w:val="o"/>
      <w:lvlJc w:val="left"/>
      <w:pPr>
        <w:ind w:left="5760" w:hanging="360"/>
      </w:pPr>
      <w:rPr>
        <w:rFonts w:ascii="Courier New" w:eastAsia="Courier New" w:hAnsi="Courier New" w:cs="Courier New"/>
      </w:rPr>
    </w:lvl>
    <w:lvl w:ilvl="8" w:tplc="29C02E5A">
      <w:start w:val="1"/>
      <w:numFmt w:val="bullet"/>
      <w:lvlText w:val=""/>
      <w:lvlJc w:val="left"/>
      <w:pPr>
        <w:ind w:left="6480" w:hanging="360"/>
      </w:pPr>
      <w:rPr>
        <w:rFonts w:ascii="Wingdings" w:eastAsia="Wingdings" w:hAnsi="Wingdings" w:cs="Wingdings"/>
      </w:rPr>
    </w:lvl>
  </w:abstractNum>
  <w:abstractNum w:abstractNumId="4" w15:restartNumberingAfterBreak="0">
    <w:nsid w:val="2C492B37"/>
    <w:multiLevelType w:val="hybridMultilevel"/>
    <w:tmpl w:val="60A28CD6"/>
    <w:lvl w:ilvl="0" w:tplc="85301C18">
      <w:start w:val="1"/>
      <w:numFmt w:val="bullet"/>
      <w:lvlText w:val=""/>
      <w:lvlJc w:val="left"/>
      <w:pPr>
        <w:ind w:left="720" w:hanging="360"/>
      </w:pPr>
      <w:rPr>
        <w:rFonts w:ascii="Symbol" w:eastAsia="Symbol" w:hAnsi="Symbol" w:cs="Symbol"/>
      </w:rPr>
    </w:lvl>
    <w:lvl w:ilvl="1" w:tplc="2898A9BE">
      <w:start w:val="1"/>
      <w:numFmt w:val="bullet"/>
      <w:lvlText w:val="o"/>
      <w:lvlJc w:val="left"/>
      <w:pPr>
        <w:ind w:left="1440" w:hanging="360"/>
      </w:pPr>
      <w:rPr>
        <w:rFonts w:ascii="Courier New" w:eastAsia="Courier New" w:hAnsi="Courier New" w:cs="Courier New"/>
      </w:rPr>
    </w:lvl>
    <w:lvl w:ilvl="2" w:tplc="6596BCE4">
      <w:start w:val="1"/>
      <w:numFmt w:val="bullet"/>
      <w:lvlText w:val=""/>
      <w:lvlJc w:val="left"/>
      <w:pPr>
        <w:ind w:left="2160" w:hanging="360"/>
      </w:pPr>
      <w:rPr>
        <w:rFonts w:ascii="Wingdings" w:eastAsia="Wingdings" w:hAnsi="Wingdings" w:cs="Wingdings"/>
      </w:rPr>
    </w:lvl>
    <w:lvl w:ilvl="3" w:tplc="0B5C1244">
      <w:start w:val="1"/>
      <w:numFmt w:val="bullet"/>
      <w:lvlText w:val=""/>
      <w:lvlJc w:val="left"/>
      <w:pPr>
        <w:ind w:left="2880" w:hanging="360"/>
      </w:pPr>
      <w:rPr>
        <w:rFonts w:ascii="Symbol" w:eastAsia="Symbol" w:hAnsi="Symbol" w:cs="Symbol"/>
      </w:rPr>
    </w:lvl>
    <w:lvl w:ilvl="4" w:tplc="126E76D8">
      <w:start w:val="1"/>
      <w:numFmt w:val="bullet"/>
      <w:lvlText w:val="o"/>
      <w:lvlJc w:val="left"/>
      <w:pPr>
        <w:ind w:left="3600" w:hanging="360"/>
      </w:pPr>
      <w:rPr>
        <w:rFonts w:ascii="Courier New" w:eastAsia="Courier New" w:hAnsi="Courier New" w:cs="Courier New"/>
      </w:rPr>
    </w:lvl>
    <w:lvl w:ilvl="5" w:tplc="AAB201B4">
      <w:start w:val="1"/>
      <w:numFmt w:val="bullet"/>
      <w:lvlText w:val=""/>
      <w:lvlJc w:val="left"/>
      <w:pPr>
        <w:ind w:left="4320" w:hanging="360"/>
      </w:pPr>
      <w:rPr>
        <w:rFonts w:ascii="Wingdings" w:eastAsia="Wingdings" w:hAnsi="Wingdings" w:cs="Wingdings"/>
      </w:rPr>
    </w:lvl>
    <w:lvl w:ilvl="6" w:tplc="CD7247CE">
      <w:start w:val="1"/>
      <w:numFmt w:val="bullet"/>
      <w:lvlText w:val=""/>
      <w:lvlJc w:val="left"/>
      <w:pPr>
        <w:ind w:left="5040" w:hanging="360"/>
      </w:pPr>
      <w:rPr>
        <w:rFonts w:ascii="Symbol" w:eastAsia="Symbol" w:hAnsi="Symbol" w:cs="Symbol"/>
      </w:rPr>
    </w:lvl>
    <w:lvl w:ilvl="7" w:tplc="FB8001CA">
      <w:start w:val="1"/>
      <w:numFmt w:val="bullet"/>
      <w:lvlText w:val="o"/>
      <w:lvlJc w:val="left"/>
      <w:pPr>
        <w:ind w:left="5760" w:hanging="360"/>
      </w:pPr>
      <w:rPr>
        <w:rFonts w:ascii="Courier New" w:eastAsia="Courier New" w:hAnsi="Courier New" w:cs="Courier New"/>
      </w:rPr>
    </w:lvl>
    <w:lvl w:ilvl="8" w:tplc="DE0E3C1E">
      <w:start w:val="1"/>
      <w:numFmt w:val="bullet"/>
      <w:lvlText w:val=""/>
      <w:lvlJc w:val="left"/>
      <w:pPr>
        <w:ind w:left="6480" w:hanging="360"/>
      </w:pPr>
      <w:rPr>
        <w:rFonts w:ascii="Wingdings" w:eastAsia="Wingdings" w:hAnsi="Wingdings" w:cs="Wingdings"/>
      </w:rPr>
    </w:lvl>
  </w:abstractNum>
  <w:abstractNum w:abstractNumId="5" w15:restartNumberingAfterBreak="0">
    <w:nsid w:val="2D2D05D8"/>
    <w:multiLevelType w:val="hybridMultilevel"/>
    <w:tmpl w:val="61CE9E94"/>
    <w:lvl w:ilvl="0" w:tplc="03D44F18">
      <w:start w:val="1"/>
      <w:numFmt w:val="bullet"/>
      <w:lvlText w:val=""/>
      <w:lvlJc w:val="left"/>
      <w:pPr>
        <w:ind w:left="720" w:hanging="360"/>
      </w:pPr>
      <w:rPr>
        <w:rFonts w:ascii="Symbol" w:eastAsia="Symbol" w:hAnsi="Symbol" w:cs="Symbol"/>
      </w:rPr>
    </w:lvl>
    <w:lvl w:ilvl="1" w:tplc="DE668F8A">
      <w:start w:val="1"/>
      <w:numFmt w:val="bullet"/>
      <w:lvlText w:val="o"/>
      <w:lvlJc w:val="left"/>
      <w:pPr>
        <w:ind w:left="1440" w:hanging="360"/>
      </w:pPr>
      <w:rPr>
        <w:rFonts w:ascii="Courier New" w:eastAsia="Courier New" w:hAnsi="Courier New" w:cs="Courier New"/>
      </w:rPr>
    </w:lvl>
    <w:lvl w:ilvl="2" w:tplc="2EB2B6E4">
      <w:start w:val="1"/>
      <w:numFmt w:val="bullet"/>
      <w:lvlText w:val=""/>
      <w:lvlJc w:val="left"/>
      <w:pPr>
        <w:ind w:left="2160" w:hanging="360"/>
      </w:pPr>
      <w:rPr>
        <w:rFonts w:ascii="Wingdings" w:eastAsia="Wingdings" w:hAnsi="Wingdings" w:cs="Wingdings"/>
      </w:rPr>
    </w:lvl>
    <w:lvl w:ilvl="3" w:tplc="C55047DA">
      <w:start w:val="1"/>
      <w:numFmt w:val="bullet"/>
      <w:lvlText w:val=""/>
      <w:lvlJc w:val="left"/>
      <w:pPr>
        <w:ind w:left="2880" w:hanging="360"/>
      </w:pPr>
      <w:rPr>
        <w:rFonts w:ascii="Symbol" w:eastAsia="Symbol" w:hAnsi="Symbol" w:cs="Symbol"/>
      </w:rPr>
    </w:lvl>
    <w:lvl w:ilvl="4" w:tplc="CBA4F482">
      <w:start w:val="1"/>
      <w:numFmt w:val="bullet"/>
      <w:lvlText w:val="o"/>
      <w:lvlJc w:val="left"/>
      <w:pPr>
        <w:ind w:left="3600" w:hanging="360"/>
      </w:pPr>
      <w:rPr>
        <w:rFonts w:ascii="Courier New" w:eastAsia="Courier New" w:hAnsi="Courier New" w:cs="Courier New"/>
      </w:rPr>
    </w:lvl>
    <w:lvl w:ilvl="5" w:tplc="C7EE9C84">
      <w:start w:val="1"/>
      <w:numFmt w:val="bullet"/>
      <w:lvlText w:val=""/>
      <w:lvlJc w:val="left"/>
      <w:pPr>
        <w:ind w:left="4320" w:hanging="360"/>
      </w:pPr>
      <w:rPr>
        <w:rFonts w:ascii="Wingdings" w:eastAsia="Wingdings" w:hAnsi="Wingdings" w:cs="Wingdings"/>
      </w:rPr>
    </w:lvl>
    <w:lvl w:ilvl="6" w:tplc="05E0B3DC">
      <w:start w:val="1"/>
      <w:numFmt w:val="bullet"/>
      <w:lvlText w:val=""/>
      <w:lvlJc w:val="left"/>
      <w:pPr>
        <w:ind w:left="5040" w:hanging="360"/>
      </w:pPr>
      <w:rPr>
        <w:rFonts w:ascii="Symbol" w:eastAsia="Symbol" w:hAnsi="Symbol" w:cs="Symbol"/>
      </w:rPr>
    </w:lvl>
    <w:lvl w:ilvl="7" w:tplc="94D4FFDC">
      <w:start w:val="1"/>
      <w:numFmt w:val="bullet"/>
      <w:lvlText w:val="o"/>
      <w:lvlJc w:val="left"/>
      <w:pPr>
        <w:ind w:left="5760" w:hanging="360"/>
      </w:pPr>
      <w:rPr>
        <w:rFonts w:ascii="Courier New" w:eastAsia="Courier New" w:hAnsi="Courier New" w:cs="Courier New"/>
      </w:rPr>
    </w:lvl>
    <w:lvl w:ilvl="8" w:tplc="69BCE5B4">
      <w:start w:val="1"/>
      <w:numFmt w:val="bullet"/>
      <w:lvlText w:val=""/>
      <w:lvlJc w:val="left"/>
      <w:pPr>
        <w:ind w:left="6480" w:hanging="360"/>
      </w:pPr>
      <w:rPr>
        <w:rFonts w:ascii="Wingdings" w:eastAsia="Wingdings" w:hAnsi="Wingdings" w:cs="Wingdings"/>
      </w:rPr>
    </w:lvl>
  </w:abstractNum>
  <w:abstractNum w:abstractNumId="6" w15:restartNumberingAfterBreak="0">
    <w:nsid w:val="2E6B16AF"/>
    <w:multiLevelType w:val="hybridMultilevel"/>
    <w:tmpl w:val="F9F8453E"/>
    <w:lvl w:ilvl="0" w:tplc="D7F692A8">
      <w:start w:val="1"/>
      <w:numFmt w:val="bullet"/>
      <w:lvlText w:val=""/>
      <w:lvlJc w:val="left"/>
      <w:pPr>
        <w:ind w:left="720" w:hanging="360"/>
      </w:pPr>
      <w:rPr>
        <w:rFonts w:ascii="Symbol" w:eastAsia="Symbol" w:hAnsi="Symbol" w:cs="Symbol"/>
      </w:rPr>
    </w:lvl>
    <w:lvl w:ilvl="1" w:tplc="CAF80C1E">
      <w:start w:val="1"/>
      <w:numFmt w:val="bullet"/>
      <w:lvlText w:val="o"/>
      <w:lvlJc w:val="left"/>
      <w:pPr>
        <w:ind w:left="1440" w:hanging="360"/>
      </w:pPr>
      <w:rPr>
        <w:rFonts w:ascii="Courier New" w:eastAsia="Courier New" w:hAnsi="Courier New" w:cs="Courier New"/>
      </w:rPr>
    </w:lvl>
    <w:lvl w:ilvl="2" w:tplc="38E876A0">
      <w:start w:val="1"/>
      <w:numFmt w:val="bullet"/>
      <w:lvlText w:val=""/>
      <w:lvlJc w:val="left"/>
      <w:pPr>
        <w:ind w:left="2160" w:hanging="360"/>
      </w:pPr>
      <w:rPr>
        <w:rFonts w:ascii="Wingdings" w:eastAsia="Wingdings" w:hAnsi="Wingdings" w:cs="Wingdings"/>
      </w:rPr>
    </w:lvl>
    <w:lvl w:ilvl="3" w:tplc="4120C14A">
      <w:start w:val="1"/>
      <w:numFmt w:val="bullet"/>
      <w:lvlText w:val=""/>
      <w:lvlJc w:val="left"/>
      <w:pPr>
        <w:ind w:left="2880" w:hanging="360"/>
      </w:pPr>
      <w:rPr>
        <w:rFonts w:ascii="Symbol" w:eastAsia="Symbol" w:hAnsi="Symbol" w:cs="Symbol"/>
      </w:rPr>
    </w:lvl>
    <w:lvl w:ilvl="4" w:tplc="B4D83226">
      <w:start w:val="1"/>
      <w:numFmt w:val="bullet"/>
      <w:lvlText w:val="o"/>
      <w:lvlJc w:val="left"/>
      <w:pPr>
        <w:ind w:left="3600" w:hanging="360"/>
      </w:pPr>
      <w:rPr>
        <w:rFonts w:ascii="Courier New" w:eastAsia="Courier New" w:hAnsi="Courier New" w:cs="Courier New"/>
      </w:rPr>
    </w:lvl>
    <w:lvl w:ilvl="5" w:tplc="3E70A384">
      <w:start w:val="1"/>
      <w:numFmt w:val="bullet"/>
      <w:lvlText w:val=""/>
      <w:lvlJc w:val="left"/>
      <w:pPr>
        <w:ind w:left="4320" w:hanging="360"/>
      </w:pPr>
      <w:rPr>
        <w:rFonts w:ascii="Wingdings" w:eastAsia="Wingdings" w:hAnsi="Wingdings" w:cs="Wingdings"/>
      </w:rPr>
    </w:lvl>
    <w:lvl w:ilvl="6" w:tplc="94D0851A">
      <w:start w:val="1"/>
      <w:numFmt w:val="bullet"/>
      <w:lvlText w:val=""/>
      <w:lvlJc w:val="left"/>
      <w:pPr>
        <w:ind w:left="5040" w:hanging="360"/>
      </w:pPr>
      <w:rPr>
        <w:rFonts w:ascii="Symbol" w:eastAsia="Symbol" w:hAnsi="Symbol" w:cs="Symbol"/>
      </w:rPr>
    </w:lvl>
    <w:lvl w:ilvl="7" w:tplc="C7EEABEE">
      <w:start w:val="1"/>
      <w:numFmt w:val="bullet"/>
      <w:lvlText w:val="o"/>
      <w:lvlJc w:val="left"/>
      <w:pPr>
        <w:ind w:left="5760" w:hanging="360"/>
      </w:pPr>
      <w:rPr>
        <w:rFonts w:ascii="Courier New" w:eastAsia="Courier New" w:hAnsi="Courier New" w:cs="Courier New"/>
      </w:rPr>
    </w:lvl>
    <w:lvl w:ilvl="8" w:tplc="39B438F2">
      <w:start w:val="1"/>
      <w:numFmt w:val="bullet"/>
      <w:lvlText w:val=""/>
      <w:lvlJc w:val="left"/>
      <w:pPr>
        <w:ind w:left="6480" w:hanging="360"/>
      </w:pPr>
      <w:rPr>
        <w:rFonts w:ascii="Wingdings" w:eastAsia="Wingdings" w:hAnsi="Wingdings" w:cs="Wingdings"/>
      </w:rPr>
    </w:lvl>
  </w:abstractNum>
  <w:abstractNum w:abstractNumId="7" w15:restartNumberingAfterBreak="0">
    <w:nsid w:val="3032862D"/>
    <w:multiLevelType w:val="hybridMultilevel"/>
    <w:tmpl w:val="1E1C6886"/>
    <w:lvl w:ilvl="0" w:tplc="71AA13DC">
      <w:start w:val="1"/>
      <w:numFmt w:val="bullet"/>
      <w:lvlText w:val=""/>
      <w:lvlJc w:val="left"/>
      <w:pPr>
        <w:ind w:left="720" w:hanging="360"/>
      </w:pPr>
      <w:rPr>
        <w:rFonts w:ascii="Symbol" w:eastAsia="Symbol" w:hAnsi="Symbol" w:cs="Symbol"/>
      </w:rPr>
    </w:lvl>
    <w:lvl w:ilvl="1" w:tplc="66ECE204">
      <w:start w:val="1"/>
      <w:numFmt w:val="bullet"/>
      <w:lvlText w:val="o"/>
      <w:lvlJc w:val="left"/>
      <w:pPr>
        <w:ind w:left="1440" w:hanging="360"/>
      </w:pPr>
      <w:rPr>
        <w:rFonts w:ascii="Courier New" w:eastAsia="Courier New" w:hAnsi="Courier New" w:cs="Courier New"/>
      </w:rPr>
    </w:lvl>
    <w:lvl w:ilvl="2" w:tplc="314C8908">
      <w:start w:val="1"/>
      <w:numFmt w:val="bullet"/>
      <w:lvlText w:val=""/>
      <w:lvlJc w:val="left"/>
      <w:pPr>
        <w:ind w:left="2160" w:hanging="360"/>
      </w:pPr>
      <w:rPr>
        <w:rFonts w:ascii="Wingdings" w:eastAsia="Wingdings" w:hAnsi="Wingdings" w:cs="Wingdings"/>
      </w:rPr>
    </w:lvl>
    <w:lvl w:ilvl="3" w:tplc="8654E088">
      <w:start w:val="1"/>
      <w:numFmt w:val="bullet"/>
      <w:lvlText w:val=""/>
      <w:lvlJc w:val="left"/>
      <w:pPr>
        <w:ind w:left="2880" w:hanging="360"/>
      </w:pPr>
      <w:rPr>
        <w:rFonts w:ascii="Symbol" w:eastAsia="Symbol" w:hAnsi="Symbol" w:cs="Symbol"/>
      </w:rPr>
    </w:lvl>
    <w:lvl w:ilvl="4" w:tplc="6FCEB850">
      <w:start w:val="1"/>
      <w:numFmt w:val="bullet"/>
      <w:lvlText w:val="o"/>
      <w:lvlJc w:val="left"/>
      <w:pPr>
        <w:ind w:left="3600" w:hanging="360"/>
      </w:pPr>
      <w:rPr>
        <w:rFonts w:ascii="Courier New" w:eastAsia="Courier New" w:hAnsi="Courier New" w:cs="Courier New"/>
      </w:rPr>
    </w:lvl>
    <w:lvl w:ilvl="5" w:tplc="6F30F9AA">
      <w:start w:val="1"/>
      <w:numFmt w:val="bullet"/>
      <w:lvlText w:val=""/>
      <w:lvlJc w:val="left"/>
      <w:pPr>
        <w:ind w:left="4320" w:hanging="360"/>
      </w:pPr>
      <w:rPr>
        <w:rFonts w:ascii="Wingdings" w:eastAsia="Wingdings" w:hAnsi="Wingdings" w:cs="Wingdings"/>
      </w:rPr>
    </w:lvl>
    <w:lvl w:ilvl="6" w:tplc="903CEFB2">
      <w:start w:val="1"/>
      <w:numFmt w:val="bullet"/>
      <w:lvlText w:val=""/>
      <w:lvlJc w:val="left"/>
      <w:pPr>
        <w:ind w:left="5040" w:hanging="360"/>
      </w:pPr>
      <w:rPr>
        <w:rFonts w:ascii="Symbol" w:eastAsia="Symbol" w:hAnsi="Symbol" w:cs="Symbol"/>
      </w:rPr>
    </w:lvl>
    <w:lvl w:ilvl="7" w:tplc="013241CC">
      <w:start w:val="1"/>
      <w:numFmt w:val="bullet"/>
      <w:lvlText w:val="o"/>
      <w:lvlJc w:val="left"/>
      <w:pPr>
        <w:ind w:left="5760" w:hanging="360"/>
      </w:pPr>
      <w:rPr>
        <w:rFonts w:ascii="Courier New" w:eastAsia="Courier New" w:hAnsi="Courier New" w:cs="Courier New"/>
      </w:rPr>
    </w:lvl>
    <w:lvl w:ilvl="8" w:tplc="97FC2818">
      <w:start w:val="1"/>
      <w:numFmt w:val="bullet"/>
      <w:lvlText w:val=""/>
      <w:lvlJc w:val="left"/>
      <w:pPr>
        <w:ind w:left="6480" w:hanging="360"/>
      </w:pPr>
      <w:rPr>
        <w:rFonts w:ascii="Wingdings" w:eastAsia="Wingdings" w:hAnsi="Wingdings" w:cs="Wingdings"/>
      </w:rPr>
    </w:lvl>
  </w:abstractNum>
  <w:abstractNum w:abstractNumId="8" w15:restartNumberingAfterBreak="0">
    <w:nsid w:val="38FE6988"/>
    <w:multiLevelType w:val="hybridMultilevel"/>
    <w:tmpl w:val="18E6A9CC"/>
    <w:lvl w:ilvl="0" w:tplc="8F5AE12A">
      <w:start w:val="1"/>
      <w:numFmt w:val="bullet"/>
      <w:lvlText w:val=""/>
      <w:lvlJc w:val="left"/>
      <w:pPr>
        <w:ind w:left="720" w:hanging="360"/>
      </w:pPr>
      <w:rPr>
        <w:rFonts w:ascii="Symbol" w:eastAsia="Symbol" w:hAnsi="Symbol" w:cs="Symbol"/>
      </w:rPr>
    </w:lvl>
    <w:lvl w:ilvl="1" w:tplc="AD8698AC">
      <w:start w:val="1"/>
      <w:numFmt w:val="bullet"/>
      <w:lvlText w:val="o"/>
      <w:lvlJc w:val="left"/>
      <w:pPr>
        <w:ind w:left="1440" w:hanging="360"/>
      </w:pPr>
      <w:rPr>
        <w:rFonts w:ascii="Courier New" w:eastAsia="Courier New" w:hAnsi="Courier New" w:cs="Courier New"/>
      </w:rPr>
    </w:lvl>
    <w:lvl w:ilvl="2" w:tplc="680E6C94">
      <w:start w:val="1"/>
      <w:numFmt w:val="bullet"/>
      <w:lvlText w:val=""/>
      <w:lvlJc w:val="left"/>
      <w:pPr>
        <w:ind w:left="2160" w:hanging="360"/>
      </w:pPr>
      <w:rPr>
        <w:rFonts w:ascii="Wingdings" w:eastAsia="Wingdings" w:hAnsi="Wingdings" w:cs="Wingdings"/>
      </w:rPr>
    </w:lvl>
    <w:lvl w:ilvl="3" w:tplc="C32293F8">
      <w:start w:val="1"/>
      <w:numFmt w:val="bullet"/>
      <w:lvlText w:val=""/>
      <w:lvlJc w:val="left"/>
      <w:pPr>
        <w:ind w:left="2880" w:hanging="360"/>
      </w:pPr>
      <w:rPr>
        <w:rFonts w:ascii="Symbol" w:eastAsia="Symbol" w:hAnsi="Symbol" w:cs="Symbol"/>
      </w:rPr>
    </w:lvl>
    <w:lvl w:ilvl="4" w:tplc="2F705216">
      <w:start w:val="1"/>
      <w:numFmt w:val="bullet"/>
      <w:lvlText w:val="o"/>
      <w:lvlJc w:val="left"/>
      <w:pPr>
        <w:ind w:left="3600" w:hanging="360"/>
      </w:pPr>
      <w:rPr>
        <w:rFonts w:ascii="Courier New" w:eastAsia="Courier New" w:hAnsi="Courier New" w:cs="Courier New"/>
      </w:rPr>
    </w:lvl>
    <w:lvl w:ilvl="5" w:tplc="65DC45F4">
      <w:start w:val="1"/>
      <w:numFmt w:val="bullet"/>
      <w:lvlText w:val=""/>
      <w:lvlJc w:val="left"/>
      <w:pPr>
        <w:ind w:left="4320" w:hanging="360"/>
      </w:pPr>
      <w:rPr>
        <w:rFonts w:ascii="Wingdings" w:eastAsia="Wingdings" w:hAnsi="Wingdings" w:cs="Wingdings"/>
      </w:rPr>
    </w:lvl>
    <w:lvl w:ilvl="6" w:tplc="182C9386">
      <w:start w:val="1"/>
      <w:numFmt w:val="bullet"/>
      <w:lvlText w:val=""/>
      <w:lvlJc w:val="left"/>
      <w:pPr>
        <w:ind w:left="5040" w:hanging="360"/>
      </w:pPr>
      <w:rPr>
        <w:rFonts w:ascii="Symbol" w:eastAsia="Symbol" w:hAnsi="Symbol" w:cs="Symbol"/>
      </w:rPr>
    </w:lvl>
    <w:lvl w:ilvl="7" w:tplc="E3CE00F8">
      <w:start w:val="1"/>
      <w:numFmt w:val="bullet"/>
      <w:lvlText w:val="o"/>
      <w:lvlJc w:val="left"/>
      <w:pPr>
        <w:ind w:left="5760" w:hanging="360"/>
      </w:pPr>
      <w:rPr>
        <w:rFonts w:ascii="Courier New" w:eastAsia="Courier New" w:hAnsi="Courier New" w:cs="Courier New"/>
      </w:rPr>
    </w:lvl>
    <w:lvl w:ilvl="8" w:tplc="9E1C32CE">
      <w:start w:val="1"/>
      <w:numFmt w:val="bullet"/>
      <w:lvlText w:val=""/>
      <w:lvlJc w:val="left"/>
      <w:pPr>
        <w:ind w:left="6480" w:hanging="360"/>
      </w:pPr>
      <w:rPr>
        <w:rFonts w:ascii="Wingdings" w:eastAsia="Wingdings" w:hAnsi="Wingdings" w:cs="Wingdings"/>
      </w:rPr>
    </w:lvl>
  </w:abstractNum>
  <w:abstractNum w:abstractNumId="9" w15:restartNumberingAfterBreak="0">
    <w:nsid w:val="438B493B"/>
    <w:multiLevelType w:val="hybridMultilevel"/>
    <w:tmpl w:val="BC660A0C"/>
    <w:lvl w:ilvl="0" w:tplc="BF662E74">
      <w:start w:val="1"/>
      <w:numFmt w:val="bullet"/>
      <w:lvlText w:val=""/>
      <w:lvlJc w:val="left"/>
      <w:pPr>
        <w:ind w:left="720" w:hanging="360"/>
      </w:pPr>
      <w:rPr>
        <w:rFonts w:ascii="Symbol" w:eastAsia="Symbol" w:hAnsi="Symbol" w:cs="Symbol"/>
      </w:rPr>
    </w:lvl>
    <w:lvl w:ilvl="1" w:tplc="77A43392">
      <w:start w:val="1"/>
      <w:numFmt w:val="bullet"/>
      <w:lvlText w:val="o"/>
      <w:lvlJc w:val="left"/>
      <w:pPr>
        <w:ind w:left="1440" w:hanging="360"/>
      </w:pPr>
      <w:rPr>
        <w:rFonts w:ascii="Courier New" w:eastAsia="Courier New" w:hAnsi="Courier New" w:cs="Courier New"/>
      </w:rPr>
    </w:lvl>
    <w:lvl w:ilvl="2" w:tplc="F51E015C">
      <w:start w:val="1"/>
      <w:numFmt w:val="bullet"/>
      <w:lvlText w:val=""/>
      <w:lvlJc w:val="left"/>
      <w:pPr>
        <w:ind w:left="2160" w:hanging="360"/>
      </w:pPr>
      <w:rPr>
        <w:rFonts w:ascii="Wingdings" w:eastAsia="Wingdings" w:hAnsi="Wingdings" w:cs="Wingdings"/>
      </w:rPr>
    </w:lvl>
    <w:lvl w:ilvl="3" w:tplc="98E03D34">
      <w:start w:val="1"/>
      <w:numFmt w:val="bullet"/>
      <w:lvlText w:val=""/>
      <w:lvlJc w:val="left"/>
      <w:pPr>
        <w:ind w:left="2880" w:hanging="360"/>
      </w:pPr>
      <w:rPr>
        <w:rFonts w:ascii="Symbol" w:eastAsia="Symbol" w:hAnsi="Symbol" w:cs="Symbol"/>
      </w:rPr>
    </w:lvl>
    <w:lvl w:ilvl="4" w:tplc="6FD6CA96">
      <w:start w:val="1"/>
      <w:numFmt w:val="bullet"/>
      <w:lvlText w:val="o"/>
      <w:lvlJc w:val="left"/>
      <w:pPr>
        <w:ind w:left="3600" w:hanging="360"/>
      </w:pPr>
      <w:rPr>
        <w:rFonts w:ascii="Courier New" w:eastAsia="Courier New" w:hAnsi="Courier New" w:cs="Courier New"/>
      </w:rPr>
    </w:lvl>
    <w:lvl w:ilvl="5" w:tplc="9A0C2EA4">
      <w:start w:val="1"/>
      <w:numFmt w:val="bullet"/>
      <w:lvlText w:val=""/>
      <w:lvlJc w:val="left"/>
      <w:pPr>
        <w:ind w:left="4320" w:hanging="360"/>
      </w:pPr>
      <w:rPr>
        <w:rFonts w:ascii="Wingdings" w:eastAsia="Wingdings" w:hAnsi="Wingdings" w:cs="Wingdings"/>
      </w:rPr>
    </w:lvl>
    <w:lvl w:ilvl="6" w:tplc="9C3C2B56">
      <w:start w:val="1"/>
      <w:numFmt w:val="bullet"/>
      <w:lvlText w:val=""/>
      <w:lvlJc w:val="left"/>
      <w:pPr>
        <w:ind w:left="5040" w:hanging="360"/>
      </w:pPr>
      <w:rPr>
        <w:rFonts w:ascii="Symbol" w:eastAsia="Symbol" w:hAnsi="Symbol" w:cs="Symbol"/>
      </w:rPr>
    </w:lvl>
    <w:lvl w:ilvl="7" w:tplc="E0D62D6A">
      <w:start w:val="1"/>
      <w:numFmt w:val="bullet"/>
      <w:lvlText w:val="o"/>
      <w:lvlJc w:val="left"/>
      <w:pPr>
        <w:ind w:left="5760" w:hanging="360"/>
      </w:pPr>
      <w:rPr>
        <w:rFonts w:ascii="Courier New" w:eastAsia="Courier New" w:hAnsi="Courier New" w:cs="Courier New"/>
      </w:rPr>
    </w:lvl>
    <w:lvl w:ilvl="8" w:tplc="A36CF49A">
      <w:start w:val="1"/>
      <w:numFmt w:val="bullet"/>
      <w:lvlText w:val=""/>
      <w:lvlJc w:val="left"/>
      <w:pPr>
        <w:ind w:left="6480" w:hanging="360"/>
      </w:pPr>
      <w:rPr>
        <w:rFonts w:ascii="Wingdings" w:eastAsia="Wingdings" w:hAnsi="Wingdings" w:cs="Wingdings"/>
      </w:rPr>
    </w:lvl>
  </w:abstractNum>
  <w:abstractNum w:abstractNumId="10" w15:restartNumberingAfterBreak="0">
    <w:nsid w:val="462A68DD"/>
    <w:multiLevelType w:val="hybridMultilevel"/>
    <w:tmpl w:val="A7780F68"/>
    <w:lvl w:ilvl="0" w:tplc="639CE23C">
      <w:start w:val="1"/>
      <w:numFmt w:val="decimal"/>
      <w:lvlText w:val="%1."/>
      <w:lvlJc w:val="left"/>
      <w:pPr>
        <w:ind w:left="720" w:hanging="360"/>
      </w:pPr>
    </w:lvl>
    <w:lvl w:ilvl="1" w:tplc="A8B6EA98">
      <w:start w:val="1"/>
      <w:numFmt w:val="lowerLetter"/>
      <w:lvlText w:val="%2."/>
      <w:lvlJc w:val="left"/>
      <w:pPr>
        <w:ind w:left="1440" w:hanging="360"/>
      </w:pPr>
    </w:lvl>
    <w:lvl w:ilvl="2" w:tplc="6FC6662A">
      <w:start w:val="1"/>
      <w:numFmt w:val="lowerRoman"/>
      <w:lvlText w:val="%3."/>
      <w:lvlJc w:val="right"/>
      <w:pPr>
        <w:ind w:left="2160" w:hanging="180"/>
      </w:pPr>
    </w:lvl>
    <w:lvl w:ilvl="3" w:tplc="E814E396">
      <w:start w:val="1"/>
      <w:numFmt w:val="decimal"/>
      <w:lvlText w:val="%4."/>
      <w:lvlJc w:val="left"/>
      <w:pPr>
        <w:ind w:left="2880" w:hanging="360"/>
      </w:pPr>
    </w:lvl>
    <w:lvl w:ilvl="4" w:tplc="7708FC7C">
      <w:start w:val="1"/>
      <w:numFmt w:val="lowerLetter"/>
      <w:lvlText w:val="%5."/>
      <w:lvlJc w:val="left"/>
      <w:pPr>
        <w:ind w:left="3600" w:hanging="360"/>
      </w:pPr>
    </w:lvl>
    <w:lvl w:ilvl="5" w:tplc="C6902862">
      <w:start w:val="1"/>
      <w:numFmt w:val="lowerRoman"/>
      <w:lvlText w:val="%6."/>
      <w:lvlJc w:val="right"/>
      <w:pPr>
        <w:ind w:left="4320" w:hanging="180"/>
      </w:pPr>
    </w:lvl>
    <w:lvl w:ilvl="6" w:tplc="97E224D6">
      <w:start w:val="1"/>
      <w:numFmt w:val="decimal"/>
      <w:lvlText w:val="%7."/>
      <w:lvlJc w:val="left"/>
      <w:pPr>
        <w:ind w:left="5040" w:hanging="360"/>
      </w:pPr>
    </w:lvl>
    <w:lvl w:ilvl="7" w:tplc="7932E264">
      <w:start w:val="1"/>
      <w:numFmt w:val="lowerLetter"/>
      <w:lvlText w:val="%8."/>
      <w:lvlJc w:val="left"/>
      <w:pPr>
        <w:ind w:left="5760" w:hanging="360"/>
      </w:pPr>
    </w:lvl>
    <w:lvl w:ilvl="8" w:tplc="A3C2B304">
      <w:start w:val="1"/>
      <w:numFmt w:val="lowerRoman"/>
      <w:lvlText w:val="%9."/>
      <w:lvlJc w:val="right"/>
      <w:pPr>
        <w:ind w:left="6480" w:hanging="180"/>
      </w:pPr>
    </w:lvl>
  </w:abstractNum>
  <w:abstractNum w:abstractNumId="11" w15:restartNumberingAfterBreak="0">
    <w:nsid w:val="4C6A3319"/>
    <w:multiLevelType w:val="hybridMultilevel"/>
    <w:tmpl w:val="BD60A56A"/>
    <w:lvl w:ilvl="0" w:tplc="4E9AD714">
      <w:start w:val="1"/>
      <w:numFmt w:val="bullet"/>
      <w:lvlText w:val="●"/>
      <w:lvlJc w:val="left"/>
      <w:pPr>
        <w:ind w:left="720" w:hanging="360"/>
      </w:pPr>
    </w:lvl>
    <w:lvl w:ilvl="1" w:tplc="B8B6B28A">
      <w:start w:val="1"/>
      <w:numFmt w:val="bullet"/>
      <w:lvlText w:val="○"/>
      <w:lvlJc w:val="left"/>
      <w:pPr>
        <w:ind w:left="1440" w:hanging="360"/>
      </w:pPr>
    </w:lvl>
    <w:lvl w:ilvl="2" w:tplc="E2741432">
      <w:start w:val="1"/>
      <w:numFmt w:val="bullet"/>
      <w:lvlText w:val="■"/>
      <w:lvlJc w:val="left"/>
      <w:pPr>
        <w:ind w:left="2160" w:hanging="360"/>
      </w:pPr>
    </w:lvl>
    <w:lvl w:ilvl="3" w:tplc="0FA6C760">
      <w:start w:val="1"/>
      <w:numFmt w:val="bullet"/>
      <w:lvlText w:val="●"/>
      <w:lvlJc w:val="left"/>
      <w:pPr>
        <w:ind w:left="2880" w:hanging="360"/>
      </w:pPr>
    </w:lvl>
    <w:lvl w:ilvl="4" w:tplc="35AA1B78">
      <w:start w:val="1"/>
      <w:numFmt w:val="bullet"/>
      <w:lvlText w:val="○"/>
      <w:lvlJc w:val="left"/>
      <w:pPr>
        <w:ind w:left="3600" w:hanging="360"/>
      </w:pPr>
    </w:lvl>
    <w:lvl w:ilvl="5" w:tplc="0BFE8AD0">
      <w:start w:val="1"/>
      <w:numFmt w:val="bullet"/>
      <w:lvlText w:val="■"/>
      <w:lvlJc w:val="left"/>
      <w:pPr>
        <w:ind w:left="4320" w:hanging="360"/>
      </w:pPr>
    </w:lvl>
    <w:lvl w:ilvl="6" w:tplc="F79EFD16">
      <w:start w:val="1"/>
      <w:numFmt w:val="bullet"/>
      <w:lvlText w:val="●"/>
      <w:lvlJc w:val="left"/>
      <w:pPr>
        <w:ind w:left="5040" w:hanging="360"/>
      </w:pPr>
    </w:lvl>
    <w:lvl w:ilvl="7" w:tplc="CBF2A70C">
      <w:start w:val="1"/>
      <w:numFmt w:val="bullet"/>
      <w:lvlText w:val="●"/>
      <w:lvlJc w:val="left"/>
      <w:pPr>
        <w:ind w:left="5760" w:hanging="360"/>
      </w:pPr>
    </w:lvl>
    <w:lvl w:ilvl="8" w:tplc="1E8AD5D2">
      <w:start w:val="1"/>
      <w:numFmt w:val="bullet"/>
      <w:lvlText w:val="●"/>
      <w:lvlJc w:val="left"/>
      <w:pPr>
        <w:ind w:left="6480" w:hanging="360"/>
      </w:pPr>
    </w:lvl>
  </w:abstractNum>
  <w:abstractNum w:abstractNumId="12" w15:restartNumberingAfterBreak="0">
    <w:nsid w:val="524277DD"/>
    <w:multiLevelType w:val="hybridMultilevel"/>
    <w:tmpl w:val="48D69CD0"/>
    <w:lvl w:ilvl="0" w:tplc="5E7C14E0">
      <w:start w:val="1"/>
      <w:numFmt w:val="bullet"/>
      <w:lvlText w:val=""/>
      <w:lvlJc w:val="left"/>
      <w:pPr>
        <w:ind w:left="720" w:hanging="360"/>
      </w:pPr>
      <w:rPr>
        <w:rFonts w:ascii="Symbol" w:eastAsia="Symbol" w:hAnsi="Symbol" w:cs="Symbol"/>
      </w:rPr>
    </w:lvl>
    <w:lvl w:ilvl="1" w:tplc="32CC3F0E">
      <w:start w:val="1"/>
      <w:numFmt w:val="bullet"/>
      <w:lvlText w:val="o"/>
      <w:lvlJc w:val="left"/>
      <w:pPr>
        <w:ind w:left="1440" w:hanging="360"/>
      </w:pPr>
      <w:rPr>
        <w:rFonts w:ascii="Courier New" w:eastAsia="Courier New" w:hAnsi="Courier New" w:cs="Courier New"/>
      </w:rPr>
    </w:lvl>
    <w:lvl w:ilvl="2" w:tplc="717408F2">
      <w:start w:val="1"/>
      <w:numFmt w:val="bullet"/>
      <w:lvlText w:val=""/>
      <w:lvlJc w:val="left"/>
      <w:pPr>
        <w:ind w:left="2160" w:hanging="360"/>
      </w:pPr>
      <w:rPr>
        <w:rFonts w:ascii="Wingdings" w:eastAsia="Wingdings" w:hAnsi="Wingdings" w:cs="Wingdings"/>
      </w:rPr>
    </w:lvl>
    <w:lvl w:ilvl="3" w:tplc="A5E6D316">
      <w:start w:val="1"/>
      <w:numFmt w:val="bullet"/>
      <w:lvlText w:val=""/>
      <w:lvlJc w:val="left"/>
      <w:pPr>
        <w:ind w:left="2880" w:hanging="360"/>
      </w:pPr>
      <w:rPr>
        <w:rFonts w:ascii="Symbol" w:eastAsia="Symbol" w:hAnsi="Symbol" w:cs="Symbol"/>
      </w:rPr>
    </w:lvl>
    <w:lvl w:ilvl="4" w:tplc="A686EFF8">
      <w:start w:val="1"/>
      <w:numFmt w:val="bullet"/>
      <w:lvlText w:val="o"/>
      <w:lvlJc w:val="left"/>
      <w:pPr>
        <w:ind w:left="3600" w:hanging="360"/>
      </w:pPr>
      <w:rPr>
        <w:rFonts w:ascii="Courier New" w:eastAsia="Courier New" w:hAnsi="Courier New" w:cs="Courier New"/>
      </w:rPr>
    </w:lvl>
    <w:lvl w:ilvl="5" w:tplc="C69CF328">
      <w:start w:val="1"/>
      <w:numFmt w:val="bullet"/>
      <w:lvlText w:val=""/>
      <w:lvlJc w:val="left"/>
      <w:pPr>
        <w:ind w:left="4320" w:hanging="360"/>
      </w:pPr>
      <w:rPr>
        <w:rFonts w:ascii="Wingdings" w:eastAsia="Wingdings" w:hAnsi="Wingdings" w:cs="Wingdings"/>
      </w:rPr>
    </w:lvl>
    <w:lvl w:ilvl="6" w:tplc="D79E47D2">
      <w:start w:val="1"/>
      <w:numFmt w:val="bullet"/>
      <w:lvlText w:val=""/>
      <w:lvlJc w:val="left"/>
      <w:pPr>
        <w:ind w:left="5040" w:hanging="360"/>
      </w:pPr>
      <w:rPr>
        <w:rFonts w:ascii="Symbol" w:eastAsia="Symbol" w:hAnsi="Symbol" w:cs="Symbol"/>
      </w:rPr>
    </w:lvl>
    <w:lvl w:ilvl="7" w:tplc="B0A2D8AE">
      <w:start w:val="1"/>
      <w:numFmt w:val="bullet"/>
      <w:lvlText w:val="o"/>
      <w:lvlJc w:val="left"/>
      <w:pPr>
        <w:ind w:left="5760" w:hanging="360"/>
      </w:pPr>
      <w:rPr>
        <w:rFonts w:ascii="Courier New" w:eastAsia="Courier New" w:hAnsi="Courier New" w:cs="Courier New"/>
      </w:rPr>
    </w:lvl>
    <w:lvl w:ilvl="8" w:tplc="41EEAB36">
      <w:start w:val="1"/>
      <w:numFmt w:val="bullet"/>
      <w:lvlText w:val=""/>
      <w:lvlJc w:val="left"/>
      <w:pPr>
        <w:ind w:left="6480" w:hanging="360"/>
      </w:pPr>
      <w:rPr>
        <w:rFonts w:ascii="Wingdings" w:eastAsia="Wingdings" w:hAnsi="Wingdings" w:cs="Wingdings"/>
      </w:rPr>
    </w:lvl>
  </w:abstractNum>
  <w:abstractNum w:abstractNumId="13" w15:restartNumberingAfterBreak="0">
    <w:nsid w:val="58CEC369"/>
    <w:multiLevelType w:val="hybridMultilevel"/>
    <w:tmpl w:val="F936571A"/>
    <w:lvl w:ilvl="0" w:tplc="048A9D9A">
      <w:start w:val="1"/>
      <w:numFmt w:val="bullet"/>
      <w:lvlText w:val=""/>
      <w:lvlJc w:val="left"/>
      <w:pPr>
        <w:ind w:left="720" w:hanging="360"/>
      </w:pPr>
      <w:rPr>
        <w:rFonts w:ascii="Symbol" w:eastAsia="Symbol" w:hAnsi="Symbol" w:cs="Symbol"/>
      </w:rPr>
    </w:lvl>
    <w:lvl w:ilvl="1" w:tplc="C1989806">
      <w:start w:val="1"/>
      <w:numFmt w:val="bullet"/>
      <w:lvlText w:val="o"/>
      <w:lvlJc w:val="left"/>
      <w:pPr>
        <w:ind w:left="1440" w:hanging="360"/>
      </w:pPr>
      <w:rPr>
        <w:rFonts w:ascii="Courier New" w:eastAsia="Courier New" w:hAnsi="Courier New" w:cs="Courier New"/>
      </w:rPr>
    </w:lvl>
    <w:lvl w:ilvl="2" w:tplc="90FA4852">
      <w:start w:val="1"/>
      <w:numFmt w:val="bullet"/>
      <w:lvlText w:val=""/>
      <w:lvlJc w:val="left"/>
      <w:pPr>
        <w:ind w:left="2160" w:hanging="360"/>
      </w:pPr>
      <w:rPr>
        <w:rFonts w:ascii="Wingdings" w:eastAsia="Wingdings" w:hAnsi="Wingdings" w:cs="Wingdings"/>
      </w:rPr>
    </w:lvl>
    <w:lvl w:ilvl="3" w:tplc="BDAE556A">
      <w:start w:val="1"/>
      <w:numFmt w:val="bullet"/>
      <w:lvlText w:val=""/>
      <w:lvlJc w:val="left"/>
      <w:pPr>
        <w:ind w:left="2880" w:hanging="360"/>
      </w:pPr>
      <w:rPr>
        <w:rFonts w:ascii="Symbol" w:eastAsia="Symbol" w:hAnsi="Symbol" w:cs="Symbol"/>
      </w:rPr>
    </w:lvl>
    <w:lvl w:ilvl="4" w:tplc="43104FBA">
      <w:start w:val="1"/>
      <w:numFmt w:val="bullet"/>
      <w:lvlText w:val="o"/>
      <w:lvlJc w:val="left"/>
      <w:pPr>
        <w:ind w:left="3600" w:hanging="360"/>
      </w:pPr>
      <w:rPr>
        <w:rFonts w:ascii="Courier New" w:eastAsia="Courier New" w:hAnsi="Courier New" w:cs="Courier New"/>
      </w:rPr>
    </w:lvl>
    <w:lvl w:ilvl="5" w:tplc="0944D8B6">
      <w:start w:val="1"/>
      <w:numFmt w:val="bullet"/>
      <w:lvlText w:val=""/>
      <w:lvlJc w:val="left"/>
      <w:pPr>
        <w:ind w:left="4320" w:hanging="360"/>
      </w:pPr>
      <w:rPr>
        <w:rFonts w:ascii="Wingdings" w:eastAsia="Wingdings" w:hAnsi="Wingdings" w:cs="Wingdings"/>
      </w:rPr>
    </w:lvl>
    <w:lvl w:ilvl="6" w:tplc="3CF87578">
      <w:start w:val="1"/>
      <w:numFmt w:val="bullet"/>
      <w:lvlText w:val=""/>
      <w:lvlJc w:val="left"/>
      <w:pPr>
        <w:ind w:left="5040" w:hanging="360"/>
      </w:pPr>
      <w:rPr>
        <w:rFonts w:ascii="Symbol" w:eastAsia="Symbol" w:hAnsi="Symbol" w:cs="Symbol"/>
      </w:rPr>
    </w:lvl>
    <w:lvl w:ilvl="7" w:tplc="08C0E8FA">
      <w:start w:val="1"/>
      <w:numFmt w:val="bullet"/>
      <w:lvlText w:val="o"/>
      <w:lvlJc w:val="left"/>
      <w:pPr>
        <w:ind w:left="5760" w:hanging="360"/>
      </w:pPr>
      <w:rPr>
        <w:rFonts w:ascii="Courier New" w:eastAsia="Courier New" w:hAnsi="Courier New" w:cs="Courier New"/>
      </w:rPr>
    </w:lvl>
    <w:lvl w:ilvl="8" w:tplc="7DCA0D38">
      <w:start w:val="1"/>
      <w:numFmt w:val="bullet"/>
      <w:lvlText w:val=""/>
      <w:lvlJc w:val="left"/>
      <w:pPr>
        <w:ind w:left="6480" w:hanging="360"/>
      </w:pPr>
      <w:rPr>
        <w:rFonts w:ascii="Wingdings" w:eastAsia="Wingdings" w:hAnsi="Wingdings" w:cs="Wingdings"/>
      </w:rPr>
    </w:lvl>
  </w:abstractNum>
  <w:abstractNum w:abstractNumId="14" w15:restartNumberingAfterBreak="0">
    <w:nsid w:val="7A8830F2"/>
    <w:multiLevelType w:val="hybridMultilevel"/>
    <w:tmpl w:val="6D7483D4"/>
    <w:lvl w:ilvl="0" w:tplc="FF029C1A">
      <w:start w:val="1"/>
      <w:numFmt w:val="bullet"/>
      <w:lvlText w:val=""/>
      <w:lvlJc w:val="left"/>
      <w:pPr>
        <w:ind w:left="720" w:hanging="360"/>
      </w:pPr>
      <w:rPr>
        <w:rFonts w:ascii="Symbol" w:eastAsia="Symbol" w:hAnsi="Symbol" w:cs="Symbol"/>
      </w:rPr>
    </w:lvl>
    <w:lvl w:ilvl="1" w:tplc="1686783E">
      <w:start w:val="1"/>
      <w:numFmt w:val="bullet"/>
      <w:lvlText w:val="o"/>
      <w:lvlJc w:val="left"/>
      <w:pPr>
        <w:ind w:left="1440" w:hanging="360"/>
      </w:pPr>
      <w:rPr>
        <w:rFonts w:ascii="Courier New" w:eastAsia="Courier New" w:hAnsi="Courier New" w:cs="Courier New"/>
      </w:rPr>
    </w:lvl>
    <w:lvl w:ilvl="2" w:tplc="6228016E">
      <w:start w:val="1"/>
      <w:numFmt w:val="bullet"/>
      <w:lvlText w:val=""/>
      <w:lvlJc w:val="left"/>
      <w:pPr>
        <w:ind w:left="2160" w:hanging="360"/>
      </w:pPr>
      <w:rPr>
        <w:rFonts w:ascii="Wingdings" w:eastAsia="Wingdings" w:hAnsi="Wingdings" w:cs="Wingdings"/>
      </w:rPr>
    </w:lvl>
    <w:lvl w:ilvl="3" w:tplc="4118B3FE">
      <w:start w:val="1"/>
      <w:numFmt w:val="bullet"/>
      <w:lvlText w:val=""/>
      <w:lvlJc w:val="left"/>
      <w:pPr>
        <w:ind w:left="2880" w:hanging="360"/>
      </w:pPr>
      <w:rPr>
        <w:rFonts w:ascii="Symbol" w:eastAsia="Symbol" w:hAnsi="Symbol" w:cs="Symbol"/>
      </w:rPr>
    </w:lvl>
    <w:lvl w:ilvl="4" w:tplc="843ED8A2">
      <w:start w:val="1"/>
      <w:numFmt w:val="bullet"/>
      <w:lvlText w:val="o"/>
      <w:lvlJc w:val="left"/>
      <w:pPr>
        <w:ind w:left="3600" w:hanging="360"/>
      </w:pPr>
      <w:rPr>
        <w:rFonts w:ascii="Courier New" w:eastAsia="Courier New" w:hAnsi="Courier New" w:cs="Courier New"/>
      </w:rPr>
    </w:lvl>
    <w:lvl w:ilvl="5" w:tplc="7C042700">
      <w:start w:val="1"/>
      <w:numFmt w:val="bullet"/>
      <w:lvlText w:val=""/>
      <w:lvlJc w:val="left"/>
      <w:pPr>
        <w:ind w:left="4320" w:hanging="360"/>
      </w:pPr>
      <w:rPr>
        <w:rFonts w:ascii="Wingdings" w:eastAsia="Wingdings" w:hAnsi="Wingdings" w:cs="Wingdings"/>
      </w:rPr>
    </w:lvl>
    <w:lvl w:ilvl="6" w:tplc="A6D277B8">
      <w:start w:val="1"/>
      <w:numFmt w:val="bullet"/>
      <w:lvlText w:val=""/>
      <w:lvlJc w:val="left"/>
      <w:pPr>
        <w:ind w:left="5040" w:hanging="360"/>
      </w:pPr>
      <w:rPr>
        <w:rFonts w:ascii="Symbol" w:eastAsia="Symbol" w:hAnsi="Symbol" w:cs="Symbol"/>
      </w:rPr>
    </w:lvl>
    <w:lvl w:ilvl="7" w:tplc="5E905140">
      <w:start w:val="1"/>
      <w:numFmt w:val="bullet"/>
      <w:lvlText w:val="o"/>
      <w:lvlJc w:val="left"/>
      <w:pPr>
        <w:ind w:left="5760" w:hanging="360"/>
      </w:pPr>
      <w:rPr>
        <w:rFonts w:ascii="Courier New" w:eastAsia="Courier New" w:hAnsi="Courier New" w:cs="Courier New"/>
      </w:rPr>
    </w:lvl>
    <w:lvl w:ilvl="8" w:tplc="5FEC67D2">
      <w:start w:val="1"/>
      <w:numFmt w:val="bullet"/>
      <w:lvlText w:val=""/>
      <w:lvlJc w:val="left"/>
      <w:pPr>
        <w:ind w:left="6480" w:hanging="360"/>
      </w:pPr>
      <w:rPr>
        <w:rFonts w:ascii="Wingdings" w:eastAsia="Wingdings" w:hAnsi="Wingdings" w:cs="Wingdings"/>
      </w:rPr>
    </w:lvl>
  </w:abstractNum>
  <w:num w:numId="1" w16cid:durableId="1940677379">
    <w:abstractNumId w:val="11"/>
    <w:lvlOverride w:ilvl="0">
      <w:startOverride w:val="1"/>
    </w:lvlOverride>
  </w:num>
  <w:num w:numId="2" w16cid:durableId="1171602790">
    <w:abstractNumId w:val="0"/>
  </w:num>
  <w:num w:numId="3" w16cid:durableId="1779982045">
    <w:abstractNumId w:val="1"/>
  </w:num>
  <w:num w:numId="4" w16cid:durableId="70086215">
    <w:abstractNumId w:val="7"/>
  </w:num>
  <w:num w:numId="5" w16cid:durableId="1270433739">
    <w:abstractNumId w:val="3"/>
  </w:num>
  <w:num w:numId="6" w16cid:durableId="667051714">
    <w:abstractNumId w:val="4"/>
  </w:num>
  <w:num w:numId="7" w16cid:durableId="676269730">
    <w:abstractNumId w:val="14"/>
  </w:num>
  <w:num w:numId="8" w16cid:durableId="800807461">
    <w:abstractNumId w:val="9"/>
  </w:num>
  <w:num w:numId="9" w16cid:durableId="14428447">
    <w:abstractNumId w:val="12"/>
  </w:num>
  <w:num w:numId="10" w16cid:durableId="572812967">
    <w:abstractNumId w:val="10"/>
  </w:num>
  <w:num w:numId="11" w16cid:durableId="687869627">
    <w:abstractNumId w:val="8"/>
  </w:num>
  <w:num w:numId="12" w16cid:durableId="48770469">
    <w:abstractNumId w:val="6"/>
  </w:num>
  <w:num w:numId="13" w16cid:durableId="1743327922">
    <w:abstractNumId w:val="13"/>
  </w:num>
  <w:num w:numId="14" w16cid:durableId="614865868">
    <w:abstractNumId w:val="5"/>
  </w:num>
  <w:num w:numId="15" w16cid:durableId="6892620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6A322F"/>
    <w:rsid w:val="00024E97"/>
    <w:rsid w:val="00097282"/>
    <w:rsid w:val="000A2349"/>
    <w:rsid w:val="000B18F0"/>
    <w:rsid w:val="000C3A30"/>
    <w:rsid w:val="00101EBB"/>
    <w:rsid w:val="00105B98"/>
    <w:rsid w:val="00106D08"/>
    <w:rsid w:val="00124B5E"/>
    <w:rsid w:val="00131AD3"/>
    <w:rsid w:val="00135575"/>
    <w:rsid w:val="001520A0"/>
    <w:rsid w:val="00164E85"/>
    <w:rsid w:val="00180833"/>
    <w:rsid w:val="001A3711"/>
    <w:rsid w:val="001C55FB"/>
    <w:rsid w:val="001D2E5F"/>
    <w:rsid w:val="0020212E"/>
    <w:rsid w:val="00215077"/>
    <w:rsid w:val="002203A3"/>
    <w:rsid w:val="00225896"/>
    <w:rsid w:val="00281231"/>
    <w:rsid w:val="00297B7C"/>
    <w:rsid w:val="002D5AD6"/>
    <w:rsid w:val="003031A3"/>
    <w:rsid w:val="0032140A"/>
    <w:rsid w:val="003372B6"/>
    <w:rsid w:val="00353BBD"/>
    <w:rsid w:val="003B401A"/>
    <w:rsid w:val="003C3696"/>
    <w:rsid w:val="003D4606"/>
    <w:rsid w:val="00400F68"/>
    <w:rsid w:val="00401621"/>
    <w:rsid w:val="00485A69"/>
    <w:rsid w:val="004A7B4C"/>
    <w:rsid w:val="004C18AD"/>
    <w:rsid w:val="00544457"/>
    <w:rsid w:val="00576306"/>
    <w:rsid w:val="00587A6A"/>
    <w:rsid w:val="005E748E"/>
    <w:rsid w:val="005F3412"/>
    <w:rsid w:val="00604158"/>
    <w:rsid w:val="00610F73"/>
    <w:rsid w:val="00611919"/>
    <w:rsid w:val="006374FC"/>
    <w:rsid w:val="00655670"/>
    <w:rsid w:val="006719FA"/>
    <w:rsid w:val="0069046B"/>
    <w:rsid w:val="006D1B04"/>
    <w:rsid w:val="006E12C3"/>
    <w:rsid w:val="0075240E"/>
    <w:rsid w:val="007946F9"/>
    <w:rsid w:val="007A3248"/>
    <w:rsid w:val="007E09D6"/>
    <w:rsid w:val="007E0E64"/>
    <w:rsid w:val="008229CB"/>
    <w:rsid w:val="00824F80"/>
    <w:rsid w:val="00874B63"/>
    <w:rsid w:val="00884356"/>
    <w:rsid w:val="008A4E3F"/>
    <w:rsid w:val="008C7949"/>
    <w:rsid w:val="008F89EE"/>
    <w:rsid w:val="00906C58"/>
    <w:rsid w:val="009109CC"/>
    <w:rsid w:val="009142BA"/>
    <w:rsid w:val="00953D6E"/>
    <w:rsid w:val="009560DC"/>
    <w:rsid w:val="00986DE6"/>
    <w:rsid w:val="00995BE9"/>
    <w:rsid w:val="00A32B08"/>
    <w:rsid w:val="00A35E72"/>
    <w:rsid w:val="00A73908"/>
    <w:rsid w:val="00A85261"/>
    <w:rsid w:val="00A90651"/>
    <w:rsid w:val="00AA78C0"/>
    <w:rsid w:val="00AB49AD"/>
    <w:rsid w:val="00AB6F81"/>
    <w:rsid w:val="00AF7CDE"/>
    <w:rsid w:val="00B76880"/>
    <w:rsid w:val="00B80D61"/>
    <w:rsid w:val="00B85184"/>
    <w:rsid w:val="00BB1C05"/>
    <w:rsid w:val="00BB6A1F"/>
    <w:rsid w:val="00C00093"/>
    <w:rsid w:val="00C062C2"/>
    <w:rsid w:val="00C07734"/>
    <w:rsid w:val="00C40704"/>
    <w:rsid w:val="00C43618"/>
    <w:rsid w:val="00C613EF"/>
    <w:rsid w:val="00C61B24"/>
    <w:rsid w:val="00CB6BFB"/>
    <w:rsid w:val="00CC2599"/>
    <w:rsid w:val="00D1507D"/>
    <w:rsid w:val="00D278D3"/>
    <w:rsid w:val="00D43AA0"/>
    <w:rsid w:val="00D673F2"/>
    <w:rsid w:val="00DB1D1D"/>
    <w:rsid w:val="00DB77FE"/>
    <w:rsid w:val="00DC6258"/>
    <w:rsid w:val="00DD2545"/>
    <w:rsid w:val="00DE3A9E"/>
    <w:rsid w:val="00E050EB"/>
    <w:rsid w:val="00E262ED"/>
    <w:rsid w:val="00E612C2"/>
    <w:rsid w:val="00E672E0"/>
    <w:rsid w:val="00E74F4C"/>
    <w:rsid w:val="00E7648B"/>
    <w:rsid w:val="00EA23A0"/>
    <w:rsid w:val="00EA6908"/>
    <w:rsid w:val="00EB7044"/>
    <w:rsid w:val="00EC77B2"/>
    <w:rsid w:val="00ED4545"/>
    <w:rsid w:val="00EF02FA"/>
    <w:rsid w:val="00EF31E8"/>
    <w:rsid w:val="00F145EF"/>
    <w:rsid w:val="00F32A30"/>
    <w:rsid w:val="00F913C6"/>
    <w:rsid w:val="00FA1BBA"/>
    <w:rsid w:val="00FB08AA"/>
    <w:rsid w:val="00FB5AA0"/>
    <w:rsid w:val="00FC283B"/>
    <w:rsid w:val="00FD0C4C"/>
    <w:rsid w:val="027B22EC"/>
    <w:rsid w:val="0EEE7C18"/>
    <w:rsid w:val="0FD9D4EA"/>
    <w:rsid w:val="10DBA982"/>
    <w:rsid w:val="10F0C303"/>
    <w:rsid w:val="13EC5DB4"/>
    <w:rsid w:val="14055678"/>
    <w:rsid w:val="14E76457"/>
    <w:rsid w:val="16BCF2B7"/>
    <w:rsid w:val="179522D8"/>
    <w:rsid w:val="186F2D06"/>
    <w:rsid w:val="189F4F77"/>
    <w:rsid w:val="1C397C67"/>
    <w:rsid w:val="1DCAFE2B"/>
    <w:rsid w:val="1F93E3C5"/>
    <w:rsid w:val="1FD78110"/>
    <w:rsid w:val="2515207E"/>
    <w:rsid w:val="256A322F"/>
    <w:rsid w:val="260F3B9C"/>
    <w:rsid w:val="289F71D4"/>
    <w:rsid w:val="2BF62C4E"/>
    <w:rsid w:val="2C67CC68"/>
    <w:rsid w:val="2D2D8E52"/>
    <w:rsid w:val="32752E28"/>
    <w:rsid w:val="32D90E9B"/>
    <w:rsid w:val="33F48E59"/>
    <w:rsid w:val="34BD57FB"/>
    <w:rsid w:val="34F20B54"/>
    <w:rsid w:val="37EBA051"/>
    <w:rsid w:val="3E4C8355"/>
    <w:rsid w:val="3F7AD585"/>
    <w:rsid w:val="403CF3F2"/>
    <w:rsid w:val="40DDCB42"/>
    <w:rsid w:val="4342B721"/>
    <w:rsid w:val="439EBA73"/>
    <w:rsid w:val="4727F5BC"/>
    <w:rsid w:val="47E11F34"/>
    <w:rsid w:val="4874D328"/>
    <w:rsid w:val="4E3AFBF9"/>
    <w:rsid w:val="4FF615AF"/>
    <w:rsid w:val="5395B9C1"/>
    <w:rsid w:val="561A99F1"/>
    <w:rsid w:val="5A0A1DA5"/>
    <w:rsid w:val="5AB4C9AB"/>
    <w:rsid w:val="5D460095"/>
    <w:rsid w:val="6003B959"/>
    <w:rsid w:val="607638FA"/>
    <w:rsid w:val="622A5F2A"/>
    <w:rsid w:val="62C44BEC"/>
    <w:rsid w:val="63FFA220"/>
    <w:rsid w:val="64FD8C3E"/>
    <w:rsid w:val="66B44527"/>
    <w:rsid w:val="6B7E3135"/>
    <w:rsid w:val="6C7F6DBE"/>
    <w:rsid w:val="6EC94255"/>
    <w:rsid w:val="6FFD5DE8"/>
    <w:rsid w:val="70FA5117"/>
    <w:rsid w:val="7398FF48"/>
    <w:rsid w:val="75953718"/>
    <w:rsid w:val="7784CCE8"/>
    <w:rsid w:val="77F6290C"/>
    <w:rsid w:val="7996BD3E"/>
    <w:rsid w:val="7FC7FE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815C87"/>
  <w15:docId w15:val="{0D5AC47A-995F-4B39-B1FA-488A045B3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 w:type="character" w:styleId="CommentReference">
    <w:name w:val="annotation reference"/>
    <w:basedOn w:val="DefaultParagraphFont"/>
    <w:uiPriority w:val="99"/>
    <w:semiHidden/>
    <w:unhideWhenUsed/>
    <w:rsid w:val="00FB08AA"/>
    <w:rPr>
      <w:sz w:val="16"/>
      <w:szCs w:val="16"/>
    </w:rPr>
  </w:style>
  <w:style w:type="paragraph" w:styleId="CommentText">
    <w:name w:val="annotation text"/>
    <w:basedOn w:val="Normal"/>
    <w:link w:val="CommentTextChar"/>
    <w:uiPriority w:val="99"/>
    <w:unhideWhenUsed/>
    <w:rsid w:val="00FB08AA"/>
    <w:pPr>
      <w:spacing w:line="240" w:lineRule="auto"/>
    </w:pPr>
    <w:rPr>
      <w:sz w:val="20"/>
      <w:szCs w:val="20"/>
    </w:rPr>
  </w:style>
  <w:style w:type="character" w:customStyle="1" w:styleId="CommentTextChar">
    <w:name w:val="Comment Text Char"/>
    <w:basedOn w:val="DefaultParagraphFont"/>
    <w:link w:val="CommentText"/>
    <w:uiPriority w:val="99"/>
    <w:rsid w:val="00FB08AA"/>
    <w:rPr>
      <w:sz w:val="20"/>
      <w:szCs w:val="20"/>
    </w:rPr>
  </w:style>
  <w:style w:type="paragraph" w:styleId="CommentSubject">
    <w:name w:val="annotation subject"/>
    <w:basedOn w:val="CommentText"/>
    <w:next w:val="CommentText"/>
    <w:link w:val="CommentSubjectChar"/>
    <w:uiPriority w:val="99"/>
    <w:semiHidden/>
    <w:unhideWhenUsed/>
    <w:rsid w:val="00FB08AA"/>
    <w:rPr>
      <w:b/>
      <w:bCs/>
    </w:rPr>
  </w:style>
  <w:style w:type="character" w:customStyle="1" w:styleId="CommentSubjectChar">
    <w:name w:val="Comment Subject Char"/>
    <w:basedOn w:val="CommentTextChar"/>
    <w:link w:val="CommentSubject"/>
    <w:uiPriority w:val="99"/>
    <w:semiHidden/>
    <w:rsid w:val="00FB08AA"/>
    <w:rPr>
      <w:b/>
      <w:bCs/>
      <w:sz w:val="20"/>
      <w:szCs w:val="20"/>
    </w:rPr>
  </w:style>
  <w:style w:type="character" w:styleId="UnresolvedMention">
    <w:name w:val="Unresolved Mention"/>
    <w:basedOn w:val="DefaultParagraphFont"/>
    <w:uiPriority w:val="99"/>
    <w:semiHidden/>
    <w:unhideWhenUsed/>
    <w:rsid w:val="00CC2599"/>
    <w:rPr>
      <w:color w:val="605E5C"/>
      <w:shd w:val="clear" w:color="auto" w:fill="E1DFDD"/>
    </w:rPr>
  </w:style>
  <w:style w:type="paragraph" w:styleId="Revision">
    <w:name w:val="Revision"/>
    <w:hidden/>
    <w:uiPriority w:val="99"/>
    <w:semiHidden/>
    <w:rsid w:val="008A4E3F"/>
    <w:pPr>
      <w:spacing w:after="0" w:line="240" w:lineRule="auto"/>
    </w:pPr>
  </w:style>
  <w:style w:type="character" w:customStyle="1" w:styleId="cf01">
    <w:name w:val="cf01"/>
    <w:basedOn w:val="DefaultParagraphFont"/>
    <w:rsid w:val="00995BE9"/>
    <w:rPr>
      <w:rFonts w:ascii="Segoe UI" w:hAnsi="Segoe UI" w:cs="Segoe UI" w:hint="default"/>
      <w:sz w:val="18"/>
      <w:szCs w:val="18"/>
    </w:rPr>
  </w:style>
  <w:style w:type="paragraph" w:styleId="Header">
    <w:name w:val="header"/>
    <w:basedOn w:val="Normal"/>
    <w:link w:val="HeaderChar"/>
    <w:uiPriority w:val="99"/>
    <w:unhideWhenUsed/>
    <w:rsid w:val="00E262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62ED"/>
  </w:style>
  <w:style w:type="paragraph" w:styleId="Footer">
    <w:name w:val="footer"/>
    <w:basedOn w:val="Normal"/>
    <w:link w:val="FooterChar"/>
    <w:uiPriority w:val="99"/>
    <w:unhideWhenUsed/>
    <w:rsid w:val="00E262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62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microsoft.com/office/2020/10/relationships/intelligence" Target="intelligence2.xml"/><Relationship Id="rId10" Type="http://schemas.openxmlformats.org/officeDocument/2006/relationships/hyperlink" Target="https://www.gov.uk/government/publications/understanding-occupational-health-provision-2023-24/understanding-occupational-health-provision-2023-24"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3b4706bc-8651-4fec-9d18-a501d4ffec9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1DF61AD25C4E4459F5A3B171A2411A4" ma:contentTypeVersion="4" ma:contentTypeDescription="Create a new document." ma:contentTypeScope="" ma:versionID="1f4f9c0995f84eda4622aceefd4bc88a">
  <xsd:schema xmlns:xsd="http://www.w3.org/2001/XMLSchema" xmlns:xs="http://www.w3.org/2001/XMLSchema" xmlns:p="http://schemas.microsoft.com/office/2006/metadata/properties" xmlns:ns2="3b4706bc-8651-4fec-9d18-a501d4ffec92" targetNamespace="http://schemas.microsoft.com/office/2006/metadata/properties" ma:root="true" ma:fieldsID="300fb0e7785840d94f187e57baebfa15" ns2:_="">
    <xsd:import namespace="3b4706bc-8651-4fec-9d18-a501d4ffec9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4706bc-8651-4fec-9d18-a501d4ffec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comments" ma:index="11" nillable="true" ma:displayName="comments" ma:format="Dropdown" ma:internalName="comment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F71152E-642F-435C-9110-209BF28BE2D8}">
  <ds:schemaRefs>
    <ds:schemaRef ds:uri="http://schemas.microsoft.com/sharepoint/v3/contenttype/forms"/>
  </ds:schemaRefs>
</ds:datastoreItem>
</file>

<file path=customXml/itemProps2.xml><?xml version="1.0" encoding="utf-8"?>
<ds:datastoreItem xmlns:ds="http://schemas.openxmlformats.org/officeDocument/2006/customXml" ds:itemID="{5AB382C3-0E39-46E6-B780-3DD7B77FE1AF}">
  <ds:schemaRefs>
    <ds:schemaRef ds:uri="http://schemas.microsoft.com/office/2006/metadata/properties"/>
    <ds:schemaRef ds:uri="http://schemas.microsoft.com/office/infopath/2007/PartnerControls"/>
    <ds:schemaRef ds:uri="3b4706bc-8651-4fec-9d18-a501d4ffec92"/>
  </ds:schemaRefs>
</ds:datastoreItem>
</file>

<file path=customXml/itemProps3.xml><?xml version="1.0" encoding="utf-8"?>
<ds:datastoreItem xmlns:ds="http://schemas.openxmlformats.org/officeDocument/2006/customXml" ds:itemID="{3AA42EE2-8121-4C14-BD48-CD2C97F9B9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4706bc-8651-4fec-9d18-a501d4ffec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df3522f-8c42-44b0-bea3-7f162a60ea50}" enabled="1" method="Standard" siteId="{63982aff-fb6c-4c22-973b-70e4acfb63e6}" removed="0"/>
</clbl:labelList>
</file>

<file path=docProps/app.xml><?xml version="1.0" encoding="utf-8"?>
<Properties xmlns="http://schemas.openxmlformats.org/officeDocument/2006/extended-properties" xmlns:vt="http://schemas.openxmlformats.org/officeDocument/2006/docPropsVTypes">
  <Template>Normal</Template>
  <TotalTime>3</TotalTime>
  <Pages>6</Pages>
  <Words>1344</Words>
  <Characters>8643</Characters>
  <Application>Microsoft Office Word</Application>
  <DocSecurity>0</DocSecurity>
  <Lines>201</Lines>
  <Paragraphs>144</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9843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Janet O'Neill</cp:lastModifiedBy>
  <cp:revision>2</cp:revision>
  <cp:lastPrinted>2026-03-20T14:21:00Z</cp:lastPrinted>
  <dcterms:created xsi:type="dcterms:W3CDTF">2026-04-14T08:51:00Z</dcterms:created>
  <dcterms:modified xsi:type="dcterms:W3CDTF">2026-04-14T08:51:00Z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0x01010081DF61AD25C4E4459F5A3B171A2411A4</vt:lpwstr>
  </property>
  <property fmtid="{D5CDD505-2E9C-101B-9397-08002B2CF9AE}" pid="3" name="docLang">
    <vt:lpwstr>en</vt:lpwstr>
  </property>
</Properties>
</file>