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8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0.png" ContentType="image/png"/>
  <Override PartName="/word/media/rId22.png" ContentType="image/png"/>
  <Override PartName="/word/media/rId155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59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N. Адресация IPv4 и IPv6.Двойной стек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9"/>
    <w:bookmarkStart w:id="17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154" w:name="Xaa98339a1bc9a01348fb7b4bcd912a06bb3c57d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Compact"/>
        <w:numPr>
          <w:ilvl w:val="0"/>
          <w:numId w:val="1001"/>
        </w:numPr>
      </w:pPr>
      <w:r>
        <w:t xml:space="preserve">Запустите GNS3 VM и GNS3. Создайте новый проект.</w:t>
      </w:r>
    </w:p>
    <w:p>
      <w:pPr>
        <w:pStyle w:val="Compact"/>
        <w:numPr>
          <w:ilvl w:val="0"/>
          <w:numId w:val="1001"/>
        </w:numPr>
      </w:pPr>
      <w:r>
        <w:t xml:space="preserve">В рабочем пространстве разместите и соедините устройства в соответствии с топологией, приведённой на рис. 4.1.</w:t>
      </w:r>
    </w:p>
    <w:p>
      <w:pPr>
        <w:pStyle w:val="Compact"/>
        <w:numPr>
          <w:ilvl w:val="0"/>
          <w:numId w:val="1001"/>
        </w:numPr>
      </w:pPr>
      <w:r>
        <w:t xml:space="preserve">Измените отображаемые названия устройств.</w:t>
      </w:r>
    </w:p>
    <w:bookmarkStart w:id="13" w:name="fig:001"/>
    <w:p>
      <w:pPr>
        <w:pStyle w:val="CaptionedFigure"/>
      </w:pPr>
      <w:r>
        <w:drawing>
          <wp:inline>
            <wp:extent cx="3200400" cy="2761488"/>
            <wp:effectExtent b="0" l="0" r="0" t="0"/>
            <wp:docPr descr="Рис. 1: сборка топологии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6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сборка топологии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Включите захват трафика на соединении между сервером двойного стека адресации и ближайшим к нему коммутатором.</w:t>
      </w:r>
    </w:p>
    <w:bookmarkStart w:id="17" w:name="fig:002"/>
    <w:p>
      <w:pPr>
        <w:pStyle w:val="CaptionedFigure"/>
      </w:pPr>
      <w:r>
        <w:drawing>
          <wp:inline>
            <wp:extent cx="3200400" cy="2808695"/>
            <wp:effectExtent b="0" l="0" r="0" t="0"/>
            <wp:docPr descr="Рис. 2: включение захвата трафика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0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включение захвата трафика</w:t>
      </w:r>
    </w:p>
    <w:bookmarkEnd w:id="17"/>
    <w:p>
      <w:pPr>
        <w:pStyle w:val="BodyText"/>
      </w:pPr>
      <w:r>
        <w:t xml:space="preserve">После включения появляется значок лупы:</w:t>
      </w:r>
    </w:p>
    <w:bookmarkStart w:id="21" w:name="fig:003"/>
    <w:p>
      <w:pPr>
        <w:pStyle w:val="CaptionedFigure"/>
      </w:pPr>
      <w:r>
        <w:drawing>
          <wp:inline>
            <wp:extent cx="3200400" cy="2866528"/>
            <wp:effectExtent b="0" l="0" r="0" t="0"/>
            <wp:docPr descr="Рис. 3: включение захвата трафика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6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включение захвата трафика</w:t>
      </w:r>
    </w:p>
    <w:bookmarkEnd w:id="21"/>
    <w:p>
      <w:pPr>
        <w:pStyle w:val="Compact"/>
        <w:numPr>
          <w:ilvl w:val="0"/>
          <w:numId w:val="1003"/>
        </w:numPr>
      </w:pPr>
      <w:r>
        <w:t xml:space="preserve">Настройте IPv4-адресацию для интерфейсов узлов PC1, PC2, Server. Посмотрите на PC1 и PC2 конфигурацию IPv4 и IPv6.</w:t>
      </w:r>
    </w:p>
    <w:p>
      <w:pPr>
        <w:pStyle w:val="Compact"/>
        <w:numPr>
          <w:ilvl w:val="0"/>
          <w:numId w:val="1004"/>
        </w:numPr>
      </w:pPr>
      <w:r>
        <w:t xml:space="preserve">PC1:</w:t>
      </w:r>
    </w:p>
    <w:bookmarkStart w:id="25" w:name="fig:004"/>
    <w:p>
      <w:pPr>
        <w:pStyle w:val="CaptionedFigure"/>
      </w:pPr>
      <w:r>
        <w:drawing>
          <wp:inline>
            <wp:extent cx="3200400" cy="3205134"/>
            <wp:effectExtent b="0" l="0" r="0" t="0"/>
            <wp:docPr descr="Рис. 4: открытие консоли PC1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5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открытие консоли PC1</w:t>
      </w:r>
    </w:p>
    <w:bookmarkEnd w:id="25"/>
    <w:bookmarkStart w:id="29" w:name="fig:005"/>
    <w:p>
      <w:pPr>
        <w:pStyle w:val="CaptionedFigure"/>
      </w:pPr>
      <w:r>
        <w:drawing>
          <wp:inline>
            <wp:extent cx="3200400" cy="2200614"/>
            <wp:effectExtent b="0" l="0" r="0" t="0"/>
            <wp:docPr descr="Рис. 5: настройка IPv4, проверка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0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IPv4, проверка</w:t>
      </w:r>
    </w:p>
    <w:bookmarkEnd w:id="29"/>
    <w:bookmarkStart w:id="33" w:name="fig:006"/>
    <w:p>
      <w:pPr>
        <w:pStyle w:val="CaptionedFigure"/>
      </w:pPr>
      <w:r>
        <w:drawing>
          <wp:inline>
            <wp:extent cx="3200400" cy="1705639"/>
            <wp:effectExtent b="0" l="0" r="0" t="0"/>
            <wp:docPr descr="Рис. 6: просмотр IPv6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05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IPv6</w:t>
      </w:r>
    </w:p>
    <w:bookmarkEnd w:id="33"/>
    <w:p>
      <w:pPr>
        <w:pStyle w:val="Compact"/>
        <w:numPr>
          <w:ilvl w:val="0"/>
          <w:numId w:val="1005"/>
        </w:numPr>
      </w:pPr>
      <w:r>
        <w:t xml:space="preserve">PC2:</w:t>
      </w:r>
    </w:p>
    <w:bookmarkStart w:id="37" w:name="fig:007"/>
    <w:p>
      <w:pPr>
        <w:pStyle w:val="CaptionedFigure"/>
      </w:pPr>
      <w:r>
        <w:drawing>
          <wp:inline>
            <wp:extent cx="3200400" cy="4079122"/>
            <wp:effectExtent b="0" l="0" r="0" t="0"/>
            <wp:docPr descr="Рис. 7: открытие консоли PC2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7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открытие консоли PC2</w:t>
      </w:r>
    </w:p>
    <w:bookmarkEnd w:id="37"/>
    <w:bookmarkStart w:id="41" w:name="fig:008"/>
    <w:p>
      <w:pPr>
        <w:pStyle w:val="CaptionedFigure"/>
      </w:pPr>
      <w:r>
        <w:drawing>
          <wp:inline>
            <wp:extent cx="3200400" cy="1995371"/>
            <wp:effectExtent b="0" l="0" r="0" t="0"/>
            <wp:docPr descr="Рис. 8: настройка IPv4, проверка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95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IPv4, проверка</w:t>
      </w:r>
    </w:p>
    <w:bookmarkEnd w:id="41"/>
    <w:bookmarkStart w:id="45" w:name="fig:009"/>
    <w:p>
      <w:pPr>
        <w:pStyle w:val="CaptionedFigure"/>
      </w:pPr>
      <w:r>
        <w:drawing>
          <wp:inline>
            <wp:extent cx="3200400" cy="1685082"/>
            <wp:effectExtent b="0" l="0" r="0" t="0"/>
            <wp:docPr descr="Рис. 9: просмотр IPv6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8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IPv6</w:t>
      </w:r>
    </w:p>
    <w:bookmarkEnd w:id="45"/>
    <w:p>
      <w:pPr>
        <w:pStyle w:val="Compact"/>
        <w:numPr>
          <w:ilvl w:val="0"/>
          <w:numId w:val="1006"/>
        </w:numPr>
      </w:pPr>
      <w:r>
        <w:t xml:space="preserve">Server:</w:t>
      </w:r>
    </w:p>
    <w:bookmarkStart w:id="49" w:name="fig:010"/>
    <w:p>
      <w:pPr>
        <w:pStyle w:val="CaptionedFigure"/>
      </w:pPr>
      <w:r>
        <w:drawing>
          <wp:inline>
            <wp:extent cx="3200400" cy="2898475"/>
            <wp:effectExtent b="0" l="0" r="0" t="0"/>
            <wp:docPr descr="Рис. 10: открытие консоли Server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98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открытие консоли Server</w:t>
      </w:r>
    </w:p>
    <w:bookmarkEnd w:id="49"/>
    <w:bookmarkStart w:id="53" w:name="fig:011"/>
    <w:p>
      <w:pPr>
        <w:pStyle w:val="CaptionedFigure"/>
      </w:pPr>
      <w:r>
        <w:drawing>
          <wp:inline>
            <wp:extent cx="3200400" cy="3157809"/>
            <wp:effectExtent b="0" l="0" r="0" t="0"/>
            <wp:docPr descr="Рис. 11: настройка IPv4, проверка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57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IPv4, проверка</w:t>
      </w:r>
    </w:p>
    <w:bookmarkEnd w:id="53"/>
    <w:p>
      <w:pPr>
        <w:pStyle w:val="Compact"/>
        <w:numPr>
          <w:ilvl w:val="0"/>
          <w:numId w:val="1007"/>
        </w:numPr>
      </w:pPr>
      <w:r>
        <w:t xml:space="preserve">Настройте IPv4-адресацию для интерфейсов локальной сети маршрутизатора FRR msk-user-gw-01.</w:t>
      </w:r>
    </w:p>
    <w:bookmarkStart w:id="57" w:name="fig:012"/>
    <w:p>
      <w:pPr>
        <w:pStyle w:val="CaptionedFigure"/>
      </w:pPr>
      <w:r>
        <w:drawing>
          <wp:inline>
            <wp:extent cx="3200400" cy="3713405"/>
            <wp:effectExtent b="0" l="0" r="0" t="0"/>
            <wp:docPr descr="Рис. 12: открытие консоли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713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открытие консоли</w:t>
      </w:r>
    </w:p>
    <w:bookmarkEnd w:id="57"/>
    <w:bookmarkStart w:id="61" w:name="fig:013"/>
    <w:p>
      <w:pPr>
        <w:pStyle w:val="CaptionedFigure"/>
      </w:pPr>
      <w:r>
        <w:drawing>
          <wp:inline>
            <wp:extent cx="3200400" cy="1074221"/>
            <wp:effectExtent b="0" l="0" r="0" t="0"/>
            <wp:docPr descr="Рис. 13: переименование устройства и сохранение конфигурации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74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переименование устройства и сохранение конфигурации</w:t>
      </w:r>
    </w:p>
    <w:bookmarkEnd w:id="61"/>
    <w:bookmarkStart w:id="65" w:name="fig:014"/>
    <w:p>
      <w:pPr>
        <w:pStyle w:val="CaptionedFigure"/>
      </w:pPr>
      <w:r>
        <w:drawing>
          <wp:inline>
            <wp:extent cx="3200400" cy="647102"/>
            <wp:effectExtent b="0" l="0" r="0" t="0"/>
            <wp:docPr descr="Рис. 14: настройка IPv4-адресации на интерфейсе eth0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7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IPv4-адресации на интерфейсе eth0</w:t>
      </w:r>
    </w:p>
    <w:bookmarkEnd w:id="65"/>
    <w:bookmarkStart w:id="69" w:name="fig:015"/>
    <w:p>
      <w:pPr>
        <w:pStyle w:val="CaptionedFigure"/>
      </w:pPr>
      <w:r>
        <w:drawing>
          <wp:inline>
            <wp:extent cx="3200400" cy="542440"/>
            <wp:effectExtent b="0" l="0" r="0" t="0"/>
            <wp:docPr descr="Рис. 15: настройка IPv4-адресации на интерфейсе eth1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IPv4-адресации на интерфейсе eth1</w:t>
      </w:r>
    </w:p>
    <w:bookmarkEnd w:id="69"/>
    <w:bookmarkStart w:id="73" w:name="fig:016"/>
    <w:p>
      <w:pPr>
        <w:pStyle w:val="CaptionedFigure"/>
      </w:pPr>
      <w:r>
        <w:drawing>
          <wp:inline>
            <wp:extent cx="3200400" cy="1158586"/>
            <wp:effectExtent b="0" l="0" r="0" t="0"/>
            <wp:docPr descr="Рис. 16: настройка IPv4-адресации на интерфейсе eth2 и итоговое сохранение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58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IPv4-адресации на интерфейсе eth2 и итоговое сохранение</w:t>
      </w:r>
    </w:p>
    <w:bookmarkEnd w:id="73"/>
    <w:p>
      <w:pPr>
        <w:pStyle w:val="Compact"/>
        <w:numPr>
          <w:ilvl w:val="0"/>
          <w:numId w:val="1008"/>
        </w:numPr>
      </w:pPr>
      <w:r>
        <w:t xml:space="preserve">Проверьте конфигурацию маршрутизатора и настройки IPv4-адресации.</w:t>
      </w:r>
    </w:p>
    <w:bookmarkStart w:id="77" w:name="fig:017"/>
    <w:p>
      <w:pPr>
        <w:pStyle w:val="CaptionedFigure"/>
      </w:pPr>
      <w:r>
        <w:drawing>
          <wp:inline>
            <wp:extent cx="3200400" cy="3558339"/>
            <wp:effectExtent b="0" l="0" r="0" t="0"/>
            <wp:docPr descr="Рис. 17: проверка конфигурации маршрутизатора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58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конфигурации маршрутизатора</w:t>
      </w:r>
    </w:p>
    <w:bookmarkEnd w:id="77"/>
    <w:bookmarkStart w:id="81" w:name="fig:018"/>
    <w:p>
      <w:pPr>
        <w:pStyle w:val="CaptionedFigure"/>
      </w:pPr>
      <w:r>
        <w:drawing>
          <wp:inline>
            <wp:extent cx="3200400" cy="1665514"/>
            <wp:effectExtent b="0" l="0" r="0" t="0"/>
            <wp:docPr descr="Рис. 18: проверка настроек IPv4-адресации" title="" id="79" name="Picture"/>
            <a:graphic>
              <a:graphicData uri="http://schemas.openxmlformats.org/drawingml/2006/picture">
                <pic:pic>
                  <pic:nvPicPr>
                    <pic:cNvPr descr="image/18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6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настроек IPv4-адресации</w:t>
      </w:r>
    </w:p>
    <w:bookmarkEnd w:id="81"/>
    <w:p>
      <w:pPr>
        <w:pStyle w:val="Compact"/>
        <w:numPr>
          <w:ilvl w:val="0"/>
          <w:numId w:val="1009"/>
        </w:numPr>
      </w:pPr>
      <w:r>
        <w:t xml:space="preserve">Проверьте подключение с помощью команд ping и trace. Узлы PC1 и PC2 должны успешно отправлять эхо-запросы друг другу и на сервер с двойным стеком (Dual Stack Server).</w:t>
      </w:r>
    </w:p>
    <w:bookmarkStart w:id="85" w:name="fig:019"/>
    <w:p>
      <w:pPr>
        <w:pStyle w:val="CaptionedFigure"/>
      </w:pPr>
      <w:r>
        <w:drawing>
          <wp:inline>
            <wp:extent cx="3200400" cy="1192305"/>
            <wp:effectExtent b="0" l="0" r="0" t="0"/>
            <wp:docPr descr="Рис. 19: ICMP-запросы PC1 &gt; PC2, UDP-пакеты PC1 &gt; PC2 (через шлюз 172.16.20.1)" title="" id="83" name="Picture"/>
            <a:graphic>
              <a:graphicData uri="http://schemas.openxmlformats.org/drawingml/2006/picture">
                <pic:pic>
                  <pic:nvPicPr>
                    <pic:cNvPr descr="image/1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9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ICMP-запросы PC1 &gt; PC2, UDP-пакеты PC1 &gt; PC2 (через шлюз 172.16.20.1)</w:t>
      </w:r>
    </w:p>
    <w:bookmarkEnd w:id="85"/>
    <w:bookmarkStart w:id="89" w:name="fig:020"/>
    <w:p>
      <w:pPr>
        <w:pStyle w:val="CaptionedFigure"/>
      </w:pPr>
      <w:r>
        <w:drawing>
          <wp:inline>
            <wp:extent cx="3200400" cy="1121911"/>
            <wp:effectExtent b="0" l="0" r="0" t="0"/>
            <wp:docPr descr="Рис. 20: ICMP-запросы PC1 &gt; Server, UDP-пакеты PC1 &gt; Server (через шлюз 172.16.20.1)" title="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21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ICMP-запросы PC1 &gt; Server, UDP-пакеты PC1 &gt; Server (через шлюз 172.16.20.1)</w:t>
      </w:r>
    </w:p>
    <w:bookmarkEnd w:id="89"/>
    <w:bookmarkStart w:id="93" w:name="fig:021"/>
    <w:p>
      <w:pPr>
        <w:pStyle w:val="CaptionedFigure"/>
      </w:pPr>
      <w:r>
        <w:drawing>
          <wp:inline>
            <wp:extent cx="3200400" cy="1762245"/>
            <wp:effectExtent b="0" l="0" r="0" t="0"/>
            <wp:docPr descr="Рис. 21: ICMP-запросы PC2 &gt; PC1, ICMP-запросы PC2 &gt; Server (через шлюз 172.16.20.129)" title="" id="91" name="Picture"/>
            <a:graphic>
              <a:graphicData uri="http://schemas.openxmlformats.org/drawingml/2006/picture">
                <pic:pic>
                  <pic:nvPicPr>
                    <pic:cNvPr descr="image/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62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ICMP-запросы PC2 &gt; PC1, ICMP-запросы PC2 &gt; Server (через шлюз 172.16.20.129)</w:t>
      </w:r>
    </w:p>
    <w:bookmarkEnd w:id="93"/>
    <w:p>
      <w:pPr>
        <w:pStyle w:val="Compact"/>
        <w:numPr>
          <w:ilvl w:val="0"/>
          <w:numId w:val="1010"/>
        </w:numPr>
      </w:pPr>
      <w:r>
        <w:t xml:space="preserve">Настройте IPv6-адресацию для интерфейсов узлов PC3, PC4, Server.</w:t>
      </w:r>
    </w:p>
    <w:p>
      <w:pPr>
        <w:pStyle w:val="Compact"/>
        <w:numPr>
          <w:ilvl w:val="0"/>
          <w:numId w:val="1010"/>
        </w:numPr>
      </w:pPr>
      <w:r>
        <w:t xml:space="preserve">Посмотрите на PC3 и PC4 конфигурацию IPv4 и IPv6.</w:t>
      </w:r>
    </w:p>
    <w:p>
      <w:pPr>
        <w:pStyle w:val="FirstParagraph"/>
      </w:pPr>
      <w:r>
        <w:t xml:space="preserve">– PC3:</w:t>
      </w:r>
    </w:p>
    <w:bookmarkStart w:id="97" w:name="fig:022"/>
    <w:p>
      <w:pPr>
        <w:pStyle w:val="CaptionedFigure"/>
      </w:pPr>
      <w:r>
        <w:drawing>
          <wp:inline>
            <wp:extent cx="3200400" cy="3282299"/>
            <wp:effectExtent b="0" l="0" r="0" t="0"/>
            <wp:docPr descr="Рис. 22: настройка IPv6-адресации, проверка" title="" id="95" name="Picture"/>
            <a:graphic>
              <a:graphicData uri="http://schemas.openxmlformats.org/drawingml/2006/picture">
                <pic:pic>
                  <pic:nvPicPr>
                    <pic:cNvPr descr="image/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82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IPv6-адресации, проверка</w:t>
      </w:r>
    </w:p>
    <w:bookmarkEnd w:id="97"/>
    <w:p>
      <w:pPr>
        <w:pStyle w:val="BodyText"/>
      </w:pPr>
      <w:r>
        <w:t xml:space="preserve">– PC4:</w:t>
      </w:r>
    </w:p>
    <w:bookmarkStart w:id="101" w:name="fig:023"/>
    <w:p>
      <w:pPr>
        <w:pStyle w:val="CaptionedFigure"/>
      </w:pPr>
      <w:r>
        <w:drawing>
          <wp:inline>
            <wp:extent cx="3200400" cy="3320573"/>
            <wp:effectExtent b="0" l="0" r="0" t="0"/>
            <wp:docPr descr="Рис. 23: настройка IPv6-адресации, проверка" title="" id="99" name="Picture"/>
            <a:graphic>
              <a:graphicData uri="http://schemas.openxmlformats.org/drawingml/2006/picture">
                <pic:pic>
                  <pic:nvPicPr>
                    <pic:cNvPr descr="image/23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20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IPv6-адресации, проверка</w:t>
      </w:r>
    </w:p>
    <w:bookmarkEnd w:id="101"/>
    <w:p>
      <w:pPr>
        <w:pStyle w:val="BodyText"/>
      </w:pPr>
      <w:r>
        <w:t xml:space="preserve">– Server:</w:t>
      </w:r>
    </w:p>
    <w:bookmarkStart w:id="105" w:name="fig:024"/>
    <w:p>
      <w:pPr>
        <w:pStyle w:val="CaptionedFigure"/>
      </w:pPr>
      <w:r>
        <w:drawing>
          <wp:inline>
            <wp:extent cx="3200400" cy="3335086"/>
            <wp:effectExtent b="0" l="0" r="0" t="0"/>
            <wp:docPr descr="Рис. 24: настройка IPv6-адресации, проверка" title="" id="103" name="Picture"/>
            <a:graphic>
              <a:graphicData uri="http://schemas.openxmlformats.org/drawingml/2006/picture">
                <pic:pic>
                  <pic:nvPicPr>
                    <pic:cNvPr descr="image/24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IPv6-адресации, проверка</w:t>
      </w:r>
    </w:p>
    <w:bookmarkEnd w:id="105"/>
    <w:p>
      <w:pPr>
        <w:pStyle w:val="Compact"/>
        <w:numPr>
          <w:ilvl w:val="0"/>
          <w:numId w:val="1011"/>
        </w:numPr>
      </w:pPr>
      <w:r>
        <w:t xml:space="preserve">Настройте IPv6-адресацию для интерфейсов локальной сети маршрутизатора VyOS msk-user-gw-02.</w:t>
      </w:r>
    </w:p>
    <w:p>
      <w:pPr>
        <w:pStyle w:val="Compact"/>
        <w:numPr>
          <w:ilvl w:val="0"/>
          <w:numId w:val="1012"/>
        </w:numPr>
      </w:pPr>
      <w:r>
        <w:t xml:space="preserve">Перейдите в режим конфигурирования, измените имя устройства и удалите указание на назначение ip-адреса по dhcp для интерфейса eth0:</w:t>
      </w:r>
    </w:p>
    <w:bookmarkStart w:id="109" w:name="fig:025"/>
    <w:p>
      <w:pPr>
        <w:pStyle w:val="CaptionedFigure"/>
      </w:pPr>
      <w:r>
        <w:drawing>
          <wp:inline>
            <wp:extent cx="3200400" cy="2915049"/>
            <wp:effectExtent b="0" l="0" r="0" t="0"/>
            <wp:docPr descr="Рис. 25: настройка IPv6-адресации для интерфейсов сети VyOS" title="" id="107" name="Picture"/>
            <a:graphic>
              <a:graphicData uri="http://schemas.openxmlformats.org/drawingml/2006/picture">
                <pic:pic>
                  <pic:nvPicPr>
                    <pic:cNvPr descr="image/25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1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настройка IPv6-адресации для интерфейсов сети VyOS</w:t>
      </w:r>
    </w:p>
    <w:bookmarkEnd w:id="109"/>
    <w:p>
      <w:pPr>
        <w:pStyle w:val="Compact"/>
        <w:numPr>
          <w:ilvl w:val="0"/>
          <w:numId w:val="1013"/>
        </w:numPr>
      </w:pPr>
      <w:r>
        <w:t xml:space="preserve">Назначьте IPv6-адреса маршрутизатору msk-user-gw-02:</w:t>
      </w:r>
    </w:p>
    <w:bookmarkStart w:id="113" w:name="fig:026"/>
    <w:p>
      <w:pPr>
        <w:pStyle w:val="CaptionedFigure"/>
      </w:pPr>
      <w:r>
        <w:drawing>
          <wp:inline>
            <wp:extent cx="3200400" cy="1592375"/>
            <wp:effectExtent b="0" l="0" r="0" t="0"/>
            <wp:docPr descr="Рис. 26: настройка IPv6-адресации для интерфейсов сети VyOS" title="" id="111" name="Picture"/>
            <a:graphic>
              <a:graphicData uri="http://schemas.openxmlformats.org/drawingml/2006/picture">
                <pic:pic>
                  <pic:nvPicPr>
                    <pic:cNvPr descr="image/26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9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IPv6-адресации для интерфейсов сети VyOS</w:t>
      </w:r>
    </w:p>
    <w:bookmarkEnd w:id="113"/>
    <w:bookmarkStart w:id="117" w:name="fig:027"/>
    <w:p>
      <w:pPr>
        <w:pStyle w:val="CaptionedFigure"/>
      </w:pPr>
      <w:r>
        <w:drawing>
          <wp:inline>
            <wp:extent cx="3200400" cy="3575154"/>
            <wp:effectExtent b="0" l="0" r="0" t="0"/>
            <wp:docPr descr="Рис. 27: настройка IPv6-адресации для интерфейсов сети VyOS" title="" id="115" name="Picture"/>
            <a:graphic>
              <a:graphicData uri="http://schemas.openxmlformats.org/drawingml/2006/picture">
                <pic:pic>
                  <pic:nvPicPr>
                    <pic:cNvPr descr="image/27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7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IPv6-адресации для интерфейсов сети VyOS</w:t>
      </w:r>
    </w:p>
    <w:bookmarkEnd w:id="117"/>
    <w:bookmarkStart w:id="121" w:name="fig:028"/>
    <w:p>
      <w:pPr>
        <w:pStyle w:val="CaptionedFigure"/>
      </w:pPr>
      <w:r>
        <w:drawing>
          <wp:inline>
            <wp:extent cx="3200400" cy="1554996"/>
            <wp:effectExtent b="0" l="0" r="0" t="0"/>
            <wp:docPr descr="Рис. 28: настройка IPv6-адресации для интерфейсов сети VyOS" title="" id="119" name="Picture"/>
            <a:graphic>
              <a:graphicData uri="http://schemas.openxmlformats.org/drawingml/2006/picture">
                <pic:pic>
                  <pic:nvPicPr>
                    <pic:cNvPr descr="image/28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5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настройка IPv6-адресации для интерфейсов сети VyOS</w:t>
      </w:r>
    </w:p>
    <w:bookmarkEnd w:id="121"/>
    <w:p>
      <w:pPr>
        <w:pStyle w:val="Compact"/>
        <w:numPr>
          <w:ilvl w:val="0"/>
          <w:numId w:val="1014"/>
        </w:numPr>
      </w:pPr>
      <w:r>
        <w:t xml:space="preserve">Проверьте подключение с помощью команд ping и trace. Узлы PC3 и PC4 должны успешно отправлять эхо-запросы друг другу и на сервер с двойным стеком (Dual Stack Server).</w:t>
      </w:r>
    </w:p>
    <w:bookmarkStart w:id="125" w:name="fig:029"/>
    <w:p>
      <w:pPr>
        <w:pStyle w:val="CaptionedFigure"/>
      </w:pPr>
      <w:r>
        <w:drawing>
          <wp:inline>
            <wp:extent cx="3200400" cy="1934863"/>
            <wp:effectExtent b="0" l="0" r="0" t="0"/>
            <wp:docPr descr="Рис. 29: CMPv6-запросы PC3 &gt; PC3, ICMPv6-запросы PC3 &gt; Server" title="" id="123" name="Picture"/>
            <a:graphic>
              <a:graphicData uri="http://schemas.openxmlformats.org/drawingml/2006/picture">
                <pic:pic>
                  <pic:nvPicPr>
                    <pic:cNvPr descr="image/29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3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CMPv6-запросы PC3 &gt; PC3, ICMPv6-запросы PC3 &gt; Server</w:t>
      </w:r>
    </w:p>
    <w:bookmarkEnd w:id="125"/>
    <w:bookmarkStart w:id="129" w:name="fig:030"/>
    <w:p>
      <w:pPr>
        <w:pStyle w:val="CaptionedFigure"/>
      </w:pPr>
      <w:r>
        <w:drawing>
          <wp:inline>
            <wp:extent cx="3200400" cy="1461293"/>
            <wp:effectExtent b="0" l="0" r="0" t="0"/>
            <wp:docPr descr="Рис. 30: UDP-пакеты PC3 &gt; PC4, UDP-пакеты PC3 &gt; Server (через шлюз 2001:db8:c0de:12::1)" title="" id="127" name="Picture"/>
            <a:graphic>
              <a:graphicData uri="http://schemas.openxmlformats.org/drawingml/2006/picture">
                <pic:pic>
                  <pic:nvPicPr>
                    <pic:cNvPr descr="image/30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461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UDP-пакеты PC3 &gt; PC4, UDP-пакеты PC3 &gt; Server (через шлюз 2001:db8:c0de:12::1)</w:t>
      </w:r>
    </w:p>
    <w:bookmarkEnd w:id="129"/>
    <w:bookmarkStart w:id="133" w:name="fig:031"/>
    <w:p>
      <w:pPr>
        <w:pStyle w:val="CaptionedFigure"/>
      </w:pPr>
      <w:r>
        <w:drawing>
          <wp:inline>
            <wp:extent cx="3200400" cy="1954226"/>
            <wp:effectExtent b="0" l="0" r="0" t="0"/>
            <wp:docPr descr="Рис. 31: ICMPv6-запросы PC4 &gt; PC4, ICMPv6-запросы PC4 &gt; Server" title="" id="131" name="Picture"/>
            <a:graphic>
              <a:graphicData uri="http://schemas.openxmlformats.org/drawingml/2006/picture">
                <pic:pic>
                  <pic:nvPicPr>
                    <pic:cNvPr descr="image/3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54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ICMPv6-запросы PC4 &gt; PC4, ICMPv6-запросы PC4 &gt; Server</w:t>
      </w:r>
    </w:p>
    <w:bookmarkEnd w:id="133"/>
    <w:p>
      <w:pPr>
        <w:pStyle w:val="Compact"/>
        <w:numPr>
          <w:ilvl w:val="0"/>
          <w:numId w:val="1015"/>
        </w:numPr>
      </w:pPr>
      <w:r>
        <w:t xml:space="preserve">Убедитесь,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подсетей.</w:t>
      </w:r>
    </w:p>
    <w:bookmarkStart w:id="137" w:name="fig:033"/>
    <w:p>
      <w:pPr>
        <w:pStyle w:val="CaptionedFigure"/>
      </w:pPr>
      <w:r>
        <w:drawing>
          <wp:inline>
            <wp:extent cx="3200400" cy="910205"/>
            <wp:effectExtent b="0" l="0" r="0" t="0"/>
            <wp:docPr descr="Рис. 32: PC4 &gt; PC3" title="" id="135" name="Picture"/>
            <a:graphic>
              <a:graphicData uri="http://schemas.openxmlformats.org/drawingml/2006/picture">
                <pic:pic>
                  <pic:nvPicPr>
                    <pic:cNvPr descr="image/3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0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PC4 &gt; PC3</w:t>
      </w:r>
    </w:p>
    <w:bookmarkEnd w:id="137"/>
    <w:bookmarkStart w:id="141" w:name="fig:034"/>
    <w:p>
      <w:pPr>
        <w:pStyle w:val="CaptionedFigure"/>
      </w:pPr>
      <w:r>
        <w:drawing>
          <wp:inline>
            <wp:extent cx="3200400" cy="749508"/>
            <wp:effectExtent b="0" l="0" r="0" t="0"/>
            <wp:docPr descr="Рис. 33: PC4 &gt; PC2" title="" id="139" name="Picture"/>
            <a:graphic>
              <a:graphicData uri="http://schemas.openxmlformats.org/drawingml/2006/picture">
                <pic:pic>
                  <pic:nvPicPr>
                    <pic:cNvPr descr="image/3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49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PC4 &gt; PC2</w:t>
      </w:r>
    </w:p>
    <w:bookmarkEnd w:id="141"/>
    <w:p>
      <w:pPr>
        <w:pStyle w:val="Compact"/>
        <w:numPr>
          <w:ilvl w:val="0"/>
          <w:numId w:val="1016"/>
        </w:numPr>
      </w:pPr>
      <w:r>
        <w:t xml:space="preserve">Посмотрите захваченный на соединении сервера двойного стека адресации с коммутатором трафик ARP, ICMP, ICMPv6.</w:t>
      </w:r>
    </w:p>
    <w:p>
      <w:pPr>
        <w:pStyle w:val="Compact"/>
        <w:numPr>
          <w:ilvl w:val="0"/>
          <w:numId w:val="1017"/>
        </w:numPr>
      </w:pPr>
      <w:r>
        <w:t xml:space="preserve">ARP: Сервер объявляет свой MAC-адрес (Gratuitous ARP) и узнает MAC-адрес шлюза для передачи IPv4-трафика.</w:t>
      </w:r>
    </w:p>
    <w:bookmarkStart w:id="145" w:name="fig:037"/>
    <w:p>
      <w:pPr>
        <w:pStyle w:val="CaptionedFigure"/>
      </w:pPr>
      <w:r>
        <w:drawing>
          <wp:inline>
            <wp:extent cx="3200400" cy="1269963"/>
            <wp:effectExtent b="0" l="0" r="0" t="0"/>
            <wp:docPr descr="Рис. 34: ARP-запросы" title="" id="143" name="Picture"/>
            <a:graphic>
              <a:graphicData uri="http://schemas.openxmlformats.org/drawingml/2006/picture">
                <pic:pic>
                  <pic:nvPicPr>
                    <pic:cNvPr descr="image/37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9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ARP-запросы</w:t>
      </w:r>
    </w:p>
    <w:bookmarkEnd w:id="145"/>
    <w:p>
      <w:pPr>
        <w:pStyle w:val="Compact"/>
        <w:numPr>
          <w:ilvl w:val="0"/>
          <w:numId w:val="1018"/>
        </w:numPr>
      </w:pPr>
      <w:r>
        <w:t xml:space="preserve">ICMP: Успешный ping (Echo request/reply) между сервером и ПК, подтверждающий маршрутизацию.</w:t>
      </w:r>
    </w:p>
    <w:bookmarkStart w:id="149" w:name="fig:038"/>
    <w:p>
      <w:pPr>
        <w:pStyle w:val="CaptionedFigure"/>
      </w:pPr>
      <w:r>
        <w:drawing>
          <wp:inline>
            <wp:extent cx="3200400" cy="1379242"/>
            <wp:effectExtent b="0" l="0" r="0" t="0"/>
            <wp:docPr descr="Рис. 35: ICMP-запросы" title="" id="147" name="Picture"/>
            <a:graphic>
              <a:graphicData uri="http://schemas.openxmlformats.org/drawingml/2006/picture">
                <pic:pic>
                  <pic:nvPicPr>
                    <pic:cNvPr descr="image/38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7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ICMP-запросы</w:t>
      </w:r>
    </w:p>
    <w:bookmarkEnd w:id="149"/>
    <w:p>
      <w:pPr>
        <w:pStyle w:val="Compact"/>
        <w:numPr>
          <w:ilvl w:val="0"/>
          <w:numId w:val="1019"/>
        </w:numPr>
      </w:pPr>
      <w:r>
        <w:t xml:space="preserve">ICMPv6: Сервер запрашивает шлюз (Router Solicitation) и настраивает multicast-группы.</w:t>
      </w:r>
    </w:p>
    <w:bookmarkStart w:id="153" w:name="fig:039"/>
    <w:p>
      <w:pPr>
        <w:pStyle w:val="CaptionedFigure"/>
      </w:pPr>
      <w:r>
        <w:drawing>
          <wp:inline>
            <wp:extent cx="3200400" cy="1350564"/>
            <wp:effectExtent b="0" l="0" r="0" t="0"/>
            <wp:docPr descr="Рис. 36: ICMPv6-запросы" title="" id="151" name="Picture"/>
            <a:graphic>
              <a:graphicData uri="http://schemas.openxmlformats.org/drawingml/2006/picture">
                <pic:pic>
                  <pic:nvPicPr>
                    <pic:cNvPr descr="image/39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50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ICMPv6-запросы</w:t>
      </w:r>
    </w:p>
    <w:bookmarkEnd w:id="153"/>
    <w:bookmarkEnd w:id="154"/>
    <w:bookmarkStart w:id="175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Задание для самостоятельного выполнения</w:t>
      </w:r>
    </w:p>
    <w:p>
      <w:pPr>
        <w:pStyle w:val="Compact"/>
        <w:numPr>
          <w:ilvl w:val="0"/>
          <w:numId w:val="1020"/>
        </w:numPr>
      </w:pPr>
      <w:r>
        <w:t xml:space="preserve">Охарактеризовать подсети, указать, какие адреса в них входят.</w:t>
      </w:r>
    </w:p>
    <w:p>
      <w:pPr>
        <w:pStyle w:val="FirstParagraph"/>
      </w:pPr>
      <w:r>
        <w:t xml:space="preserve">Даны две пары подсетей для IPv4 и IPv6.</w:t>
      </w:r>
      <w:r>
        <w:br/>
      </w:r>
      <w:r>
        <w:t xml:space="preserve">Для первой выделены 10.10.1.96/27 и 2001:DB8:1:1::/64.</w:t>
      </w:r>
      <w:r>
        <w:br/>
      </w:r>
      <w:r>
        <w:t xml:space="preserve">Для второй выделены 10.10.1.16/28 и 2001:DB8:1:4::/64.</w:t>
      </w:r>
    </w:p>
    <w:p>
      <w:pPr>
        <w:pStyle w:val="BodyText"/>
      </w:pPr>
      <w:r>
        <w:t xml:space="preserve">Характеристики первой подсети (IPv4):</w:t>
      </w:r>
      <w:r>
        <w:br/>
      </w:r>
      <w:r>
        <w:t xml:space="preserve">- Префикс: 27</w:t>
      </w:r>
      <w:r>
        <w:br/>
      </w:r>
      <w:r>
        <w:t xml:space="preserve">- Маска: 255.255.255.224 (в двоичном виде: 11111111.11111111.11111111.11100000).</w:t>
      </w:r>
      <w:r>
        <w:br/>
      </w:r>
      <w:r>
        <w:t xml:space="preserve">- Шаг сети: 32 (2^5 = 32 адреса в блоке).</w:t>
      </w:r>
      <w:r>
        <w:br/>
      </w:r>
      <w:r>
        <w:t xml:space="preserve">- Адрес сети: 10.10.1.96</w:t>
      </w:r>
      <w:r>
        <w:br/>
      </w:r>
      <w:r>
        <w:t xml:space="preserve">- Broadcast: 10.10.1.127</w:t>
      </w:r>
      <w:r>
        <w:br/>
      </w:r>
      <w:r>
        <w:t xml:space="preserve">- Диапазон узлов: 10.10.1.97 – 10.10.1.126 (всего 30 узлов).</w:t>
      </w:r>
    </w:p>
    <w:p>
      <w:pPr>
        <w:pStyle w:val="BodyText"/>
      </w:pPr>
      <w:r>
        <w:t xml:space="preserve">Характеристики второй подсети (IPv4):</w:t>
      </w:r>
      <w:r>
        <w:br/>
      </w:r>
      <w:r>
        <w:t xml:space="preserve">- Префикс: 28</w:t>
      </w:r>
      <w:r>
        <w:br/>
      </w:r>
      <w:r>
        <w:t xml:space="preserve">- Маска: 255.255.255.240 (в двоичном виде: 11111111.11111111.11111111.11110000).</w:t>
      </w:r>
      <w:r>
        <w:br/>
      </w:r>
      <w:r>
        <w:t xml:space="preserve">- Шаг сети: 16 (2^4 = 16 адресов в блоке).</w:t>
      </w:r>
      <w:r>
        <w:br/>
      </w:r>
      <w:r>
        <w:t xml:space="preserve">- Адрес сети: 10.10.1.16</w:t>
      </w:r>
      <w:r>
        <w:br/>
      </w:r>
      <w:r>
        <w:t xml:space="preserve">- Broadcast-адрес: 10.10.1.31</w:t>
      </w:r>
      <w:r>
        <w:br/>
      </w:r>
      <w:r>
        <w:t xml:space="preserve">- Диапазон узлов: 10.10.1.17 – 10.10.1.30 (всего 14 узлов).</w:t>
      </w:r>
    </w:p>
    <w:p>
      <w:pPr>
        <w:pStyle w:val="BodyText"/>
      </w:pPr>
      <w:r>
        <w:t xml:space="preserve">IPv6-подсети:</w:t>
      </w:r>
      <w:r>
        <w:br/>
      </w:r>
      <w:r>
        <w:t xml:space="preserve">- Для первой подсети выделена сеть 2001:DB8:1:1::/64.</w:t>
      </w:r>
      <w:r>
        <w:br/>
      </w:r>
      <w:r>
        <w:t xml:space="preserve">- Для второй подсети выделена сеть 2001:DB8:1:4::/64.</w:t>
      </w:r>
      <w:r>
        <w:br/>
      </w:r>
      <w:r>
        <w:t xml:space="preserve">- В IPv6 нет широковещательных адресов, поэтому адреса раздаются начиная с ::1 и заканчиваются ::ffff:ffff:ffff:ffff.</w:t>
      </w:r>
    </w:p>
    <w:p>
      <w:pPr>
        <w:pStyle w:val="Compact"/>
        <w:numPr>
          <w:ilvl w:val="0"/>
          <w:numId w:val="1021"/>
        </w:numPr>
      </w:pPr>
      <w:r>
        <w:t xml:space="preserve">Предложить вариант таблицы адресации для заданной топологии и адресного пространства, причём для интерфейсов маршрутизатора выбрать наименьший адрес в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PC1-aaglushenok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10.10.1.98/27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PC1-aaglushenok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PC2-aaglushenok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10.10.1.18/28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PC2-aaglushenok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2001:DB8:1:4::2/64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msk-aaglushenok-gw-01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msk-aaglushenok-gw-01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2001:DB8:1:1::1/64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msk-aaglushenok-gw-01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msk-aaglushenok-gw-01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2001:DB8:1:4::1/64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Настроить IP-адресацию на маршрутизаторе VyOS и оконечных устройствах, причём на интерфейсах маршрутизатора установить наименьший адрес в подсети.</w:t>
      </w:r>
    </w:p>
    <w:bookmarkStart w:id="158" w:name="fig:040"/>
    <w:p>
      <w:pPr>
        <w:pStyle w:val="CaptionedFigure"/>
      </w:pPr>
      <w:r>
        <w:drawing>
          <wp:inline>
            <wp:extent cx="3200400" cy="1564540"/>
            <wp:effectExtent b="0" l="0" r="0" t="0"/>
            <wp:docPr descr="Рис. 37: сборка топологии" title="" id="156" name="Picture"/>
            <a:graphic>
              <a:graphicData uri="http://schemas.openxmlformats.org/drawingml/2006/picture">
                <pic:pic>
                  <pic:nvPicPr>
                    <pic:cNvPr descr="image/40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6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сборка топологии</w:t>
      </w:r>
    </w:p>
    <w:bookmarkEnd w:id="158"/>
    <w:bookmarkStart w:id="162" w:name="fig:044"/>
    <w:p>
      <w:pPr>
        <w:pStyle w:val="CaptionedFigure"/>
      </w:pPr>
      <w:r>
        <w:drawing>
          <wp:inline>
            <wp:extent cx="3200400" cy="1199035"/>
            <wp:effectExtent b="0" l="0" r="0" t="0"/>
            <wp:docPr descr="Рис. 38: результат настройки IP-адресации" title="" id="160" name="Picture"/>
            <a:graphic>
              <a:graphicData uri="http://schemas.openxmlformats.org/drawingml/2006/picture">
                <pic:pic>
                  <pic:nvPicPr>
                    <pic:cNvPr descr="image/44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99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результат настройки IP-адресации</w:t>
      </w:r>
    </w:p>
    <w:bookmarkEnd w:id="162"/>
    <w:p>
      <w:pPr>
        <w:pStyle w:val="Compact"/>
        <w:numPr>
          <w:ilvl w:val="0"/>
          <w:numId w:val="1023"/>
        </w:numPr>
      </w:pPr>
      <w:r>
        <w:t xml:space="preserve">Проверить подключение между устройствами подсети с помощью команд ping и trace.</w:t>
      </w:r>
    </w:p>
    <w:bookmarkStart w:id="166" w:name="fig:041"/>
    <w:p>
      <w:pPr>
        <w:pStyle w:val="CaptionedFigure"/>
      </w:pPr>
      <w:r>
        <w:drawing>
          <wp:inline>
            <wp:extent cx="3200400" cy="1784223"/>
            <wp:effectExtent b="0" l="0" r="0" t="0"/>
            <wp:docPr descr="Рис. 39: проверка связности узлов PC1, PC2, шлюза" title="" id="164" name="Picture"/>
            <a:graphic>
              <a:graphicData uri="http://schemas.openxmlformats.org/drawingml/2006/picture">
                <pic:pic>
                  <pic:nvPicPr>
                    <pic:cNvPr descr="image/41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8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проверка связности узлов PC1, PC2, шлюза</w:t>
      </w:r>
    </w:p>
    <w:bookmarkEnd w:id="166"/>
    <w:bookmarkStart w:id="170" w:name="fig:042"/>
    <w:p>
      <w:pPr>
        <w:pStyle w:val="CaptionedFigure"/>
      </w:pPr>
      <w:r>
        <w:drawing>
          <wp:inline>
            <wp:extent cx="3200400" cy="2774468"/>
            <wp:effectExtent b="0" l="0" r="0" t="0"/>
            <wp:docPr descr="Рис. 40: проверка связности узлов PC1, PC2, шлюза" title="" id="168" name="Picture"/>
            <a:graphic>
              <a:graphicData uri="http://schemas.openxmlformats.org/drawingml/2006/picture">
                <pic:pic>
                  <pic:nvPicPr>
                    <pic:cNvPr descr="image/42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7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проверка связности узлов PC1, PC2, шлюза</w:t>
      </w:r>
    </w:p>
    <w:bookmarkEnd w:id="170"/>
    <w:bookmarkStart w:id="174" w:name="fig:043"/>
    <w:p>
      <w:pPr>
        <w:pStyle w:val="CaptionedFigure"/>
      </w:pPr>
      <w:r>
        <w:drawing>
          <wp:inline>
            <wp:extent cx="3200400" cy="1779685"/>
            <wp:effectExtent b="0" l="0" r="0" t="0"/>
            <wp:docPr descr="Рис. 41: проверка связности узлов PC1, PC2, шлюза" title="" id="172" name="Picture"/>
            <a:graphic>
              <a:graphicData uri="http://schemas.openxmlformats.org/drawingml/2006/picture">
                <pic:pic>
                  <pic:nvPicPr>
                    <pic:cNvPr descr="image/43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79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проверка связности узлов PC1, PC2, шлюза</w:t>
      </w:r>
    </w:p>
    <w:bookmarkEnd w:id="174"/>
    <w:bookmarkEnd w:id="175"/>
    <w:bookmarkEnd w:id="176"/>
    <w:bookmarkStart w:id="17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4 мне удалось изучить принципов распределения и настройки адресного пространства на устройствах сети.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1"/>
  </w:num>
  <w:num w:numId="1013">
    <w:abstractNumId w:val="991"/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8" Target="media/rId18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0" Target="media/rId150.png" /><Relationship Type="http://schemas.openxmlformats.org/officeDocument/2006/relationships/image" Id="rId22" Target="media/rId22.png" /><Relationship Type="http://schemas.openxmlformats.org/officeDocument/2006/relationships/image" Id="rId155" Target="media/rId155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59" Target="media/rId15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N. Адресация IPv4 и IPv6.Двойной стек</dc:title>
  <dc:creator>Анна Александровна Глушенок</dc:creator>
  <dc:language>ru-RU</dc:language>
  <cp:keywords/>
  <dcterms:created xsi:type="dcterms:W3CDTF">2026-10-24T17:02:36Z</dcterms:created>
  <dcterms:modified xsi:type="dcterms:W3CDTF">2026-10-24T17:02:36Z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