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F11" w:rsidRPr="00277EBD" w:rsidRDefault="005F6F11" w:rsidP="005F6F11">
      <w:pPr>
        <w:spacing w:before="375" w:after="225" w:line="360" w:lineRule="atLeast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  <w:t>Servicios</w:t>
      </w:r>
    </w:p>
    <w:p w:rsidR="005F6F11" w:rsidRPr="00277EBD" w:rsidRDefault="005F6F11" w:rsidP="005F6F11">
      <w:pPr>
        <w:spacing w:before="375" w:after="225" w:line="360" w:lineRule="atLeast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  <w:t>Servicios</w:t>
      </w:r>
    </w:p>
    <w:p w:rsidR="006F0EA2" w:rsidRDefault="005F6F11" w:rsidP="00E0162E">
      <w:pPr>
        <w:spacing w:before="225" w:after="0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Contamos con una amplia gama de servicios profesionales, los que </w:t>
      </w:r>
      <w:r w:rsidR="00A72585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presentamos en los siguientes </w:t>
      </w:r>
      <w:r w:rsidR="00433309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>ejes</w:t>
      </w:r>
      <w:r w:rsidR="00A60122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 </w:t>
      </w:r>
      <w:r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>fundamentales: </w:t>
      </w:r>
      <w:r w:rsidR="00A72585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 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Auditoría</w:t>
      </w:r>
      <w:r w:rsidR="006F0EA2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s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, </w:t>
      </w:r>
      <w:r w:rsidR="006F0EA2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Asesorías y </w:t>
      </w:r>
      <w:r w:rsidR="007B1E85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T</w:t>
      </w:r>
      <w:r w:rsidR="006F0EA2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ercerización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, tanto en asistencia presencial como </w:t>
      </w:r>
      <w:r w:rsidR="00277EBD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también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o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utsourcing</w:t>
      </w:r>
      <w:r w:rsidR="00A60122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.  </w:t>
      </w:r>
      <w:r w:rsidR="00277EBD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Además,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 </w:t>
      </w:r>
      <w:r w:rsidR="00A60122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c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apacitación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en diversos temas de gestión, con lo que esperamos proporcionar un servicio integral </w:t>
      </w:r>
      <w:r w:rsidR="00433309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y cercano a las necesidades de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nuestros clientes.</w:t>
      </w:r>
    </w:p>
    <w:p w:rsidR="00E0162E" w:rsidRPr="00277EBD" w:rsidRDefault="00E0162E" w:rsidP="00E0162E">
      <w:pPr>
        <w:spacing w:before="225" w:after="0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</w:pPr>
    </w:p>
    <w:p w:rsidR="006F0EA2" w:rsidRPr="006F0EA2" w:rsidRDefault="00E0162E" w:rsidP="006F0EA2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 w:rsidRPr="006F0EA2">
        <w:rPr>
          <w:rFonts w:ascii="Century Gothic" w:hAnsi="Century Gothic"/>
          <w:b/>
          <w:bCs/>
          <w:sz w:val="28"/>
          <w:szCs w:val="28"/>
          <w:lang w:val="es-ES_tradnl"/>
        </w:rPr>
        <w:t>Auditoria</w:t>
      </w:r>
      <w:r>
        <w:rPr>
          <w:rFonts w:ascii="Century Gothic" w:hAnsi="Century Gothic"/>
          <w:b/>
          <w:bCs/>
          <w:sz w:val="28"/>
          <w:szCs w:val="28"/>
          <w:lang w:val="es-ES_tradnl"/>
        </w:rPr>
        <w:t>s</w:t>
      </w:r>
    </w:p>
    <w:p w:rsidR="006F0EA2" w:rsidRPr="006F0EA2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6F0EA2">
        <w:rPr>
          <w:rFonts w:ascii="Century Gothic" w:hAnsi="Century Gothic"/>
          <w:b/>
          <w:bCs/>
          <w:sz w:val="28"/>
          <w:szCs w:val="28"/>
          <w:lang w:val="es-ES_tradnl"/>
        </w:rPr>
        <w:t xml:space="preserve">De Estados Financieros </w:t>
      </w:r>
      <w:r w:rsidR="006F0EA2" w:rsidRPr="006F0EA2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6F0EA2" w:rsidRPr="000D4F47" w:rsidRDefault="006F0EA2" w:rsidP="006F0EA2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Contamos con una amplia experiencia y reconocido prestigio en el desarrollo de auditorías a los estados financieros, lo que nos da la tranquilidad de ofrecer un servicio que asegura la excelencia. </w:t>
      </w:r>
    </w:p>
    <w:p w:rsidR="006F0EA2" w:rsidRPr="0022556E" w:rsidRDefault="006F0EA2" w:rsidP="006F0EA2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>Nuestra independencia profesional y diligencia en el actuar es una actitud que nos identifica, lo que queda de manifiesto al momento de realizar un ex</w:t>
      </w:r>
      <w:r>
        <w:rPr>
          <w:rFonts w:ascii="Century Gothic" w:hAnsi="Century Gothic" w:cs="Arial"/>
          <w:color w:val="000000" w:themeColor="text1"/>
          <w:lang w:val="es-ES_tradnl"/>
        </w:rPr>
        <w:t>a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>men y entregar los informes.</w:t>
      </w:r>
    </w:p>
    <w:p w:rsidR="006F0EA2" w:rsidRPr="0022556E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0D4F47">
        <w:rPr>
          <w:rFonts w:ascii="Century Gothic" w:hAnsi="Century Gothic"/>
          <w:b/>
          <w:bCs/>
          <w:sz w:val="28"/>
          <w:szCs w:val="28"/>
          <w:lang w:val="es-ES_tradnl"/>
        </w:rPr>
        <w:t>Interna</w:t>
      </w:r>
      <w:r w:rsidR="006F0EA2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F0EA2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6F0EA2" w:rsidRPr="000D4F47" w:rsidRDefault="006F0EA2" w:rsidP="006F0EA2">
      <w:pPr>
        <w:jc w:val="both"/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est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amos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capacitad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os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para desarrollar planes de auditoría interna, cuyo objetivo sea la revisión de los procesos internos y los controles administrativos de la entidad</w:t>
      </w:r>
      <w:r w:rsidR="009E6E08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, e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l 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que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se basa en aplicar procedimientos de auditoría, identificando los controles claves y verifica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r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la efectividad de éstos, luego trabajar para detectar las debilidades existentes en los procesos internos y dar cuenta de ellos a la alta administración, indicando las acciones que permitirán subsanar los hallazgos detectados.</w:t>
      </w:r>
    </w:p>
    <w:p w:rsidR="006F0EA2" w:rsidRPr="000D4F47" w:rsidRDefault="006F0EA2" w:rsidP="006F0EA2">
      <w:pPr>
        <w:jc w:val="both"/>
        <w:rPr>
          <w:rFonts w:ascii="Century Gothic" w:hAnsi="Century Gothic" w:cs="Arial"/>
          <w:color w:val="6E6E6E"/>
          <w:sz w:val="24"/>
          <w:szCs w:val="24"/>
          <w:shd w:val="clear" w:color="auto" w:fill="FCFCFC"/>
          <w:lang w:val="es-ES_tradnl"/>
        </w:rPr>
      </w:pPr>
    </w:p>
    <w:p w:rsidR="006F0EA2" w:rsidRPr="0022556E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0D4F47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Forense</w:t>
      </w:r>
      <w:r w:rsidR="006F0EA2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6F0EA2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E0162E" w:rsidRDefault="006F0EA2" w:rsidP="00E0162E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Corresponde a la realización de un examen crítico de las actividades, operaciones y hechos económicos, mediante la aplicación de 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lastRenderedPageBreak/>
        <w:t xml:space="preserve">procedimientos de auditoría, a través de los cuales se busca determinar la existencia de hechos ilícitos relacionados con el aprovechamiento ilegal de los bienes y recursos.  </w:t>
      </w:r>
      <w:r w:rsidR="00E0162E">
        <w:rPr>
          <w:rFonts w:ascii="Century Gothic" w:hAnsi="Century Gothic" w:cs="Arial"/>
          <w:color w:val="000000" w:themeColor="text1"/>
          <w:lang w:val="es-ES_tradnl"/>
        </w:rPr>
        <w:t xml:space="preserve">Incluye la Investigación de Fraudes e Irregularidades. </w:t>
      </w:r>
    </w:p>
    <w:p w:rsidR="006F0EA2" w:rsidRPr="00251BBD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Tributaria</w:t>
      </w:r>
      <w:r w:rsidR="006F0EA2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F0EA2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6F0EA2" w:rsidRPr="00CE00EB" w:rsidRDefault="006F0EA2" w:rsidP="006F0EA2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>
        <w:rPr>
          <w:rFonts w:ascii="Century Gothic" w:hAnsi="Century Gothic" w:cs="Arial"/>
          <w:color w:val="000000" w:themeColor="text1"/>
          <w:lang w:val="es-ES_tradnl"/>
        </w:rPr>
        <w:t>P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osee</w:t>
      </w:r>
      <w:r>
        <w:rPr>
          <w:rFonts w:ascii="Century Gothic" w:hAnsi="Century Gothic" w:cs="Arial"/>
          <w:color w:val="000000" w:themeColor="text1"/>
          <w:lang w:val="es-ES_tradnl"/>
        </w:rPr>
        <w:t>mos un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amplio conocimiento </w:t>
      </w:r>
      <w:r w:rsidR="006D2823">
        <w:rPr>
          <w:rFonts w:ascii="Century Gothic" w:hAnsi="Century Gothic" w:cs="Arial"/>
          <w:color w:val="000000" w:themeColor="text1"/>
          <w:lang w:val="es-ES_tradnl"/>
        </w:rPr>
        <w:t>d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e materias impositivas, de suyo complejas y en permanente modificación por parte de las autoridades, lo que lleva a nuestra organización a estar en permanente actualización en temas de conveniencia para nuestros clientes.  </w:t>
      </w:r>
    </w:p>
    <w:p w:rsidR="006F0EA2" w:rsidRDefault="006F0EA2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La dedicación al área tributaria, demanda una permanente atención a las regulaciones que dicta el SII para poder volcarla en beneficio de </w:t>
      </w:r>
      <w:r w:rsidR="006D2823">
        <w:rPr>
          <w:rFonts w:ascii="Century Gothic" w:hAnsi="Century Gothic" w:cs="Arial"/>
          <w:color w:val="000000" w:themeColor="text1"/>
          <w:lang w:val="es-ES_tradnl"/>
        </w:rPr>
        <w:t>nuestros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clientes, lo cual constituye la filosofía de trabajo “aprender para aplicar”.</w:t>
      </w:r>
    </w:p>
    <w:p w:rsidR="00726DC3" w:rsidRPr="00FB5DF0" w:rsidRDefault="00E0162E" w:rsidP="00726DC3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Gesti</w:t>
      </w: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ó</w:t>
      </w: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n P</w:t>
      </w: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ú</w:t>
      </w: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blica</w:t>
      </w:r>
      <w:r w:rsidR="00A64FAD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y Municipal</w:t>
      </w: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726DC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AD4273" w:rsidRDefault="00726DC3" w:rsidP="00A64FAD">
      <w:pPr>
        <w:pStyle w:val="NormalWeb"/>
        <w:shd w:val="clear" w:color="auto" w:fill="FCFCFC"/>
        <w:spacing w:before="225" w:beforeAutospacing="0" w:after="240" w:afterAutospacing="0" w:line="276" w:lineRule="auto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Nuestro servicio de auditoría en gestión pública tiene </w:t>
      </w:r>
      <w:r w:rsidR="00A64FAD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el propósito de </w:t>
      </w: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colaborar en la mejora sus operaciones y actividades, </w:t>
      </w:r>
      <w:r w:rsidR="00A64FAD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basado </w:t>
      </w: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en </w:t>
      </w:r>
      <w:r w:rsidR="00A64FAD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e</w:t>
      </w: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l desarrollo de hallazgos, formulación de conclusiones y presentación de recomendaciones</w:t>
      </w:r>
      <w:r w:rsidR="00A64FAD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.</w:t>
      </w: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 </w:t>
      </w:r>
      <w:r w:rsidR="00A64FAD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Incluye el examen de sus operaciones, de las dependencias y entidades de la Administración Pública, con la finalidad de opinar si los estados financieros presentan razonablemente la situación financiera, si los objetivos y metas han sido alcanzados como también si los recursos han sido administrados dentro del marco legal y de manera eficiente.</w:t>
      </w:r>
    </w:p>
    <w:p w:rsidR="00A64FAD" w:rsidRPr="00726DC3" w:rsidRDefault="00A64FAD" w:rsidP="00A64FAD">
      <w:pPr>
        <w:pStyle w:val="NormalWeb"/>
        <w:shd w:val="clear" w:color="auto" w:fill="FCFCFC"/>
        <w:spacing w:before="225" w:beforeAutospacing="0" w:after="240" w:afterAutospacing="0" w:line="276" w:lineRule="auto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</w:p>
    <w:p w:rsidR="006D2823" w:rsidRDefault="00E0162E" w:rsidP="006D2823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>
        <w:rPr>
          <w:rFonts w:ascii="Century Gothic" w:hAnsi="Century Gothic"/>
          <w:b/>
          <w:bCs/>
          <w:sz w:val="28"/>
          <w:szCs w:val="28"/>
          <w:lang w:val="es-ES_tradnl"/>
        </w:rPr>
        <w:t xml:space="preserve">Asesorías </w:t>
      </w:r>
    </w:p>
    <w:p w:rsidR="006D2823" w:rsidRDefault="006D2823" w:rsidP="006D2823">
      <w:pPr>
        <w:pStyle w:val="Prrafodelista"/>
        <w:rPr>
          <w:rFonts w:ascii="Century Gothic" w:hAnsi="Century Gothic"/>
          <w:b/>
          <w:bCs/>
          <w:sz w:val="28"/>
          <w:szCs w:val="28"/>
          <w:lang w:val="es-ES_tradnl"/>
        </w:rPr>
      </w:pPr>
    </w:p>
    <w:p w:rsidR="006D2823" w:rsidRPr="006D2823" w:rsidRDefault="00E0162E" w:rsidP="006D2823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>
        <w:rPr>
          <w:rFonts w:ascii="Century Gothic" w:hAnsi="Century Gothic"/>
          <w:b/>
          <w:bCs/>
          <w:sz w:val="28"/>
          <w:szCs w:val="28"/>
          <w:lang w:val="es-ES_tradnl"/>
        </w:rPr>
        <w:t>Asesoría Tributaria</w:t>
      </w:r>
    </w:p>
    <w:p w:rsidR="006D2823" w:rsidRPr="00251BBD" w:rsidRDefault="00E0162E" w:rsidP="006D2823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proofErr w:type="gramStart"/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Planificaci</w:t>
      </w:r>
      <w:r>
        <w:rPr>
          <w:rFonts w:ascii="Century Gothic" w:hAnsi="Century Gothic"/>
          <w:b/>
          <w:bCs/>
          <w:sz w:val="28"/>
          <w:szCs w:val="28"/>
          <w:lang w:val="es-ES_tradnl"/>
        </w:rPr>
        <w:t>ó</w:t>
      </w: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n</w:t>
      </w:r>
      <w:r w:rsidR="006D2823" w:rsidRPr="00CE00EB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</w:t>
      </w:r>
      <w:proofErr w:type="gramEnd"/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adicionar alguna foto ad hoc)</w:t>
      </w:r>
    </w:p>
    <w:p w:rsidR="00D313C4" w:rsidRDefault="006D2823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Nos esforzamos por entregar información actualizada a nuestros clientes en materias tributarias</w:t>
      </w:r>
      <w:r>
        <w:rPr>
          <w:rFonts w:ascii="Century Gothic" w:hAnsi="Century Gothic" w:cs="Arial"/>
          <w:color w:val="000000" w:themeColor="text1"/>
          <w:lang w:val="es-ES_tradnl"/>
        </w:rPr>
        <w:t>,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para que puedan efectuar sus planificaciones de tributos y obtener el más eficiente resultado de su gestión de negocios</w:t>
      </w:r>
      <w:r w:rsidR="00D313C4">
        <w:rPr>
          <w:rFonts w:ascii="Century Gothic" w:hAnsi="Century Gothic" w:cs="Arial"/>
          <w:color w:val="000000" w:themeColor="text1"/>
          <w:lang w:val="es-ES_tradnl"/>
        </w:rPr>
        <w:t xml:space="preserve">, para lo </w:t>
      </w:r>
      <w:proofErr w:type="gramStart"/>
      <w:r w:rsidR="00D313C4">
        <w:rPr>
          <w:rFonts w:ascii="Century Gothic" w:hAnsi="Century Gothic" w:cs="Arial"/>
          <w:color w:val="000000" w:themeColor="text1"/>
          <w:lang w:val="es-ES_tradnl"/>
        </w:rPr>
        <w:t>cual  ofrecemos</w:t>
      </w:r>
      <w:proofErr w:type="gramEnd"/>
      <w:r w:rsidR="00D313C4">
        <w:rPr>
          <w:rFonts w:ascii="Century Gothic" w:hAnsi="Century Gothic" w:cs="Arial"/>
          <w:color w:val="000000" w:themeColor="text1"/>
          <w:lang w:val="es-ES_tradnl"/>
        </w:rPr>
        <w:t xml:space="preserve"> un acucioso diagnóstico.</w:t>
      </w:r>
    </w:p>
    <w:p w:rsidR="00D313C4" w:rsidRDefault="00D313C4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6D2823" w:rsidRPr="00251BBD" w:rsidRDefault="00D313C4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>
        <w:rPr>
          <w:rFonts w:ascii="Century Gothic" w:hAnsi="Century Gothic" w:cs="Arial"/>
          <w:color w:val="000000" w:themeColor="text1"/>
          <w:lang w:val="es-ES_tradnl"/>
        </w:rPr>
        <w:lastRenderedPageBreak/>
        <w:t xml:space="preserve">  </w:t>
      </w:r>
    </w:p>
    <w:p w:rsidR="006D2823" w:rsidRPr="00251BBD" w:rsidRDefault="00E0162E" w:rsidP="006D2823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proofErr w:type="gramStart"/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Defensas</w:t>
      </w:r>
      <w:r w:rsidR="006D2823" w:rsidRPr="00CE00EB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</w:t>
      </w:r>
      <w:proofErr w:type="gramEnd"/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adicionar alguna foto ad hoc)</w:t>
      </w:r>
    </w:p>
    <w:p w:rsidR="006D2823" w:rsidRPr="00CE00EB" w:rsidRDefault="006D2823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>
        <w:rPr>
          <w:rFonts w:ascii="Century Gothic" w:hAnsi="Century Gothic" w:cs="Arial"/>
          <w:color w:val="000000" w:themeColor="text1"/>
          <w:lang w:val="es-ES_tradnl"/>
        </w:rPr>
        <w:t>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iempre orienta</w:t>
      </w:r>
      <w:r>
        <w:rPr>
          <w:rFonts w:ascii="Century Gothic" w:hAnsi="Century Gothic" w:cs="Arial"/>
          <w:color w:val="000000" w:themeColor="text1"/>
          <w:lang w:val="es-ES_tradnl"/>
        </w:rPr>
        <w:t>mos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 </w:t>
      </w:r>
      <w:r>
        <w:rPr>
          <w:rFonts w:ascii="Century Gothic" w:hAnsi="Century Gothic" w:cs="Arial"/>
          <w:color w:val="000000" w:themeColor="text1"/>
          <w:lang w:val="es-ES_tradnl"/>
        </w:rPr>
        <w:t>nuestro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s clientes, luego de un estudio pormenorizado y concienzudo</w:t>
      </w:r>
      <w:r w:rsidR="00726DC3">
        <w:rPr>
          <w:rFonts w:ascii="Century Gothic" w:hAnsi="Century Gothic" w:cs="Arial"/>
          <w:color w:val="000000" w:themeColor="text1"/>
          <w:lang w:val="es-ES_tradnl"/>
        </w:rPr>
        <w:t xml:space="preserve"> de la situación que se nos plantea,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 fin de realizar un análisis lo más amplio posible que busca ofrecer la solución que estimamos sea la de mayor utilidad, entre otras: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Apelación ante la aplicación de multas y recarga de intereses.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Preparar solicitudes de </w:t>
      </w:r>
      <w:r>
        <w:rPr>
          <w:rFonts w:ascii="Century Gothic" w:hAnsi="Century Gothic" w:cs="Arial"/>
          <w:color w:val="000000" w:themeColor="text1"/>
          <w:lang w:val="es-ES_tradnl"/>
        </w:rPr>
        <w:t>R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ebajas</w:t>
      </w:r>
      <w:r>
        <w:rPr>
          <w:rFonts w:ascii="Century Gothic" w:hAnsi="Century Gothic" w:cs="Arial"/>
          <w:color w:val="000000" w:themeColor="text1"/>
          <w:lang w:val="es-ES_tradnl"/>
        </w:rPr>
        <w:t xml:space="preserve"> y Convenios de Pagos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Acompañamiento y representación antes el S.I.I.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Confección o revisión de Declaraciones Juradas de Rentas.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Contabilidad permanente o temporal sea presencial y outsourcing.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Confección o revisión de Declaraciones Juradas de Rentas.</w:t>
      </w:r>
    </w:p>
    <w:p w:rsidR="006D2823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Confección de Balances y Declaraciones de Renta. </w:t>
      </w:r>
    </w:p>
    <w:p w:rsidR="006D2823" w:rsidRPr="000D4F47" w:rsidRDefault="006D2823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726DC3" w:rsidRDefault="007B1E85" w:rsidP="004E38F6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 w:rsidRPr="007B1E85">
        <w:rPr>
          <w:rFonts w:ascii="Century Gothic" w:hAnsi="Century Gothic"/>
          <w:b/>
          <w:bCs/>
          <w:sz w:val="28"/>
          <w:szCs w:val="28"/>
          <w:lang w:val="es-ES_tradnl"/>
        </w:rPr>
        <w:t>Tercerización</w:t>
      </w:r>
    </w:p>
    <w:p w:rsidR="007B1E85" w:rsidRPr="007B1E85" w:rsidRDefault="007B1E85" w:rsidP="007B1E85">
      <w:pPr>
        <w:pStyle w:val="Prrafodelista"/>
        <w:rPr>
          <w:rFonts w:ascii="Century Gothic" w:hAnsi="Century Gothic"/>
          <w:b/>
          <w:bCs/>
          <w:sz w:val="28"/>
          <w:szCs w:val="28"/>
          <w:lang w:val="es-ES_tradnl"/>
        </w:rPr>
      </w:pPr>
    </w:p>
    <w:p w:rsidR="00D313C4" w:rsidRPr="00AD4273" w:rsidRDefault="00D313C4" w:rsidP="00D313C4">
      <w:pPr>
        <w:pStyle w:val="Ttulo1"/>
        <w:shd w:val="clear" w:color="auto" w:fill="FFFFFF"/>
        <w:spacing w:before="0"/>
        <w:textAlignment w:val="baseline"/>
        <w:rPr>
          <w:rFonts w:ascii="Century Gothic" w:eastAsiaTheme="minorHAnsi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</w:pPr>
      <w:r>
        <w:rPr>
          <w:rFonts w:ascii="Century Gothic" w:eastAsiaTheme="minorHAnsi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Gestión de</w:t>
      </w:r>
      <w:r w:rsidRPr="00AD4273">
        <w:rPr>
          <w:rFonts w:ascii="Century Gothic" w:eastAsiaTheme="minorHAnsi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Inventarios</w:t>
      </w:r>
    </w:p>
    <w:p w:rsidR="00D313C4" w:rsidRPr="00AD4273" w:rsidRDefault="00D313C4" w:rsidP="00D313C4">
      <w:pPr>
        <w:pStyle w:val="NormalWeb"/>
        <w:shd w:val="clear" w:color="auto" w:fill="FCFCFC"/>
        <w:spacing w:before="225" w:beforeAutospacing="0" w:after="240" w:afterAutospacing="0" w:line="276" w:lineRule="auto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  <w:r w:rsidRPr="00AD4273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Nos encargamos de asesorar en todas las actividades relacionadas con la correcta administración y control de documentos, existencias de materias primas, productos terminados y activos fijos. Entre las actividades que</w:t>
      </w:r>
      <w:r w:rsidR="002D0A6C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 ofrecemos</w:t>
      </w:r>
      <w:r w:rsidRPr="00AD4273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 podemos mencionar:</w:t>
      </w:r>
    </w:p>
    <w:p w:rsidR="00D313C4" w:rsidRPr="002D0A6C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2D0A6C">
        <w:rPr>
          <w:rFonts w:ascii="Century Gothic" w:hAnsi="Century Gothic" w:cs="Arial"/>
          <w:color w:val="000000" w:themeColor="text1"/>
          <w:lang w:val="es-ES_tradnl"/>
        </w:rPr>
        <w:t>Planeamiento del Inventario Físico.</w:t>
      </w:r>
    </w:p>
    <w:p w:rsidR="00D313C4" w:rsidRPr="002D0A6C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2D0A6C">
        <w:rPr>
          <w:rFonts w:ascii="Century Gothic" w:hAnsi="Century Gothic" w:cs="Arial"/>
          <w:color w:val="000000" w:themeColor="text1"/>
          <w:lang w:val="es-ES_tradnl"/>
        </w:rPr>
        <w:t>Coordinación con las áreas involucradas.</w:t>
      </w:r>
    </w:p>
    <w:p w:rsidR="00D313C4" w:rsidRPr="002D0A6C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2D0A6C">
        <w:rPr>
          <w:rFonts w:ascii="Century Gothic" w:hAnsi="Century Gothic" w:cs="Arial"/>
          <w:color w:val="000000" w:themeColor="text1"/>
          <w:lang w:val="es-ES_tradnl"/>
        </w:rPr>
        <w:t>Conformación de equipos de supervisores, encargados de inventarios y conciliadores.</w:t>
      </w:r>
    </w:p>
    <w:p w:rsidR="00D313C4" w:rsidRPr="002D0A6C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2D0A6C">
        <w:rPr>
          <w:rFonts w:ascii="Century Gothic" w:hAnsi="Century Gothic" w:cs="Arial"/>
          <w:color w:val="000000" w:themeColor="text1"/>
          <w:lang w:val="es-ES_tradnl"/>
        </w:rPr>
        <w:t>Toma del inventario físico.</w:t>
      </w:r>
    </w:p>
    <w:p w:rsidR="00D313C4" w:rsidRPr="002D0A6C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2D0A6C">
        <w:rPr>
          <w:rFonts w:ascii="Century Gothic" w:hAnsi="Century Gothic" w:cs="Arial"/>
          <w:color w:val="000000" w:themeColor="text1"/>
          <w:lang w:val="es-ES_tradnl"/>
        </w:rPr>
        <w:t>Determinación y conciliación de diferencias físicas.</w:t>
      </w:r>
    </w:p>
    <w:p w:rsidR="00D313C4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2D0A6C">
        <w:rPr>
          <w:rFonts w:ascii="Century Gothic" w:hAnsi="Century Gothic" w:cs="Arial"/>
          <w:color w:val="000000" w:themeColor="text1"/>
          <w:lang w:val="es-ES_tradnl"/>
        </w:rPr>
        <w:t>Informe con el detalle del inventario físico conciliado con la cuenta de mayor correspondiente.</w:t>
      </w:r>
    </w:p>
    <w:p w:rsidR="002D0A6C" w:rsidRDefault="002D0A6C" w:rsidP="002D0A6C">
      <w:pPr>
        <w:pStyle w:val="NormalWeb"/>
        <w:shd w:val="clear" w:color="auto" w:fill="FCFCFC"/>
        <w:spacing w:before="0" w:beforeAutospacing="0" w:afterAutospacing="0" w:line="0" w:lineRule="atLeast"/>
        <w:ind w:left="714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2D0A6C" w:rsidRPr="002D0A6C" w:rsidRDefault="002D0A6C" w:rsidP="002D0A6C">
      <w:pPr>
        <w:pStyle w:val="NormalWeb"/>
        <w:shd w:val="clear" w:color="auto" w:fill="FCFCFC"/>
        <w:spacing w:before="0" w:beforeAutospacing="0" w:afterAutospacing="0" w:line="0" w:lineRule="atLeast"/>
        <w:ind w:left="714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726DC3" w:rsidRPr="00DC2D95" w:rsidRDefault="00E0162E" w:rsidP="00DC2D95">
      <w:pPr>
        <w:pStyle w:val="Ttulo1"/>
        <w:shd w:val="clear" w:color="auto" w:fill="FFFFFF"/>
        <w:spacing w:before="0"/>
        <w:textAlignment w:val="baseline"/>
        <w:rPr>
          <w:rFonts w:ascii="Century Gothic" w:eastAsiaTheme="minorHAnsi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</w:pPr>
      <w:r w:rsidRPr="00DC2D95">
        <w:rPr>
          <w:rFonts w:ascii="Century Gothic" w:eastAsiaTheme="minorHAnsi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lastRenderedPageBreak/>
        <w:t xml:space="preserve">Procesos Contables </w:t>
      </w:r>
      <w:r w:rsidR="00726DC3" w:rsidRPr="00DC2D95">
        <w:rPr>
          <w:rFonts w:ascii="Century Gothic" w:eastAsiaTheme="minorHAnsi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(adicionar alguna foto ad hoc)</w:t>
      </w:r>
    </w:p>
    <w:p w:rsidR="002D0A6C" w:rsidRDefault="002D0A6C" w:rsidP="002D0A6C">
      <w:pP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</w:p>
    <w:p w:rsidR="00D313C4" w:rsidRPr="002D0A6C" w:rsidRDefault="002D0A6C" w:rsidP="007B1E85">
      <w:pPr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P</w:t>
      </w:r>
      <w:r w:rsidRPr="00726DC3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onemos a disposición de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nuestros </w:t>
      </w:r>
      <w:r w:rsidRPr="00726DC3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clientes, con profesionales altamente capacitados, con una vasta experiencia que se focaliza en manejos contables, asesoría y acompañamiento contable, ofreciendo a la oportunidad y mejor información tal que el permitan tomas sus mejores decisiones, sean estas financieras, económicas, de inversión y/o de gasto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s</w:t>
      </w:r>
      <w:r w:rsidR="00DC2D95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. </w:t>
      </w:r>
      <w:r w:rsidR="00DC2D95" w:rsidRPr="002D0A6C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Nuestra oferta incluye, entre otras, las siguientes actividades:</w:t>
      </w:r>
    </w:p>
    <w:p w:rsidR="00DC2D95" w:rsidRPr="00D313C4" w:rsidRDefault="00DC2D95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D313C4">
        <w:rPr>
          <w:rFonts w:ascii="Century Gothic" w:hAnsi="Century Gothic" w:cs="Arial"/>
          <w:color w:val="000000" w:themeColor="text1"/>
          <w:lang w:val="es-ES_tradnl"/>
        </w:rPr>
        <w:t>Diseño de Plan de Cuentas.</w:t>
      </w:r>
    </w:p>
    <w:p w:rsidR="00D313C4" w:rsidRPr="00D313C4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D313C4">
        <w:rPr>
          <w:rFonts w:ascii="Century Gothic" w:hAnsi="Century Gothic" w:cs="Arial"/>
          <w:color w:val="000000" w:themeColor="text1"/>
          <w:lang w:val="es-ES_tradnl"/>
        </w:rPr>
        <w:t>Imputación de Transacciones y Mantención de Registros Contables.</w:t>
      </w:r>
    </w:p>
    <w:p w:rsidR="00D313C4" w:rsidRPr="00D313C4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D313C4">
        <w:rPr>
          <w:rFonts w:ascii="Century Gothic" w:hAnsi="Century Gothic" w:cs="Arial"/>
          <w:color w:val="000000" w:themeColor="text1"/>
          <w:lang w:val="es-ES_tradnl"/>
        </w:rPr>
        <w:t>Supervisión de Departamentos de Contabilidad.</w:t>
      </w:r>
    </w:p>
    <w:p w:rsidR="00E0162E" w:rsidRDefault="00D313C4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  <w:r w:rsidRPr="00D313C4">
        <w:rPr>
          <w:rFonts w:ascii="Century Gothic" w:hAnsi="Century Gothic" w:cs="Arial"/>
          <w:color w:val="000000" w:themeColor="text1"/>
          <w:lang w:val="es-ES_tradnl"/>
        </w:rPr>
        <w:t>Consultoría y cumplimiento tributario permanente</w:t>
      </w:r>
      <w:r w:rsidRPr="00D313C4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.</w:t>
      </w:r>
    </w:p>
    <w:p w:rsidR="002D0A6C" w:rsidRPr="002D0A6C" w:rsidRDefault="002D0A6C" w:rsidP="002D0A6C">
      <w:pPr>
        <w:pStyle w:val="NormalWeb"/>
        <w:shd w:val="clear" w:color="auto" w:fill="FCFCFC"/>
        <w:spacing w:before="0" w:beforeAutospacing="0" w:afterAutospacing="0" w:line="0" w:lineRule="atLeast"/>
        <w:ind w:left="714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</w:p>
    <w:p w:rsidR="00B637D1" w:rsidRDefault="004E08E1" w:rsidP="006D2823">
      <w:p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 xml:space="preserve">Procesos de </w:t>
      </w:r>
      <w:r w:rsidR="00E0162E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>Remuneraciones</w:t>
      </w:r>
    </w:p>
    <w:p w:rsidR="002D0A6C" w:rsidRDefault="002D0A6C" w:rsidP="006D2823">
      <w:p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</w:pPr>
    </w:p>
    <w:p w:rsidR="00B637D1" w:rsidRPr="002D0A6C" w:rsidRDefault="00B637D1" w:rsidP="007B1E85">
      <w:pPr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2D0A6C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Ofrecemos los beneficios de delegar en nosotros la gestión de sus procesos laborales, desde la administración del Rol Privado </w:t>
      </w:r>
      <w:r w:rsidR="00E0162E" w:rsidRPr="002D0A6C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como también el proceso masivo de Remuneraciones, pudiendo llegar </w:t>
      </w:r>
      <w:r w:rsidRPr="002D0A6C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hasta la tramitación de las licencias médicas de su personal</w:t>
      </w:r>
      <w:r w:rsidR="00E0162E" w:rsidRPr="002D0A6C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, se de</w:t>
      </w:r>
      <w:r w:rsidR="002D0A6C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s</w:t>
      </w:r>
      <w:r w:rsidR="00E0162E" w:rsidRPr="002D0A6C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tacan entre otros procesos:</w:t>
      </w:r>
    </w:p>
    <w:p w:rsidR="006D2823" w:rsidRPr="00BA23B2" w:rsidRDefault="006D2823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BA23B2">
        <w:rPr>
          <w:rFonts w:ascii="Century Gothic" w:hAnsi="Century Gothic" w:cs="Arial"/>
          <w:color w:val="000000" w:themeColor="text1"/>
          <w:lang w:val="es-ES_tradnl"/>
        </w:rPr>
        <w:t>Cálculo y pago de remuneraciones.</w:t>
      </w:r>
    </w:p>
    <w:p w:rsidR="006D2823" w:rsidRPr="00BA23B2" w:rsidRDefault="006D2823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BA23B2">
        <w:rPr>
          <w:rFonts w:ascii="Century Gothic" w:hAnsi="Century Gothic" w:cs="Arial"/>
          <w:color w:val="000000" w:themeColor="text1"/>
          <w:lang w:val="es-ES_tradnl"/>
        </w:rPr>
        <w:t>Cumplimiento de leyes sociales.</w:t>
      </w:r>
    </w:p>
    <w:p w:rsidR="006D2823" w:rsidRPr="00BA23B2" w:rsidRDefault="006D2823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BA23B2">
        <w:rPr>
          <w:rFonts w:ascii="Century Gothic" w:hAnsi="Century Gothic" w:cs="Arial"/>
          <w:color w:val="000000" w:themeColor="text1"/>
          <w:lang w:val="es-ES_tradnl"/>
        </w:rPr>
        <w:t>Emisión del Libro de Remuneraciones.</w:t>
      </w:r>
    </w:p>
    <w:p w:rsidR="006D2823" w:rsidRPr="00BA23B2" w:rsidRDefault="006D2823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BA23B2">
        <w:rPr>
          <w:rFonts w:ascii="Century Gothic" w:hAnsi="Century Gothic" w:cs="Arial"/>
          <w:color w:val="000000" w:themeColor="text1"/>
          <w:lang w:val="es-ES_tradnl"/>
        </w:rPr>
        <w:t>Declaraciones Juradas para el SII.</w:t>
      </w:r>
    </w:p>
    <w:p w:rsidR="006D2823" w:rsidRPr="00E0162E" w:rsidRDefault="006D2823" w:rsidP="002D0A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BA23B2">
        <w:rPr>
          <w:rFonts w:ascii="Century Gothic" w:hAnsi="Century Gothic" w:cs="Arial"/>
          <w:color w:val="000000" w:themeColor="text1"/>
          <w:lang w:val="es-ES_tradnl"/>
        </w:rPr>
        <w:t>Revisión de Impuesto Único de segunda categoría de trabajadores y cumplimiento de normas laborales.</w:t>
      </w:r>
    </w:p>
    <w:p w:rsidR="006D2823" w:rsidRPr="002D0A6C" w:rsidRDefault="006D2823" w:rsidP="002D0A6C">
      <w:pP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</w:p>
    <w:p w:rsidR="002B53D5" w:rsidRPr="00A72585" w:rsidRDefault="002B53D5" w:rsidP="005F6F11">
      <w:pPr>
        <w:rPr>
          <w:rFonts w:ascii="Century Gothic" w:hAnsi="Century Gothic"/>
          <w:sz w:val="24"/>
          <w:szCs w:val="24"/>
        </w:rPr>
      </w:pPr>
    </w:p>
    <w:sectPr w:rsidR="002B53D5" w:rsidRPr="00A72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59B9"/>
    <w:multiLevelType w:val="multilevel"/>
    <w:tmpl w:val="B72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56795"/>
    <w:multiLevelType w:val="hybridMultilevel"/>
    <w:tmpl w:val="7A8E2EC2"/>
    <w:lvl w:ilvl="0" w:tplc="A6EE76F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3B04"/>
    <w:multiLevelType w:val="multilevel"/>
    <w:tmpl w:val="B036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11D17"/>
    <w:multiLevelType w:val="hybridMultilevel"/>
    <w:tmpl w:val="4F9A19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D5844"/>
    <w:multiLevelType w:val="multilevel"/>
    <w:tmpl w:val="D80C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82A44"/>
    <w:multiLevelType w:val="multilevel"/>
    <w:tmpl w:val="567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F20F8"/>
    <w:multiLevelType w:val="hybridMultilevel"/>
    <w:tmpl w:val="092A0C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052D3"/>
    <w:multiLevelType w:val="hybridMultilevel"/>
    <w:tmpl w:val="40CE925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D6903"/>
    <w:multiLevelType w:val="multilevel"/>
    <w:tmpl w:val="BD0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11"/>
    <w:rsid w:val="000312C2"/>
    <w:rsid w:val="001E0582"/>
    <w:rsid w:val="00277EBD"/>
    <w:rsid w:val="002B53D5"/>
    <w:rsid w:val="002D0A6C"/>
    <w:rsid w:val="003B699B"/>
    <w:rsid w:val="00433309"/>
    <w:rsid w:val="004E08E1"/>
    <w:rsid w:val="005F6F11"/>
    <w:rsid w:val="006D2823"/>
    <w:rsid w:val="006F0EA2"/>
    <w:rsid w:val="00726DC3"/>
    <w:rsid w:val="007B1E85"/>
    <w:rsid w:val="0080785F"/>
    <w:rsid w:val="00992AFE"/>
    <w:rsid w:val="009E6E08"/>
    <w:rsid w:val="00A60122"/>
    <w:rsid w:val="00A64FAD"/>
    <w:rsid w:val="00A72585"/>
    <w:rsid w:val="00AD4273"/>
    <w:rsid w:val="00B637D1"/>
    <w:rsid w:val="00D313C4"/>
    <w:rsid w:val="00DC2D95"/>
    <w:rsid w:val="00E0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F14D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F6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6F1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unhideWhenUsed/>
    <w:rsid w:val="005F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5F6F11"/>
  </w:style>
  <w:style w:type="paragraph" w:styleId="Prrafodelista">
    <w:name w:val="List Paragraph"/>
    <w:basedOn w:val="Normal"/>
    <w:uiPriority w:val="34"/>
    <w:qFormat/>
    <w:rsid w:val="006F0E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42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7</cp:revision>
  <dcterms:created xsi:type="dcterms:W3CDTF">2020-07-18T21:24:00Z</dcterms:created>
  <dcterms:modified xsi:type="dcterms:W3CDTF">2020-07-18T22:30:00Z</dcterms:modified>
</cp:coreProperties>
</file>