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53D5" w:rsidRPr="00BA23B2" w:rsidRDefault="003B1C7B">
      <w:pPr>
        <w:rPr>
          <w:rFonts w:ascii="Century Gothic" w:hAnsi="Century Gothic"/>
          <w:b/>
          <w:bCs/>
          <w:sz w:val="28"/>
          <w:szCs w:val="28"/>
          <w:lang w:val="es-ES_tradnl"/>
        </w:rPr>
      </w:pPr>
      <w:r w:rsidRPr="00BA23B2">
        <w:rPr>
          <w:rFonts w:ascii="Century Gothic" w:hAnsi="Century Gothic"/>
          <w:b/>
          <w:bCs/>
          <w:sz w:val="28"/>
          <w:szCs w:val="28"/>
          <w:lang w:val="es-ES_tradnl"/>
        </w:rPr>
        <w:t xml:space="preserve">III.3. 1. </w:t>
      </w:r>
      <w:r w:rsidR="00C31CF2" w:rsidRPr="00BA23B2">
        <w:rPr>
          <w:rFonts w:ascii="Century Gothic" w:hAnsi="Century Gothic"/>
          <w:b/>
          <w:bCs/>
          <w:sz w:val="28"/>
          <w:szCs w:val="28"/>
          <w:lang w:val="es-ES_tradnl"/>
        </w:rPr>
        <w:t>CONSULTORIAS</w:t>
      </w:r>
    </w:p>
    <w:p w:rsidR="00C31CF2" w:rsidRPr="00FB5DF0" w:rsidRDefault="00C31CF2" w:rsidP="00FB5DF0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6206BA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DETECCION Y PREVENCION DE FRAUDES</w:t>
      </w:r>
      <w:r w:rsidR="00FB5DF0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 xml:space="preserve"> </w:t>
      </w:r>
      <w:r w:rsidR="00FB5DF0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6206BA" w:rsidRDefault="00EF5946" w:rsidP="00FB5DF0">
      <w:pPr>
        <w:pStyle w:val="NormalWeb"/>
        <w:shd w:val="clear" w:color="auto" w:fill="FCFCFC"/>
        <w:spacing w:before="225" w:beforeAutospacing="0" w:after="240" w:afterAutospacing="0" w:line="276" w:lineRule="auto"/>
        <w:ind w:firstLine="708"/>
        <w:jc w:val="both"/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</w:pPr>
      <w:r w:rsidRP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>Mora y Romero</w:t>
      </w:r>
      <w:r w:rsid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 Auditores Asociados </w:t>
      </w:r>
      <w:proofErr w:type="gramStart"/>
      <w:r w:rsid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>busca</w:t>
      </w:r>
      <w:proofErr w:type="gramEnd"/>
      <w:r w:rsid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 inscribirse durante el año 2020 ante la SVS, actual CMF, para ser certificados como Inspectores de Cuentas y Auditores Externos, de conformidad a la Circular Nª 2102 de fecha 19.04.2013</w:t>
      </w:r>
      <w:r w:rsidR="00C31CF2" w:rsidRP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>, lo que nos permit</w:t>
      </w:r>
      <w:r w:rsid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>irá</w:t>
      </w:r>
      <w:r w:rsidR="00C31CF2" w:rsidRP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 realizar asesorías en este ámbito bajo una mirada basada en el conocimiento de la problemática del fraude</w:t>
      </w:r>
      <w:r w:rsid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 de Sociedades Anónimas Cerradas.</w:t>
      </w:r>
    </w:p>
    <w:p w:rsidR="00C31CF2" w:rsidRPr="00FB5DF0" w:rsidRDefault="00C31CF2" w:rsidP="00FB5DF0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6206BA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AUDITORIA EN GESTION PUBLICA</w:t>
      </w:r>
      <w:r w:rsidR="00FB5DF0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 xml:space="preserve"> </w:t>
      </w:r>
      <w:r w:rsidR="00FB5DF0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C31CF2" w:rsidRDefault="00C31CF2" w:rsidP="00FB5DF0">
      <w:pPr>
        <w:pStyle w:val="NormalWeb"/>
        <w:shd w:val="clear" w:color="auto" w:fill="FCFCFC"/>
        <w:spacing w:before="225" w:beforeAutospacing="0" w:after="240" w:afterAutospacing="0" w:line="276" w:lineRule="auto"/>
        <w:ind w:firstLine="708"/>
        <w:jc w:val="both"/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</w:pPr>
      <w:r w:rsidRP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Nuestro servicio de auditoría en gestión pública tiene como finalidad colaborar con el sector público en la mejora sus operaciones y actividades, en base al desarrollo de hallazgos, formulación de conclusiones y presentación de recomendaciones, dando énfasis a las acciones correctivas que posibiliten el aumento de la eficiencia, efectividad y economía en las operaciones mejorando así el empleo de los recursos, reduciendo los costos y aumentando la producción. </w:t>
      </w:r>
    </w:p>
    <w:p w:rsidR="00FB5DF0" w:rsidRPr="006206BA" w:rsidRDefault="00FB5DF0" w:rsidP="00FB5DF0">
      <w:pPr>
        <w:pStyle w:val="NormalWeb"/>
        <w:shd w:val="clear" w:color="auto" w:fill="FCFCFC"/>
        <w:spacing w:before="225" w:beforeAutospacing="0" w:after="240" w:afterAutospacing="0" w:line="276" w:lineRule="auto"/>
        <w:ind w:firstLine="708"/>
        <w:jc w:val="both"/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</w:pPr>
    </w:p>
    <w:p w:rsidR="00C31CF2" w:rsidRPr="00FB5DF0" w:rsidRDefault="003B1C7B" w:rsidP="00C31CF2">
      <w:pPr>
        <w:pStyle w:val="NormalWeb"/>
        <w:shd w:val="clear" w:color="auto" w:fill="FCFCFC"/>
        <w:spacing w:before="225" w:beforeAutospacing="0" w:after="240" w:afterAutospacing="0" w:line="300" w:lineRule="atLeast"/>
        <w:jc w:val="both"/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</w:pPr>
      <w:r w:rsidRPr="00FB5DF0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III.3.2.</w:t>
      </w:r>
      <w:r w:rsidR="00C31CF2" w:rsidRPr="00FB5DF0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OUT SOURCING</w:t>
      </w:r>
    </w:p>
    <w:p w:rsidR="00C31CF2" w:rsidRPr="00FB5DF0" w:rsidRDefault="00C31CF2" w:rsidP="00FB5DF0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FB5DF0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CONTRALORÍAS</w:t>
      </w:r>
      <w:r w:rsidR="00FB5DF0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 xml:space="preserve"> </w:t>
      </w:r>
      <w:r w:rsidR="00FB5DF0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C31CF2" w:rsidRPr="00FB5DF0" w:rsidRDefault="00C31CF2" w:rsidP="00C31CF2">
      <w:pPr>
        <w:shd w:val="clear" w:color="auto" w:fill="FCFCFC"/>
        <w:spacing w:after="225" w:line="360" w:lineRule="atLeast"/>
        <w:jc w:val="both"/>
        <w:outlineLvl w:val="1"/>
        <w:rPr>
          <w:rFonts w:ascii="Century Gothic" w:eastAsia="Times New Roman" w:hAnsi="Century Gothic" w:cs="Arial"/>
          <w:b/>
          <w:color w:val="000000" w:themeColor="text1"/>
          <w:sz w:val="28"/>
          <w:szCs w:val="28"/>
          <w:lang w:val="es-ES_tradnl" w:eastAsia="es-CL"/>
        </w:rPr>
      </w:pPr>
      <w:r w:rsidRPr="00FB5DF0">
        <w:rPr>
          <w:rFonts w:ascii="Century Gothic" w:eastAsia="Times New Roman" w:hAnsi="Century Gothic" w:cs="Arial"/>
          <w:b/>
          <w:color w:val="000000" w:themeColor="text1"/>
          <w:sz w:val="28"/>
          <w:szCs w:val="28"/>
          <w:lang w:val="es-ES_tradnl" w:eastAsia="es-CL"/>
        </w:rPr>
        <w:t>Servicio de contraloría interna</w:t>
      </w:r>
    </w:p>
    <w:p w:rsidR="00C31CF2" w:rsidRPr="00BA23B2" w:rsidRDefault="00EF5946" w:rsidP="00FB5DF0">
      <w:pPr>
        <w:shd w:val="clear" w:color="auto" w:fill="FCFCFC"/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Mora y Romero Auditores </w:t>
      </w:r>
      <w:r w:rsidR="006206BA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Asociados </w:t>
      </w: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Ltda., </w:t>
      </w:r>
      <w:r w:rsidR="00C31CF2"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se preocupa de la dinámica de los negocios y esto nos ha obligado a implementar sistemas de control interno cada vez más complejos y a delegar estos controles en diversos integrantes de la organización. </w:t>
      </w:r>
    </w:p>
    <w:p w:rsidR="00910EFA" w:rsidRPr="00BA23B2" w:rsidRDefault="00C31CF2" w:rsidP="00910EFA">
      <w:p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</w:pPr>
      <w:r w:rsidRPr="00BA23B2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  <w:t>Servicio de contraloría externa</w:t>
      </w:r>
    </w:p>
    <w:p w:rsidR="00FD1DEA" w:rsidRPr="00BA23B2" w:rsidRDefault="00C31CF2" w:rsidP="00FB5DF0">
      <w:pPr>
        <w:shd w:val="clear" w:color="auto" w:fill="FCFCFC"/>
        <w:spacing w:before="225" w:after="0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Esta división está enfocada en aquellas empresas, nacionales que decidan delegar funciones administrativas y financieras a especialistas, y poder así orientar su tiempo y esfuerzos a la actividad principal de su negocio, y no a preocuparse de aspectos contables/financieros. </w:t>
      </w:r>
    </w:p>
    <w:p w:rsidR="006206BA" w:rsidRDefault="006206BA" w:rsidP="00FD1DEA">
      <w:p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</w:pPr>
    </w:p>
    <w:p w:rsidR="00FD1DEA" w:rsidRPr="00FB5DF0" w:rsidRDefault="00FD1DEA" w:rsidP="00FB5DF0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BA23B2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  <w:t>Manejo de procesos masivos de remuneraciones</w:t>
      </w:r>
      <w:r w:rsidR="00FB5DF0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  <w:t xml:space="preserve"> </w:t>
      </w:r>
      <w:r w:rsidR="00FB5DF0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FD1DEA" w:rsidRDefault="00DB6CD5" w:rsidP="00FD1DEA">
      <w:pPr>
        <w:shd w:val="clear" w:color="auto" w:fill="FCFCFC"/>
        <w:spacing w:before="225" w:after="0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Dada la creciente necesidad de las empresas de poder administrar y controlar de manera eficiente sus costos, ofrecemos a nuestros clientes y potenciales clientes nuestra gama de servicios outsourcing en áreas de administración y de control, entre otras: Apoyo en registros Contabilidad y análisis de cuentas, auditor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í</w:t>
      </w: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a interna, contralorías, manejos masivos de remuneraciones, remunera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ciones del</w:t>
      </w: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rol privado de cada organización.</w:t>
      </w:r>
    </w:p>
    <w:p w:rsidR="00FB5DF0" w:rsidRPr="00BA23B2" w:rsidRDefault="00FB5DF0" w:rsidP="00FD1DEA">
      <w:pPr>
        <w:shd w:val="clear" w:color="auto" w:fill="FCFCFC"/>
        <w:spacing w:before="225" w:after="0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</w:p>
    <w:p w:rsidR="00FD1DEA" w:rsidRPr="00FB5DF0" w:rsidRDefault="00FD1DEA" w:rsidP="00FB5DF0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BA23B2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  <w:t>Remuneraciones del rol privado</w:t>
      </w:r>
      <w:r w:rsidR="00FB5DF0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  <w:t xml:space="preserve"> </w:t>
      </w:r>
      <w:r w:rsidR="00FB5DF0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FD1DEA" w:rsidRPr="00BA23B2" w:rsidRDefault="00FD1DEA" w:rsidP="00FD1DEA">
      <w:p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ab/>
        <w:t xml:space="preserve">Servicios que se orientan al procesamiento de remuneraciones y cumplimiento con el pago de obligaciones previsionales, </w:t>
      </w:r>
      <w:r w:rsidR="00BA23B2"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tanto</w:t>
      </w: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del rol </w:t>
      </w:r>
      <w:r w:rsidR="00BA23B2"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privado</w:t>
      </w: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como de toda la planilla de la empresa de nuestros clientes.  Se destacan a modo de descripción:</w:t>
      </w:r>
    </w:p>
    <w:p w:rsidR="00FD1DEA" w:rsidRPr="00BA23B2" w:rsidRDefault="00FD1DEA" w:rsidP="00FD1DEA">
      <w:pPr>
        <w:pStyle w:val="Prrafodelista"/>
        <w:numPr>
          <w:ilvl w:val="0"/>
          <w:numId w:val="1"/>
        </w:num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Cálculo y pago de remuneraciones.</w:t>
      </w:r>
    </w:p>
    <w:p w:rsidR="00FD1DEA" w:rsidRPr="00BA23B2" w:rsidRDefault="00FD1DEA" w:rsidP="00FD1DEA">
      <w:pPr>
        <w:pStyle w:val="Prrafodelista"/>
        <w:numPr>
          <w:ilvl w:val="0"/>
          <w:numId w:val="1"/>
        </w:num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Cumplimiento de leyes sociales.</w:t>
      </w:r>
    </w:p>
    <w:p w:rsidR="00FD1DEA" w:rsidRPr="00BA23B2" w:rsidRDefault="00FD1DEA" w:rsidP="00FD1DEA">
      <w:pPr>
        <w:pStyle w:val="Prrafodelista"/>
        <w:numPr>
          <w:ilvl w:val="0"/>
          <w:numId w:val="1"/>
        </w:num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Emisión del Libro de Remuneraciones.</w:t>
      </w:r>
    </w:p>
    <w:p w:rsidR="00FD1DEA" w:rsidRPr="00BA23B2" w:rsidRDefault="00BA23B2" w:rsidP="00FD1DEA">
      <w:pPr>
        <w:pStyle w:val="Prrafodelista"/>
        <w:numPr>
          <w:ilvl w:val="0"/>
          <w:numId w:val="1"/>
        </w:num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Declaraciones</w:t>
      </w:r>
      <w:r w:rsidR="00FD1DEA"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Juradas para el SII.</w:t>
      </w:r>
    </w:p>
    <w:p w:rsidR="00FD1DEA" w:rsidRPr="00BA23B2" w:rsidRDefault="00FD1DEA" w:rsidP="00FD1DEA">
      <w:pPr>
        <w:pStyle w:val="Prrafodelista"/>
        <w:numPr>
          <w:ilvl w:val="0"/>
          <w:numId w:val="1"/>
        </w:num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Revisión de Impuesto Único de segunda </w:t>
      </w:r>
      <w:r w:rsidR="00BA23B2"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categoría</w:t>
      </w: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de trabajadores y cumplimiento de normas laborales.</w:t>
      </w:r>
    </w:p>
    <w:p w:rsidR="00FD1DEA" w:rsidRPr="00BA23B2" w:rsidRDefault="00FD1DEA" w:rsidP="00FD1DEA">
      <w:pPr>
        <w:pStyle w:val="Prrafodelista"/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</w:p>
    <w:p w:rsidR="00FD1DEA" w:rsidRPr="00FB5DF0" w:rsidRDefault="00FD1DEA" w:rsidP="00FB5DF0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BA23B2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  <w:t>Procesos Contables</w:t>
      </w:r>
      <w:r w:rsidR="00FB5DF0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  <w:t xml:space="preserve"> </w:t>
      </w:r>
      <w:r w:rsidR="00FB5DF0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C12363" w:rsidRPr="00BA23B2" w:rsidRDefault="00FD1DEA" w:rsidP="00FD1DEA">
      <w:pPr>
        <w:shd w:val="clear" w:color="auto" w:fill="FCFCFC"/>
        <w:spacing w:before="225" w:after="0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Mora y Romero Auditores</w:t>
      </w:r>
      <w:r w:rsidR="006206BA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Asociados</w:t>
      </w: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</w:t>
      </w:r>
      <w:proofErr w:type="gramStart"/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pone</w:t>
      </w:r>
      <w:proofErr w:type="gramEnd"/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a disposición de sus clientes, </w:t>
      </w:r>
      <w:r w:rsidR="00DB6CD5"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un </w:t>
      </w:r>
      <w:r w:rsidR="00DB6CD5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servicio</w:t>
      </w:r>
      <w:r w:rsidR="006206BA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con </w:t>
      </w: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profesionales altamente capacitados, con una vasta experiencia</w:t>
      </w:r>
      <w:r w:rsidR="00C12363"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que se focaliza en manejos contables, </w:t>
      </w:r>
      <w:r w:rsidR="00BA23B2"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asesoría</w:t>
      </w:r>
      <w:r w:rsidR="00C12363"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y acompañamiento contable, ofreciendo a la </w:t>
      </w:r>
      <w:r w:rsidR="00BA23B2"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oportunidad</w:t>
      </w:r>
      <w:r w:rsidR="00C12363"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y mejor </w:t>
      </w:r>
      <w:r w:rsidR="00BA23B2"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información</w:t>
      </w:r>
      <w:r w:rsidR="00C12363"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tal que el permitan tomas sus mejores decisiones, sean estas financieras, </w:t>
      </w:r>
      <w:r w:rsidR="00BA23B2"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económicas</w:t>
      </w:r>
      <w:r w:rsidR="00C12363"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, de inversión y/o de gastos.</w:t>
      </w:r>
    </w:p>
    <w:p w:rsidR="00C12363" w:rsidRPr="00BA23B2" w:rsidRDefault="00C12363" w:rsidP="00FD1DEA">
      <w:pPr>
        <w:shd w:val="clear" w:color="auto" w:fill="FCFCFC"/>
        <w:spacing w:before="225" w:after="0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</w:p>
    <w:p w:rsidR="00C31CF2" w:rsidRPr="00BA23B2" w:rsidRDefault="00C31CF2" w:rsidP="00C31CF2">
      <w:pPr>
        <w:pStyle w:val="NormalWeb"/>
        <w:shd w:val="clear" w:color="auto" w:fill="FCFCFC"/>
        <w:spacing w:before="225" w:beforeAutospacing="0" w:after="240" w:afterAutospacing="0" w:line="300" w:lineRule="atLeast"/>
        <w:jc w:val="both"/>
        <w:rPr>
          <w:rFonts w:ascii="Century Gothic" w:hAnsi="Century Gothic" w:cs="Arial"/>
          <w:color w:val="6E6E6E"/>
          <w:shd w:val="clear" w:color="auto" w:fill="FCFCFC"/>
          <w:lang w:val="es-ES_tradnl"/>
        </w:rPr>
      </w:pPr>
    </w:p>
    <w:sectPr w:rsidR="00C31CF2" w:rsidRPr="00BA2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11D17"/>
    <w:multiLevelType w:val="hybridMultilevel"/>
    <w:tmpl w:val="4F9A19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F2"/>
    <w:rsid w:val="002A3B53"/>
    <w:rsid w:val="002B53D5"/>
    <w:rsid w:val="003B1C7B"/>
    <w:rsid w:val="006206BA"/>
    <w:rsid w:val="0078631F"/>
    <w:rsid w:val="00910EFA"/>
    <w:rsid w:val="00BA23B2"/>
    <w:rsid w:val="00C12363"/>
    <w:rsid w:val="00C31CF2"/>
    <w:rsid w:val="00DB6CD5"/>
    <w:rsid w:val="00DD5CB7"/>
    <w:rsid w:val="00E6443E"/>
    <w:rsid w:val="00EF5946"/>
    <w:rsid w:val="00FB5DF0"/>
    <w:rsid w:val="00FD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4CACA4-3163-374B-AAFE-81BEE5F5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1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C31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C31CF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C31CF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Prrafodelista">
    <w:name w:val="List Paragraph"/>
    <w:basedOn w:val="Normal"/>
    <w:uiPriority w:val="34"/>
    <w:qFormat/>
    <w:rsid w:val="00FD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Mora</dc:creator>
  <cp:lastModifiedBy>Microsoft Office User</cp:lastModifiedBy>
  <cp:revision>2</cp:revision>
  <dcterms:created xsi:type="dcterms:W3CDTF">2020-07-15T04:47:00Z</dcterms:created>
  <dcterms:modified xsi:type="dcterms:W3CDTF">2020-07-15T04:47:00Z</dcterms:modified>
</cp:coreProperties>
</file>