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Biohub как получить сильное решение</w:t>
      </w:r>
    </w:p>
    <w:p>
      <w:r>
        <w:t>Разбор классического baseline, нашего DL, Horaz0 и публичных весов</w:t>
      </w:r>
    </w:p>
    <w:p>
      <w:r>
        <w:t>22 сентября 2026</w:t>
      </w:r>
    </w:p>
    <w:p>
      <w:r>
        <w:t>Наш следующий шаг — взять Horaz0 с локальным результатом 0,79499 за опорное решение и выяснить, какие ошибки мешают перейти 0,8. Продолжать увеличивать время обучения EXP214 без такого диагноза невыгодно. Но отказываться от DL бессмысленно: Horaz0 и наше решение используют практически одинаковое нейросетевое ядро. Различаются обучение, выбор сохранённой модели и превращение её выходов в траектории.</w:t>
      </w:r>
    </w:p>
    <w:p>
      <w:r>
        <w:t>Почему большое количество работы не дало ожидаемого результата? Мы поздно получили сильные точки сравнения и усложняли систему, ещё не установив главную причину ошибок. Нужен навык проверки: отличить ошибку данных от ошибки обучения, а пропущенную клетку — от неверной связи. LLM ускоряет написание кода и проверку гипотез, но правдоподобное объяснение не заменяет эксперимент.</w:t>
      </w:r>
    </w:p>
    <w:tbl>
      <w:tblPr>
        <w:tblW w:type="auto" w:w="0"/>
        <w:tblLayout w:type="fixed"/>
        <w:tblLook w:firstColumn="1" w:firstRow="1" w:lastColumn="0" w:lastRow="0" w:noHBand="0" w:noVBand="1" w:val="04A0"/>
      </w:tblPr>
      <w:tblGrid>
        <w:gridCol w:w="3250"/>
        <w:gridCol w:w="3250"/>
        <w:gridCol w:w="3250"/>
      </w:tblGrid>
      <w:tr>
        <w:trPr>
          <w:cantSplit/>
          <w:tblHeader/>
        </w:trPr>
        <w:tc>
          <w:tcPr>
            <w:tcW w:type="dxa" w:w="2448"/>
            <w:shd w:fill="DDEAF1"/>
          </w:tcPr>
          <w:p>
            <w:pPr>
              <w:spacing w:after="100" w:before="100"/>
            </w:pPr>
            <w:r>
              <w:rPr>
                <w:b/>
                <w:sz w:val="20"/>
              </w:rPr>
              <w:t>Решение</w:t>
            </w:r>
          </w:p>
        </w:tc>
        <w:tc>
          <w:tcPr>
            <w:tcW w:type="dxa" w:w="2232"/>
            <w:shd w:fill="DDEAF1"/>
          </w:tcPr>
          <w:p>
            <w:pPr>
              <w:spacing w:after="100" w:before="100"/>
            </w:pPr>
            <w:r>
              <w:rPr>
                <w:b/>
                <w:sz w:val="20"/>
              </w:rPr>
              <w:t>Локальный результат на 175 роликах</w:t>
            </w:r>
          </w:p>
        </w:tc>
        <w:tc>
          <w:tcPr>
            <w:tcW w:type="dxa" w:w="5040"/>
            <w:shd w:fill="DDEAF1"/>
          </w:tcPr>
          <w:p>
            <w:pPr>
              <w:spacing w:after="100" w:before="100"/>
            </w:pPr>
            <w:r>
              <w:rPr>
                <w:b/>
                <w:sz w:val="20"/>
              </w:rPr>
              <w:t>Что сравниваем</w:t>
            </w:r>
          </w:p>
        </w:tc>
      </w:tr>
      <w:tr>
        <w:trPr>
          <w:cantSplit/>
        </w:trPr>
        <w:tc>
          <w:tcPr>
            <w:tcW w:type="dxa" w:w="2448"/>
            <w:shd w:fill="F4F7F9"/>
          </w:tcPr>
          <w:p>
            <w:pPr>
              <w:spacing w:after="100" w:before="100"/>
            </w:pPr>
            <w:r>
              <w:rPr>
                <w:b w:val="0"/>
                <w:sz w:val="20"/>
              </w:rPr>
              <w:t>Классический baseline EXP222</w:t>
            </w:r>
          </w:p>
        </w:tc>
        <w:tc>
          <w:tcPr>
            <w:tcW w:type="dxa" w:w="2232"/>
            <w:shd w:fill="F4F7F9"/>
          </w:tcPr>
          <w:p>
            <w:pPr>
              <w:spacing w:after="100" w:before="100"/>
            </w:pPr>
            <w:r>
              <w:rPr>
                <w:b w:val="0"/>
                <w:sz w:val="20"/>
              </w:rPr>
              <w:t>0,74098</w:t>
            </w:r>
          </w:p>
        </w:tc>
        <w:tc>
          <w:tcPr>
            <w:tcW w:type="dxa" w:w="5040"/>
            <w:shd w:fill="F4F7F9"/>
          </w:tcPr>
          <w:p>
            <w:pPr>
              <w:spacing w:after="100" w:before="100"/>
            </w:pPr>
            <w:r>
              <w:rPr>
                <w:b w:val="0"/>
                <w:sz w:val="20"/>
              </w:rPr>
              <w:t>DoG и геометрическое связывание без обучения</w:t>
            </w:r>
          </w:p>
        </w:tc>
      </w:tr>
      <w:tr>
        <w:trPr>
          <w:cantSplit/>
        </w:trPr>
        <w:tc>
          <w:tcPr>
            <w:tcW w:type="dxa" w:w="2448"/>
            <w:shd w:fill="FFFFFF"/>
          </w:tcPr>
          <w:p>
            <w:pPr>
              <w:spacing w:after="100" w:before="100"/>
            </w:pPr>
            <w:r>
              <w:rPr>
                <w:b w:val="0"/>
                <w:sz w:val="20"/>
              </w:rPr>
              <w:t>Наш DL EXP214</w:t>
            </w:r>
          </w:p>
        </w:tc>
        <w:tc>
          <w:tcPr>
            <w:tcW w:type="dxa" w:w="2232"/>
            <w:shd w:fill="FFFFFF"/>
          </w:tcPr>
          <w:p>
            <w:pPr>
              <w:spacing w:after="100" w:before="100"/>
            </w:pPr>
            <w:r>
              <w:rPr>
                <w:b w:val="0"/>
                <w:sz w:val="20"/>
              </w:rPr>
              <w:t>0,74273</w:t>
            </w:r>
          </w:p>
        </w:tc>
        <w:tc>
          <w:tcPr>
            <w:tcW w:type="dxa" w:w="5040"/>
            <w:shd w:fill="FFFFFF"/>
          </w:tcPr>
          <w:p>
            <w:pPr>
              <w:spacing w:after="100" w:before="100"/>
            </w:pPr>
            <w:r>
              <w:rPr>
                <w:b w:val="0"/>
                <w:sz w:val="20"/>
              </w:rPr>
              <w:t>Два seed основной сети + DeepCenter + графовый алгоритм</w:t>
            </w:r>
          </w:p>
        </w:tc>
      </w:tr>
      <w:tr>
        <w:trPr>
          <w:cantSplit/>
        </w:trPr>
        <w:tc>
          <w:tcPr>
            <w:tcW w:type="dxa" w:w="2448"/>
            <w:shd w:fill="F4F7F9"/>
          </w:tcPr>
          <w:p>
            <w:pPr>
              <w:spacing w:after="100" w:before="100"/>
            </w:pPr>
            <w:r>
              <w:rPr>
                <w:b w:val="0"/>
                <w:sz w:val="20"/>
              </w:rPr>
              <w:t>Horaz0 selected</w:t>
            </w:r>
          </w:p>
        </w:tc>
        <w:tc>
          <w:tcPr>
            <w:tcW w:type="dxa" w:w="2232"/>
            <w:shd w:fill="F4F7F9"/>
          </w:tcPr>
          <w:p>
            <w:pPr>
              <w:spacing w:after="100" w:before="100"/>
            </w:pPr>
            <w:r>
              <w:rPr>
                <w:b w:val="0"/>
                <w:sz w:val="20"/>
              </w:rPr>
              <w:t>0,79499</w:t>
            </w:r>
          </w:p>
        </w:tc>
        <w:tc>
          <w:tcPr>
            <w:tcW w:type="dxa" w:w="5040"/>
            <w:shd w:fill="F4F7F9"/>
          </w:tcPr>
          <w:p>
            <w:pPr>
              <w:spacing w:after="100" w:before="100"/>
            </w:pPr>
            <w:r>
              <w:rPr>
                <w:b w:val="0"/>
                <w:sz w:val="20"/>
              </w:rPr>
              <w:t>Опубликованные модели для двух частей проверки</w:t>
            </w:r>
          </w:p>
        </w:tc>
      </w:tr>
      <w:tr>
        <w:trPr>
          <w:cantSplit/>
        </w:trPr>
        <w:tc>
          <w:tcPr>
            <w:tcW w:type="dxa" w:w="2448"/>
            <w:shd w:fill="FFFFFF"/>
          </w:tcPr>
          <w:p>
            <w:pPr>
              <w:spacing w:after="100" w:before="100"/>
            </w:pPr>
            <w:r>
              <w:rPr>
                <w:b w:val="0"/>
                <w:sz w:val="20"/>
              </w:rPr>
              <w:t>Публичное семейство Pilkwang</w:t>
            </w:r>
          </w:p>
        </w:tc>
        <w:tc>
          <w:tcPr>
            <w:tcW w:type="dxa" w:w="2232"/>
            <w:shd w:fill="FFFFFF"/>
          </w:tcPr>
          <w:p>
            <w:pPr>
              <w:spacing w:after="100" w:before="100"/>
            </w:pPr>
            <w:r>
              <w:rPr>
                <w:b w:val="0"/>
                <w:sz w:val="20"/>
              </w:rPr>
              <w:t>Сопоставимого OOF нет</w:t>
            </w:r>
          </w:p>
        </w:tc>
        <w:tc>
          <w:tcPr>
            <w:tcW w:type="dxa" w:w="5040"/>
            <w:shd w:fill="FFFFFF"/>
          </w:tcPr>
          <w:p>
            <w:pPr>
              <w:spacing w:after="100" w:before="100"/>
            </w:pPr>
            <w:r>
              <w:rPr>
                <w:b w:val="0"/>
                <w:sz w:val="20"/>
              </w:rPr>
              <w:t>Готовые веса и решения с public LB 0,9+</w:t>
            </w:r>
          </w:p>
        </w:tc>
      </w:tr>
    </w:tbl>
    <w:p>
      <w:pPr>
        <w:spacing w:after="0"/>
      </w:pPr>
    </w:p>
    <w:p>
      <w:r>
        <w:t>Horaz0 — автор публичного набора весов; selected означает выбранные автором эпохи. Fold — часть данных, исключённая из обучения соответствующей модели. LB (leaderboard) — оценка на таблице соревнования.</w:t>
      </w:r>
    </w:p>
    <w:p>
      <w:r>
        <w:t>OOF — предсказания для части данных, исключённой из обучения весов. Отдельный вопрос — использовали ли эту часть для выбора эпохи. У Horaz selected использовали; у нашего EXP214 эпоху выбирали на другой проверке. Первые три строки посчитаны на одинаковых 175 роликах официальным алгоритмом, но правило выбора моделей различалось. Таблица сравнивает готовые системы; она ещё не объясняет, какая архитектура или схема обучения лучше. Число 0,947 с leaderboard в эту колонку не переносится. [1–3]</w:t>
      </w:r>
    </w:p>
    <w:p>
      <w:r>
        <w:t>Начните с видео на следующей странице: станет ясно, что именно движется и что мы восстанавливаем. Затем прочитайте задачу и baseline. Разделы про сети объясняют устройство; последние три практических раздела — что изучить, что требовать от агента и какой опыт запускать следующим. Формулы можно читать после объяснений словами.</w:t>
      </w:r>
    </w:p>
    <w:p>
      <w:r>
        <w:br w:type="page"/>
      </w:r>
    </w:p>
    <w:p>
      <w:pPr>
        <w:pStyle w:val="Heading1"/>
      </w:pPr>
      <w:r>
        <w:t>Что посмотреть перед разбором</w:t>
      </w:r>
    </w:p>
    <w:p>
      <w:r>
        <w:t>В эмбрионе клетки перемещаются и делятся, а ткани меняют форму. На видео видны в основном помеченные ядра. Наша задача — восстановить, где находится одна и та же клетка на разных кадрах и какие клетки появились при делении. Мы связываем наблюдения внутри уже снятого фильма, а не предсказываем будущий кадр.</w:t>
      </w:r>
    </w:p>
    <w:p>
      <w:pPr>
        <w:pStyle w:val="Heading2"/>
      </w:pPr>
      <w:r>
        <w:t>1. Увидеть развитие живого эмбриона</w:t>
      </w:r>
    </w:p>
    <w:p>
      <w:r/>
      <w:hyperlink r:id="rId10">
        <w:r>
          <w:rPr>
            <w:color w:val="23618B"/>
            <w:u w:val="single"/>
          </w:rPr>
          <w:t>Zebrafish All Nuclei 20 hours — видео Biohub</w:t>
        </w:r>
      </w:hyperlink>
      <w:r>
        <w:t xml:space="preserve">. Посмотрите, как из отдельных светлых точек складывается меняющийся объём. «20 hours» — период развития, показанный в ускорении, а не длительность просмотра. </w:t>
      </w:r>
      <w:hyperlink r:id="rId11">
        <w:r>
          <w:rPr>
            <w:color w:val="23618B"/>
            <w:u w:val="single"/>
          </w:rPr>
          <w:t>Статья Biohub о Zebrahub</w:t>
        </w:r>
      </w:hyperlink>
      <w:r>
        <w:t xml:space="preserve"> даёт контекст съёмки.</w:t>
      </w:r>
    </w:p>
    <w:p>
      <w:r>
        <w:t>Что заметить: клетки не просто сдвигаются одинаково. Меняются плотность и взаимное расположение соседей. Поэтому правило «ближайшая точка на следующем кадре» может перепутать две клетки.</w:t>
      </w:r>
    </w:p>
    <w:p>
      <w:pPr>
        <w:pStyle w:val="Heading2"/>
      </w:pPr>
      <w:r>
        <w:t>2. Увидеть, как из фильма получают траектории</w:t>
      </w:r>
    </w:p>
    <w:p>
      <w:r/>
      <w:hyperlink r:id="rId12">
        <w:r>
          <w:rPr>
            <w:color w:val="23618B"/>
            <w:u w:val="single"/>
          </w:rPr>
          <w:t>Pushing the Limits of Cell Tracking Across Biological Scales — YouTube</w:t>
        </w:r>
      </w:hyperlink>
      <w:r>
        <w:t xml:space="preserve">. Видео об Ultrack связано с </w:t>
      </w:r>
      <w:hyperlink r:id="rId13">
        <w:r>
          <w:rPr>
            <w:color w:val="23618B"/>
            <w:u w:val="single"/>
          </w:rPr>
          <w:t>объяснением Biohub</w:t>
        </w:r>
      </w:hyperlink>
      <w:r>
        <w:t>. Оно помогает увидеть смысл отслеживания клеток; это демонстрация метода, а не измерение качества нашего решения.</w:t>
      </w:r>
    </w:p>
    <w:p>
      <w:pPr>
        <w:pStyle w:val="Heading2"/>
      </w:pPr>
      <w:r>
        <w:t>3. Самостоятельно покрутить эмбрион</w:t>
      </w:r>
    </w:p>
    <w:p>
      <w:r/>
      <w:hyperlink r:id="rId14">
        <w:r>
          <w:rPr>
            <w:color w:val="23618B"/>
            <w:u w:val="single"/>
          </w:rPr>
          <w:t>Virtual Embryo Zoo — интерактивный просмотр</w:t>
        </w:r>
      </w:hyperlink>
      <w:r>
        <w:t>. Выберите Danio r. (zebrafish), затем Open in Viewer. Меняйте время, вращайте объём, проследите одну клетку и её потомков. Здесь показаны уже восстановленные траектории, а не исходное изображение микроскопа.</w:t>
      </w:r>
    </w:p>
    <w:p>
      <w:r/>
      <w:hyperlink r:id="rId15">
        <w:r>
          <w:rPr>
            <w:color w:val="23618B"/>
            <w:u w:val="single"/>
          </w:rPr>
          <w:t>inTRACKtive SuppVideo2 — демонстрация интерфейса</w:t>
        </w:r>
      </w:hyperlink>
      <w:r>
        <w:t xml:space="preserve">. Ссылка и описание инструмента находятся в </w:t>
      </w:r>
      <w:hyperlink r:id="rId16">
        <w:r>
          <w:rPr>
            <w:color w:val="23618B"/>
            <w:u w:val="single"/>
          </w:rPr>
          <w:t>официальном репозитории inTRACKtive</w:t>
        </w:r>
      </w:hyperlink>
      <w:r>
        <w:t>.</w:t>
      </w:r>
    </w:p>
    <w:p>
      <w:pPr>
        <w:pStyle w:val="Heading2"/>
      </w:pPr>
      <w:r>
        <w:t>4. Разобраться в простом алгоритме</w:t>
      </w:r>
    </w:p>
    <w:p>
      <w:r/>
      <w:hyperlink r:id="rId17">
        <w:r>
          <w:rPr>
            <w:color w:val="23618B"/>
            <w:u w:val="single"/>
          </w:rPr>
          <w:t>iBiology — Bioimage Analysis, Part 4 Tracking</w:t>
        </w:r>
      </w:hyperlink>
      <w:r>
        <w:t xml:space="preserve"> — короткое вводное видео Kevin Eliceiri, 3 минуты 25 секунд. Затем </w:t>
      </w:r>
      <w:hyperlink r:id="rId18">
        <w:r>
          <w:rPr>
            <w:color w:val="23618B"/>
            <w:u w:val="single"/>
          </w:rPr>
          <w:t>пошаговый урок TrackMate</w:t>
        </w:r>
      </w:hyperlink>
      <w:r>
        <w:t xml:space="preserve"> показывает поиск пятен и их связывание; есть и </w:t>
      </w:r>
      <w:hyperlink r:id="rId19">
        <w:r>
          <w:rPr>
            <w:color w:val="23618B"/>
            <w:u w:val="single"/>
          </w:rPr>
          <w:t>PDF-руководство</w:t>
        </w:r>
      </w:hyperlink>
      <w:r>
        <w:t>.</w:t>
      </w:r>
    </w:p>
    <w:p>
      <w:r>
        <w:t xml:space="preserve">Для знакомства скачивать датасет не нужно. Но чтобы понять конкретную ошибку нашей модели, нужен уже ролик соревнования: исходный кадр, разметка и предсказания поверх него. Наглядный фильм из статьи объясняет биологию; совпадение с нашей задачей проверяем по </w:t>
      </w:r>
      <w:hyperlink r:id="rId20">
        <w:r>
          <w:rPr>
            <w:color w:val="23618B"/>
            <w:u w:val="single"/>
          </w:rPr>
          <w:t>репозиторию соревнования</w:t>
        </w:r>
      </w:hyperlink>
      <w:r>
        <w:t>.</w:t>
      </w:r>
    </w:p>
    <w:p>
      <w:r>
        <w:br w:type="page"/>
      </w:r>
    </w:p>
    <w:p>
      <w:pPr>
        <w:pStyle w:val="Heading1"/>
      </w:pPr>
      <w:r>
        <w:t>Что именно мы предсказываем</w:t>
      </w:r>
    </w:p>
    <w:p>
      <w:r>
        <w:t>Вход — последовательность трёхмерных изображений. Светлое пятно обычно соответствует флуоресцентно помеченному ядру. На одном кадре нужно найти его центр, на следующем — понять, какое пятно принадлежит той же клетке. При делении один предок соединяется с двумя потомками.</w:t>
      </w:r>
    </w:p>
    <w:p>
      <w:r>
        <w:t>Итог — граф: узел обозначает центр клетки в определённый момент, ребро — связь между моментами. Например, A₁ → A₂ → {B₃, C₃}: в кадрах 1 и 2 наблюдаем одну клетку A, а в кадре 3 — двух её потомков B и C. Координаты всех точек могут быть верными, но если соединить чужие клетки, траектория всё равно будет неправильной.</w:t>
      </w:r>
    </w:p>
    <w:p>
      <w:r>
        <w:t>Воксель — трёхмерный аналог пикселя. В наших данных шаг по глубине z равен 1,625 мкм, по y и x — 0,40625 мкм. Поэтому четыре вокселя по x и один по z соответствуют одинаковому физическому расстоянию. Сравнивать координаты без этого пересчёта нельзя. [4]</w:t>
      </w:r>
    </w:p>
    <w:p>
      <w:pPr>
        <w:spacing w:before="60" w:after="140"/>
      </w:pPr>
      <m:oMath>
        <m:r>
          <m:t>d = √[(1,625 Δz)² + (0,40625 Δy)² + (0,40625 Δx)²]</m:t>
        </m:r>
      </m:oMath>
    </w:p>
    <w:p>
      <w:r>
        <w:t>Здесь d — расстояние в микрометрах, Δz, Δy, Δx — разности индексов в исходном изображении. Для координат уменьшенного входа сначала умножаем y и x на 4, z оставляем прежним. Затем для расстояния переводим исходные индексы в микрометры по формуле. Каждый из этих двух разных пересчётов выполняется один раз.</w:t>
      </w:r>
    </w:p>
    <w:p>
      <w:r>
        <w:t>Разметка неполная: подписана только часть клеток и связей. «Здесь нет подписи» не означает «здесь фон». Официальный scorer сначала сопоставляет предсказанные центры с размеченными, затем считает связи в доступном размеченном контексте. Нельзя заменить его обычной accuracy или считать каждую неподписанную клетку ложной. [4]</w:t>
      </w:r>
    </w:p>
    <w:p>
      <w:r>
        <w:t>Для одного ролика основа метрики — доля правильных связей среди правильных, ошибочных и пропущенных:</w:t>
      </w:r>
    </w:p>
    <w:p>
      <w:pPr>
        <w:spacing w:before="60" w:after="140"/>
      </w:pPr>
      <m:oMath>
        <m:r>
          <m:t>J = TP / (TP + FP + FN)</m:t>
        </m:r>
      </m:oMath>
    </w:p>
    <w:p>
      <w:r>
        <w:t>TP — правильно восстановленные связи, FP — ошибочные связи по правилам scorer, FN — пропущенные размеченные связи. Например, 80 правильных, 10 ошибочных и 10 пропущенных дают J = 0,8. Это не «80% всех клеток найдены».</w:t>
      </w:r>
    </w:p>
    <w:p>
      <w:r>
        <w:t>Практическое правило: человек должен увидеть хотя бы один входной кадр, нанесённые центры и линии между кадрами. Таблица loss без такой проверки не подтверждает, что задача вообще решается правильно.</w:t>
      </w:r>
    </w:p>
    <w:p>
      <w:r>
        <w:br w:type="page"/>
      </w:r>
    </w:p>
    <w:p>
      <w:pPr>
        <w:pStyle w:val="Heading1"/>
      </w:pPr>
      <w:r>
        <w:t>Почему число клеток и итоговый score различаются</w:t>
      </w:r>
    </w:p>
    <w:p>
      <w:r>
        <w:t>Официальная метрика дополнительно учитывает количество узлов. Для каждого ролика сравнивается предсказанное число центров с оценкой полного числа клеток из метаданных. Это отдельная величина: она больше количества размеченных центров. [4]</w:t>
      </w:r>
    </w:p>
    <w:p>
      <w:pPr>
        <w:spacing w:before="60" w:after="140"/>
      </w:pPr>
      <m:oMath>
        <m:r>
          <m:t>r = (Npred − Ntotal) / Ntotal</m:t>
        </m:r>
      </m:oMath>
    </w:p>
    <w:p>
      <w:pPr>
        <w:spacing w:before="60" w:after="140"/>
      </w:pPr>
      <m:oMath>
        <m:r>
          <m:t>Jadj = max(0; J × (1 − 0,1r))</m:t>
        </m:r>
      </m:oMath>
    </w:p>
    <w:p>
      <w:r>
        <w:t>Npred — число предсказанных узлов, Ntotal — оценка полного числа узлов, r — относительное отклонение. Jadj — скорректированная оценка связей. Избыток узлов снижает множитель. При недоборе он может быть больше 1: именно так устроен scorer, верхнего ограничения здесь нет. Но удаление клеток не даёт бесплатного улучшения: вместе с ними можно потерять правильные связи.</w:t>
      </w:r>
    </w:p>
    <w:p>
      <w:r>
        <w:t>Затем оценки роликов усредняются с весом D = TP + FP + FN. Деления считаются отдельно по суммарным TP, FP и FN делений:</w:t>
      </w:r>
    </w:p>
    <w:p>
      <w:pPr>
        <w:spacing w:before="60" w:after="140"/>
      </w:pPr>
      <m:oMath>
        <m:r>
          <m:t>S = (Σ Dᵢ Jadjᵢ) / (Σ Dᵢ) + 0,1 × Jdivision</m:t>
        </m:r>
      </m:oMath>
    </w:p>
    <w:p>
      <w:r>
        <w:t>S — итоговый score; i — номер ролика; Σ — сумма по роликам. Jdivision вычисляется так же, как J, но для событий деления. Поэтому простое среднее 175 чисел или обычная доля найденных клеток дадут другую оценку.</w:t>
      </w:r>
    </w:p>
    <w:p>
      <w:r>
        <w:t>Теперь разложим результат наших систем на составляющие. У нашего DL средняя полнота обнаружения размеченных узлов равна 0,92949, у Horaz — 0,92708. Horaz не выигрывает за счёт более высокой средней полноты. Но одинаковая полнота не означает одинаковые центры: ошибки могут приходиться на разные кадры, а координаты — иметь разную точность.</w:t>
      </w:r>
    </w:p>
    <w:p>
      <w:r>
        <w:t>Из 138 размеченных делений наш граф восстановил 4, Horaz — 12. У нас 50 ложных делений, у Horaz — 51. Вклад делений в score составляет соответственно 0,00213 и 0,00635. Разница около 0,00422 объясняет только 8% общего разрыва 0,05226. Остальная разница, около 0,04804, приходится на скорректированную оценку связей. Это арифметическое разложение результата, а не доказательство, что виноват только алгоритм связывания. [1]</w:t>
      </w:r>
    </w:p>
    <w:p>
      <w:r>
        <w:t>Следствие для работы: сначала разбирать обычные связи, расположение центров и разрывы траекторий. Отдельная большая сеть для делений сейчас не выглядит первым экспериментом.</w:t>
      </w:r>
    </w:p>
    <w:p>
      <w:r>
        <w:br w:type="page"/>
      </w:r>
    </w:p>
    <w:p>
      <w:pPr>
        <w:pStyle w:val="Heading1"/>
      </w:pPr>
      <w:r>
        <w:t>Классический baseline от светлого пятна к траектории</w:t>
      </w:r>
    </w:p>
    <w:p>
      <w:r>
        <w:t>Наш «физический baseline» не моделирует силы в ткани или механику деления. Он использует наблюдаемые свойства изображения и геометрию движения: ядро выглядит как локальное светлое пятно, между соседними кадрами оно обычно перемещается недалеко. Это сильные предположения, которые работают без обучения. [5]</w:t>
      </w:r>
    </w:p>
    <w:p>
      <w:r>
        <w:t>Сначала изображение сглаживается двумя гауссовыми фильтрами разной ширины, затем результаты вычитаются. Это Difference of Gaussians, сокращённо DoG:</w:t>
      </w:r>
    </w:p>
    <w:p>
      <w:pPr>
        <w:spacing w:before="60" w:after="140"/>
      </w:pPr>
      <m:oMath>
        <m:r>
          <m:t>R = Gσ₁ * I − Gσ₂ * I,   σ₂ &gt; σ₁</m:t>
        </m:r>
      </m:oMath>
    </w:p>
    <w:p>
      <w:r>
        <w:t>I — изображение, Gσ — гауссов фильтр с шириной σ, * — свёртка, R — карта отклика. Узкий фильтр сохраняет пятно, широкий описывает окружающий фон. Разность выделяет пятна подходящего размера. σ задаёт пространственный масштаб, а не вероятность клетки.</w:t>
      </w:r>
    </w:p>
    <w:p>
      <w:r>
        <w:t>EXP002 — исходный классический алгоритм; EXP222 — его повторная проверка на наших 175 роликах. Использованы две пары масштабов: 1,5/4,0 и 2,2/5,5 мкм. По x и y изображение уменьшается в четыре раза. После этого ищутся локальные максимумы с порогом DoG-отклика 0,045 после нормировки яркости по процентилям 1 и 99,7 и минимальным расстоянием 3,2 мкм между центрами. Положение максимума уточняется по яркости соседних вокселей. [5]</w:t>
      </w:r>
    </w:p>
    <w:p>
      <w:r>
        <w:t>Следующий шаг — совместно распределить соответствия между кадрами. Венгерский алгоритм выбирает набор связей с минимальной суммарной стоимостью так, чтобы одна клетка не досталась сразу двум предкам:</w:t>
      </w:r>
    </w:p>
    <w:p>
      <w:pPr>
        <w:spacing w:before="60" w:after="140"/>
      </w:pPr>
      <m:oMath>
        <m:r>
          <m:t>min Σᵢⱼ cᵢⱼ xᵢⱼ,   Σⱼ xᵢⱼ ≤ 1,   Σᵢ xᵢⱼ ≤ 1,   Σᵢⱼ xᵢⱼ = min(n, m)</m:t>
        </m:r>
      </m:oMath>
    </w:p>
    <w:p>
      <w:r>
        <w:t>cᵢⱼ — расстояние между клеткой i сейчас и клеткой j на следующем кадре; xᵢⱼ равно 1, если связь выбрана, иначе 0; n и m — числа центров двух кадров. Последнее условие требует назначить меньший набор целиком до отбрасывания слишком далёких пар. Без него минимумом было бы отсутствие всех связей. В реализации слишком далёкие пары получают большую стоимость, а после назначения отбрасываются. Порог соседних кадров — 8 мкм.</w:t>
      </w:r>
    </w:p>
    <w:p>
      <w:r>
        <w:t>Пример стоимости двух назначений: A→1 = 1, A→2 = 2, B→1 = 1,1, B→2 = 7. Независимый выбор ближайшего создаёт конфликт: обе клетки хотят точку 1. Совместное решение A→2 и B→1 стоит 3,1 вместо 8. Это и есть смысл глобального назначения, без нейросети.</w:t>
      </w:r>
    </w:p>
    <w:p>
      <w:r>
        <w:t>Затем baseline пытается закрыть пропуск одного кадра при расстоянии до 6 мкм и удаляет изолированные узлы. Детекция делений выключена. Итог 0,74098 показывает, насколько много здесь уже объясняет геометрия; это не физический предел качества. [2,5]</w:t>
      </w:r>
    </w:p>
    <w:p>
      <w:r>
        <w:br w:type="page"/>
      </w:r>
    </w:p>
    <w:p>
      <w:pPr>
        <w:pStyle w:val="Heading1"/>
      </w:pPr>
      <w:r>
        <w:t>Что наша нейросеть добавляет к baseline</w:t>
      </w:r>
    </w:p>
    <w:p>
      <w:r>
        <w:t>EXP214 — не новая архитектура с нуля. Это переобучение семейства TemporalUNet3D и трансформера связей с разделением обучающих и проверочных эмбрионов, плюс вспомогательный DeepCenter и графовый алгоритм COMPACT47 v20. Полезно различать три операции: получить признаки изображения, оценить возможные связи, выбрать совместимый граф. [3,6]</w:t>
      </w:r>
    </w:p>
    <w:p>
      <w:r>
        <w:t>U-Net сжимает изображение, чтобы увидеть более широкий контекст, а затем восстанавливает пространственное разрешение. Прямые соединения между уровнями сохраняют детали. У нас три уровня с 32, 64 и 128 каналами; выход содержит 32 признака на воксель. Канал — отдельная выученная характеристика изображения, а не отдельная клетка.</w:t>
      </w:r>
    </w:p>
    <w:p>
      <w:r>
        <w:t>Сеть обрабатывает окно из двух кадров. Temporal attention позволяет признакам одной пространственной позиции учитывать соседний момент. Голова детекции переводит 32 признака в одно число для каждого вокселя. Sigmoid переводит выход детектора в диапазон от 0 до 1. После неё и поиска локальных максимумов появляются кандидаты центров.</w:t>
      </w:r>
    </w:p>
    <w:p>
      <w:r>
        <w:t>Для каждой пары центров соседних кадров трансформер использует признаки изображения и координаты. Он оценивает, насколько правдоподобна связь. Но независимые высокие оценки ещё могут конфликтовать: одна дочь не должна иметь двух родителей. Декодер — алгоритм выбора конечного графа — разрешает такие конфликты и применяет правила появления, исчезновения и деления.</w:t>
      </w:r>
    </w:p>
    <w:p>
      <w:r>
        <w:t>Два разных seed дают две отдельно обученные модели. Seed задаёт исходную случайность обучения; это не две разные архитектуры. DeepCenter — дополнительная сеть для центров, которую используем в графовых исправлениях. TTA означает несколько преобразованных вариантов одного входа с обратным совмещением выходов; это дополнительные вычисления, а не новые размеченные данные.</w:t>
      </w:r>
    </w:p>
    <w:p>
      <w:r>
        <w:t>Source-validation — проверочные ролики из обучающего эмбриона, исключённые из обновления весов. Два направления здесь означают обучение на 44b6 с проверкой на 6bba и наоборот, а не обратный ход времени. В сохранённом EXP214 основная модель (primary) обучалась до 90 эпох, source-validation выбрала эпоху 77. Вторая модель (secondary) обучалась до 60 эпох: для source44b6 выбрана эпоха 44, для source6bba — 19. Использованы сокращённые обучающие временные окна с отбором стартов двухкадровых окон через 4 кадра; проверочные ролики оценивались полностью. Поэтому «90 эпох» нельзя напрямую сравнивать с чужими «50 эпохами»: за эпоху модели могли видеть разное число окон и делать разное число шагов оптимизатора. [6]</w:t>
      </w:r>
    </w:p>
    <w:p>
      <w:r>
        <w:t>Наша сеть работает: результат 0,74273 воспроизведён. Проблема в том, что сложный ансамбль пока почти не превосходит классический baseline и уступает более удачному готовому решению. Это повод сменить опорную модель, а не добавлять сложность по инерции.</w:t>
      </w:r>
    </w:p>
    <w:p>
      <w:r>
        <w:br w:type="page"/>
      </w:r>
    </w:p>
    <w:p>
      <w:pPr>
        <w:pStyle w:val="Heading1"/>
      </w:pPr>
      <w:r>
        <w:t>Horaz0 что находится внутри</w:t>
      </w:r>
    </w:p>
    <w:p>
      <w:r>
        <w:t>Horaz0 использует ту же основную идею: TemporalUNet3D → центры и признаки → трансформер пар → конечный граф. В опубликованном config те же 32/64/128 каналов, 32 выходных признака, два кадра и входное уменьшение Z/Y/X = 1/4/4. Это подготовка входа, отдельно от внутренних pooling-слоёв U-Net. Это не ситуация «наша маленькая CNN против принципиально другого большого DL». [7]</w:t>
      </w:r>
    </w:p>
    <w:p>
      <w:r>
        <w:t>Первый фрагмент — блок U-Net из temporal_unet.py. Между двумя свёртками стоят нормализация и ReLU:</w:t>
      </w:r>
    </w:p>
    <w:p>
      <w:pPr>
        <w:keepLines/>
        <w:spacing w:line="240" w:lineRule="auto"/>
        <w:shd w:fill="F1F4F6"/>
      </w:pPr>
      <w:r>
        <w:rPr>
          <w:rFonts w:ascii="Consolas" w:hAnsi="Consolas"/>
          <w:sz w:val="17"/>
        </w:rPr>
        <w:t>nn.Conv3d(in_channels, out_channels, 3, padding=1, bias=False),</w:t>
        <w:br/>
        <w:t>nn.BatchNorm3d(out_channels),</w:t>
        <w:br/>
        <w:t>nn.ReLU(inplace=True),</w:t>
        <w:br/>
        <w:t>nn.Conv3d(out_channels, out_channels, 3, padding=1, bias=False),</w:t>
        <w:br/>
        <w:t>nn.BatchNorm3d(out_channels),</w:t>
        <w:br/>
        <w:t>nn.ReLU(inplace=True)</w:t>
      </w:r>
    </w:p>
    <w:p>
      <w:r>
        <w:t>Свёртка объединяет информацию из соседних вокселей. BatchNorm нормализует внутренние признаки. ReLU оставляет положительные значения и обнуляет отрицательные: ReLU(x) = max(0, x). Без нелинейности последовательность линейных преобразований имела бы гораздо более ограниченные возможности. Такой же блок есть в нашем основном U-Net.</w:t>
      </w:r>
    </w:p>
    <w:p>
      <w:r>
        <w:t>На более грубых уровнях Horaz применяет attention по времени с четырьмя головами. Головы — несколько параллельных способов сопоставить признаки. После увеличения разрешения признаки соединяются с сохранёнными деталями ранних уровней. На первом, самом большом уровне temporal attention выключен, как и в сравниваемом базовом коде нашей линии.</w:t>
      </w:r>
    </w:p>
    <w:p>
      <w:r>
        <w:t>Второй фрагмент — парная голова после трансформера, оценка связи из node_transformer.py, метод _score_pairs:</w:t>
      </w:r>
    </w:p>
    <w:p>
      <w:pPr>
        <w:keepLines/>
        <w:spacing w:line="240" w:lineRule="auto"/>
        <w:shd w:fill="F1F4F6"/>
      </w:pPr>
      <w:r>
        <w:rPr>
          <w:rFonts w:ascii="Consolas" w:hAnsi="Consolas"/>
          <w:sz w:val="17"/>
        </w:rPr>
        <w:t>displacement = (source_coords.unsqueeze(2)</w:t>
        <w:br/>
        <w:t xml:space="preserve">                - target_coords.unsqueeze(1)) / 100.0</w:t>
        <w:br/>
        <w:t>return self.pair_mlp(</w:t>
        <w:br/>
        <w:t xml:space="preserve">    torch.cat([source, target, displacement], dim=-1)</w:t>
        <w:br/>
        <w:t>).squeeze(-1)</w:t>
      </w:r>
    </w:p>
    <w:p>
      <w:r>
        <w:t>Вместе подаются признаки клетки-источника, клетки-кандидата и три компоненты смещения в индексах исходного объёма. Деление на 100 меняет масштаб чисел для сети; это не порог 100 мкм. На выходе получается logit — вещественная оценка связи до перевода в вероятности.</w:t>
      </w:r>
    </w:p>
    <w:p>
      <w:r>
        <w:t>Трансформер имеет размер признака 128, четыре блока и четыре головы, dropout 0,3. Парная сеть содержит слои 259→128→64→1 с активацией GELU; 259 = 128 + 128 + 3. GELU — гладкая нелинейность, GELU(x) = xΦ(x), где Φ — функция распределения стандартной нормальной величины. Dropout во время обучения случайно обнуляет часть признаков. Те же основные размеры и GELU присутствуют в нашем семействе. Замена ReLU на GELU не объясняет найденный разрыв.</w:t>
      </w:r>
    </w:p>
    <w:p>
      <w:r>
        <w:br w:type="page"/>
      </w:r>
    </w:p>
    <w:p>
      <w:pPr>
        <w:pStyle w:val="Heading1"/>
      </w:pPr>
      <w:r>
        <w:t>Horaz0 как обучение превращается в работающий граф</w:t>
      </w:r>
    </w:p>
    <w:p>
      <w:r>
        <w:t>Самый важный фрагмент для понимания задачи находится в losses.py. Это функция, штрафующая ошибки связей при неполной разметке:</w:t>
      </w:r>
    </w:p>
    <w:p>
      <w:pPr>
        <w:keepLines/>
        <w:spacing w:line="240" w:lineRule="auto"/>
        <w:shd w:fill="F1F4F6"/>
      </w:pPr>
      <w:r>
        <w:rPr>
          <w:rFonts w:ascii="Consolas" w:hAnsi="Consolas"/>
          <w:sz w:val="17"/>
        </w:rPr>
        <w:t>active_rows = target.sum(dim=1) &gt; 0</w:t>
        <w:br/>
        <w:t>active_columns = target.sum(dim=0) &gt; 0</w:t>
        <w:br/>
        <w:t>active = active_rows.unsqueeze(1) | active_columns.unsqueeze(0)</w:t>
        <w:br/>
        <w:t>probabilities = torch.softmax(logits.float(), dim=0)</w:t>
      </w:r>
    </w:p>
    <w:p>
      <w:r>
        <w:t>Строка target соответствует предку, столбец — кандидату-потомку: эту форму создают _score_pairs и batch_edge_loss. Знак | означает логическое ИЛИ. Маска включает все пары активной строки или столбца; исключает только сочетание двух неактивных узлов. Это защищает от грубой ошибки «всё неподписанное считать отрицательным примером». Далее focal_loss[active].mean() усредняет focal loss только по этой маске; более трудные ошибки получают больший вес. [7]</w:t>
      </w:r>
    </w:p>
    <w:p>
      <w:r>
        <w:t>Softmax по dim=0 нормирует конкуренцию родителей для каждого потомка. Один родитель при этом может получить высокую оценку для нескольких дочерей; ограничение допустимых связей окончательно задаёт графовый алгоритм. Перепутать ось softmax — значит изменить биологический смысл модели при внешне работающем коде.</w:t>
      </w:r>
    </w:p>
    <w:p>
      <w:r>
        <w:t>Детектор использует binary cross entropy, то есть штраф за неверные вероятности центров. Вклад положительных и отрицательных вокселей нормируется отдельно; Ldet = Lполож + 0,01 × Lотриц, где оба слагаемых — средние штрафы своих групп. Это вес слагаемого, а не гарантия, что фон даёт 1% итогового loss. Это не полное игнорирование неподписанных областей: код всё же слабо штрафует их как фон. Поэтому формулировка «все неизвестные клетки исключены из всех loss» была бы неверной.</w:t>
      </w:r>
    </w:p>
    <w:p>
      <w:r>
        <w:t>После сети Horaz выполняет адаптивную детекцию, выбор графа с ограничениями, закрытие пропусков, уточнение координат по яркости, сглаживание траекторий и осторожное восстановление делений. В config есть разные режимы по плотности клеток. Среди чисел: основной detection threshold 0,96875, edge threshold 0,35, максимальное расстояние кандидата связи 14 мкм. Эти пороги относятся к разным этапам; переносить их в другой pipeline без проверки нельзя. [7]</w:t>
      </w:r>
    </w:p>
    <w:tbl>
      <w:tblPr>
        <w:tblW w:type="auto" w:w="0"/>
        <w:tblLayout w:type="fixed"/>
        <w:tblLook w:firstColumn="1" w:firstRow="1" w:lastColumn="0" w:lastRow="0" w:noHBand="0" w:noVBand="1" w:val="04A0"/>
      </w:tblPr>
      <w:tblGrid>
        <w:gridCol w:w="3250"/>
        <w:gridCol w:w="3250"/>
        <w:gridCol w:w="3250"/>
      </w:tblGrid>
      <w:tr>
        <w:trPr>
          <w:cantSplit/>
          <w:tblHeader/>
        </w:trPr>
        <w:tc>
          <w:tcPr>
            <w:tcW w:type="dxa" w:w="2448"/>
            <w:shd w:fill="DDEAF1"/>
          </w:tcPr>
          <w:p>
            <w:pPr>
              <w:spacing w:after="100" w:before="100"/>
            </w:pPr>
            <w:r>
              <w:rPr>
                <w:b/>
                <w:sz w:val="20"/>
              </w:rPr>
              <w:t>Часть решения</w:t>
            </w:r>
          </w:p>
        </w:tc>
        <w:tc>
          <w:tcPr>
            <w:tcW w:type="dxa" w:w="2232"/>
            <w:shd w:fill="DDEAF1"/>
          </w:tcPr>
          <w:p>
            <w:pPr>
              <w:spacing w:after="100" w:before="100"/>
            </w:pPr>
            <w:r>
              <w:rPr>
                <w:b/>
                <w:sz w:val="20"/>
              </w:rPr>
              <w:t>Наш EXP214</w:t>
            </w:r>
          </w:p>
        </w:tc>
        <w:tc>
          <w:tcPr>
            <w:tcW w:type="dxa" w:w="5040"/>
            <w:shd w:fill="DDEAF1"/>
          </w:tcPr>
          <w:p>
            <w:pPr>
              <w:spacing w:after="100" w:before="100"/>
            </w:pPr>
            <w:r>
              <w:rPr>
                <w:b/>
                <w:sz w:val="20"/>
              </w:rPr>
              <w:t>Horaz0</w:t>
            </w:r>
          </w:p>
        </w:tc>
      </w:tr>
      <w:tr>
        <w:trPr>
          <w:cantSplit/>
        </w:trPr>
        <w:tc>
          <w:tcPr>
            <w:tcW w:type="dxa" w:w="2448"/>
            <w:shd w:fill="F4F7F9"/>
          </w:tcPr>
          <w:p>
            <w:pPr>
              <w:spacing w:after="100" w:before="100"/>
            </w:pPr>
            <w:r>
              <w:rPr>
                <w:b w:val="0"/>
                <w:sz w:val="20"/>
              </w:rPr>
              <w:t>Основное нейросетевое ядро</w:t>
            </w:r>
          </w:p>
        </w:tc>
        <w:tc>
          <w:tcPr>
            <w:tcW w:type="dxa" w:w="2232"/>
            <w:shd w:fill="F4F7F9"/>
          </w:tcPr>
          <w:p>
            <w:pPr>
              <w:spacing w:after="100" w:before="100"/>
            </w:pPr>
            <w:r>
              <w:rPr>
                <w:b w:val="0"/>
                <w:sz w:val="20"/>
              </w:rPr>
              <w:t>U-Net 32/64/128 и transformer</w:t>
            </w:r>
          </w:p>
        </w:tc>
        <w:tc>
          <w:tcPr>
            <w:tcW w:type="dxa" w:w="5040"/>
            <w:shd w:fill="F4F7F9"/>
          </w:tcPr>
          <w:p>
            <w:pPr>
              <w:spacing w:after="100" w:before="100"/>
            </w:pPr>
            <w:r>
              <w:rPr>
                <w:b w:val="0"/>
                <w:sz w:val="20"/>
              </w:rPr>
              <w:t>То же семейство и основные размеры</w:t>
            </w:r>
          </w:p>
        </w:tc>
      </w:tr>
      <w:tr>
        <w:trPr>
          <w:cantSplit/>
        </w:trPr>
        <w:tc>
          <w:tcPr>
            <w:tcW w:type="dxa" w:w="2448"/>
            <w:shd w:fill="FFFFFF"/>
          </w:tcPr>
          <w:p>
            <w:pPr>
              <w:spacing w:after="100" w:before="100"/>
            </w:pPr>
            <w:r>
              <w:rPr>
                <w:b w:val="0"/>
                <w:sz w:val="20"/>
              </w:rPr>
              <w:t>Обучение</w:t>
            </w:r>
          </w:p>
        </w:tc>
        <w:tc>
          <w:tcPr>
            <w:tcW w:type="dxa" w:w="2232"/>
            <w:shd w:fill="FFFFFF"/>
          </w:tcPr>
          <w:p>
            <w:pPr>
              <w:spacing w:after="100" w:before="100"/>
            </w:pPr>
            <w:r>
              <w:rPr>
                <w:b w:val="0"/>
                <w:sz w:val="20"/>
              </w:rPr>
              <w:t>Сокращённые окна, два seed, source-selection</w:t>
            </w:r>
          </w:p>
        </w:tc>
        <w:tc>
          <w:tcPr>
            <w:tcW w:type="dxa" w:w="5040"/>
            <w:shd w:fill="FFFFFF"/>
          </w:tcPr>
          <w:p>
            <w:pPr>
              <w:spacing w:after="100" w:before="100"/>
            </w:pPr>
            <w:r>
              <w:rPr>
                <w:b w:val="0"/>
                <w:sz w:val="20"/>
              </w:rPr>
              <w:t>50 эпох; для двух проверочных групп выбраны эпохи 50 и 20</w:t>
            </w:r>
          </w:p>
        </w:tc>
      </w:tr>
      <w:tr>
        <w:trPr>
          <w:cantSplit/>
        </w:trPr>
        <w:tc>
          <w:tcPr>
            <w:tcW w:type="dxa" w:w="2448"/>
            <w:shd w:fill="F4F7F9"/>
          </w:tcPr>
          <w:p>
            <w:pPr>
              <w:spacing w:after="100" w:before="100"/>
            </w:pPr>
            <w:r>
              <w:rPr>
                <w:b w:val="0"/>
                <w:sz w:val="20"/>
              </w:rPr>
              <w:t>Дополнительный центр-детектор</w:t>
            </w:r>
          </w:p>
        </w:tc>
        <w:tc>
          <w:tcPr>
            <w:tcW w:type="dxa" w:w="2232"/>
            <w:shd w:fill="F4F7F9"/>
          </w:tcPr>
          <w:p>
            <w:pPr>
              <w:spacing w:after="100" w:before="100"/>
            </w:pPr>
            <w:r>
              <w:rPr>
                <w:b w:val="0"/>
                <w:sz w:val="20"/>
              </w:rPr>
              <w:t>DeepCenter</w:t>
            </w:r>
          </w:p>
        </w:tc>
        <w:tc>
          <w:tcPr>
            <w:tcW w:type="dxa" w:w="5040"/>
            <w:shd w:fill="F4F7F9"/>
          </w:tcPr>
          <w:p>
            <w:pPr>
              <w:spacing w:after="100" w:before="100"/>
            </w:pPr>
            <w:r>
              <w:rPr>
                <w:b w:val="0"/>
                <w:sz w:val="20"/>
              </w:rPr>
              <w:t>В проверенных исходниках отдельный DeepCenter не используется</w:t>
            </w:r>
          </w:p>
        </w:tc>
      </w:tr>
      <w:tr>
        <w:trPr>
          <w:cantSplit/>
        </w:trPr>
        <w:tc>
          <w:tcPr>
            <w:tcW w:type="dxa" w:w="2448"/>
            <w:shd w:fill="FFFFFF"/>
          </w:tcPr>
          <w:p>
            <w:pPr>
              <w:spacing w:after="100" w:before="100"/>
            </w:pPr>
            <w:r>
              <w:rPr>
                <w:b w:val="0"/>
                <w:sz w:val="20"/>
              </w:rPr>
              <w:t>Конечный граф</w:t>
            </w:r>
          </w:p>
        </w:tc>
        <w:tc>
          <w:tcPr>
            <w:tcW w:type="dxa" w:w="2232"/>
            <w:shd w:fill="FFFFFF"/>
          </w:tcPr>
          <w:p>
            <w:pPr>
              <w:spacing w:after="100" w:before="100"/>
            </w:pPr>
            <w:r>
              <w:rPr>
                <w:b w:val="0"/>
                <w:sz w:val="20"/>
              </w:rPr>
              <w:t>COMPACT47 v20</w:t>
            </w:r>
          </w:p>
        </w:tc>
        <w:tc>
          <w:tcPr>
            <w:tcW w:type="dxa" w:w="5040"/>
            <w:shd w:fill="FFFFFF"/>
          </w:tcPr>
          <w:p>
            <w:pPr>
              <w:spacing w:after="100" w:before="100"/>
            </w:pPr>
            <w:r>
              <w:rPr>
                <w:b w:val="0"/>
                <w:sz w:val="20"/>
              </w:rPr>
              <w:t>Собственные режимы детекции и постобработки</w:t>
            </w:r>
          </w:p>
        </w:tc>
      </w:tr>
      <w:tr>
        <w:trPr>
          <w:cantSplit/>
        </w:trPr>
        <w:tc>
          <w:tcPr>
            <w:tcW w:type="dxa" w:w="2448"/>
            <w:shd w:fill="F4F7F9"/>
          </w:tcPr>
          <w:p>
            <w:pPr>
              <w:spacing w:after="100" w:before="100"/>
            </w:pPr>
            <w:r>
              <w:rPr>
                <w:b w:val="0"/>
                <w:sz w:val="20"/>
              </w:rPr>
              <w:t>Локальный score</w:t>
            </w:r>
          </w:p>
        </w:tc>
        <w:tc>
          <w:tcPr>
            <w:tcW w:type="dxa" w:w="2232"/>
            <w:shd w:fill="F4F7F9"/>
          </w:tcPr>
          <w:p>
            <w:pPr>
              <w:spacing w:after="100" w:before="100"/>
            </w:pPr>
            <w:r>
              <w:rPr>
                <w:b w:val="0"/>
                <w:sz w:val="20"/>
              </w:rPr>
              <w:t>0,74273</w:t>
            </w:r>
          </w:p>
        </w:tc>
        <w:tc>
          <w:tcPr>
            <w:tcW w:type="dxa" w:w="5040"/>
            <w:shd w:fill="F4F7F9"/>
          </w:tcPr>
          <w:p>
            <w:pPr>
              <w:spacing w:after="100" w:before="100"/>
            </w:pPr>
            <w:r>
              <w:rPr>
                <w:b w:val="0"/>
                <w:sz w:val="20"/>
              </w:rPr>
              <w:t>0,79499</w:t>
            </w:r>
          </w:p>
        </w:tc>
      </w:tr>
    </w:tbl>
    <w:p>
      <w:pPr>
        <w:spacing w:after="0"/>
      </w:pPr>
    </w:p>
    <w:p>
      <w:r>
        <w:t>Код объясняет, какие возможности есть у метода. Он не доказывает, какая конкретная возможность принесла выигрыш. Для этого нужно заменить один компонент, оставив остальные прежними.</w:t>
      </w:r>
    </w:p>
    <w:p>
      <w:r>
        <w:br w:type="page"/>
      </w:r>
    </w:p>
    <w:p>
      <w:pPr>
        <w:pStyle w:val="Heading1"/>
      </w:pPr>
      <w:r>
        <w:t>Почему наше решение уступило и что было сделано неудачно</w:t>
      </w:r>
    </w:p>
    <w:p>
      <w:r>
        <w:t>На одинаковых роликах Horaz selected выигрывает 0,05226. На части 44b6 результаты Horaz/наш составляют соответственно 0,83672/0,80521; на части 6bba — 0,78737/0,73181. Это измеренный результат конкретных сохранённых моделей и декодеров. 44b6 и 6bba — обозначения двух эмбрионов, 59 и 116 роликов. Общий score не является простым средним их scores. Причины разрыва ещё не разделены экспериментально. [1]</w:t>
      </w:r>
    </w:p>
    <w:p>
      <w:r>
        <w:t>Checkpoint — сохранённое состояние модели после некоторого числа шагов обучения. Выбирать лучшую эпоху по validation — обычная практика, но тогда validation участвует в выборе. У нас использовалась проверка внутри обучающего эмбриона, у Horaz — тот fold, на котором затем сообщали результат. Это разные условия выбора. Сам score Horaz от этого не исчезает; приписывать весь выигрыш архитектуре или объявлять решение неправильным тоже нельзя.</w:t>
      </w:r>
    </w:p>
    <w:p>
      <w:r>
        <w:t>Контроль Horaz с последними эпохами 50/50 даёт 0,73870 на тех же 175 роликах при том же декодере. Изменился результат второго направления, где selected использует эпоху 20. Это показывает, что дополнительные эпохи способны ухудшить готовую систему. Это не измерение «размера нечестности» и не доказательство превосходства нашей архитектуры.</w:t>
      </w:r>
    </w:p>
    <w:p>
      <w:r>
        <w:t>Что действительно стоит исправить в нашей работе:</w:t>
      </w:r>
    </w:p>
    <w:p>
      <w:r>
        <w:t>1. Сильный классический контроль и Horaz были проверены поздно относительно накопленной сложности EXP214. Теперь видно, что основную инвестицию следует направить в разбор разрыва с Horaz, а не в поддержание прежнего фаворита.</w:t>
      </w:r>
    </w:p>
    <w:p>
      <w:r>
        <w:t>2. Мы использовали показатели отдельных стадий как ориентиры. EXP221 дал прирост промежуточного показателя качества на source-validation, но прирост конечного графа оказался лишь 0,00058 на восьми роликах. Проверять конечный граф нужно раньше; такой показатель — только диагностический сигнал.</w:t>
      </w:r>
    </w:p>
    <w:p>
      <w:r>
        <w:t>3. Дополнительное обучение не было устойчивым способом улучшения: EXP217 дал 0,73686 вместо 0,74273 на тех же 175 роликах. Число эпох не заменяет диагноз ошибки и сопоставление объёма обучения.</w:t>
      </w:r>
    </w:p>
    <w:p>
      <w:r>
        <w:t>4. В истории есть конкретная инженерная ошибка: EXP094–097 читали готовые публичные CSV вместо выполнения inference на runtime-данных. Это привело к провалу формата на скрытом запуске. Она не объясняет score EXP214, но показывает, почему агент должен доказывать весь путь данных, а не только наличие корректного CSV. [8]</w:t>
      </w:r>
    </w:p>
    <w:p>
      <w:r>
        <w:t>Указанные ошибки организации и проверки кода — ответственность агента. Вы вправе поставить широкую цель «добиться 0,8»; агент должен сам превратить её в проверяемые шаги. Пользователю не нужно угадывать инженерные дефекты по уверенным сообщениям. Перед дорогим запуском нужен короткий опыт, который отделяет одну возможную причину от другой.</w:t>
      </w:r>
    </w:p>
    <w:p>
      <w:r>
        <w:br w:type="page"/>
      </w:r>
    </w:p>
    <w:p>
      <w:pPr>
        <w:pStyle w:val="Heading1"/>
      </w:pPr>
      <w:r>
        <w:t>Публичные веса за высокими результатами LB</w:t>
      </w:r>
    </w:p>
    <w:p>
      <w:r>
        <w:t>Четвёртое решение — семейство публичных весов автора Pilkwang: основной Biohub Tracking Support Pack, второй seed TemporalUNet3D и DeepCenter. Именно эти три dataset подключены и к проверенному нами публичному notebook P26 (название версии решения), и к Biohub Geometric Fusion, стоящему первым в свежей выборке Kaggle notebooks с сортировкой по убыванию score. Сортировка не сообщает точный score модели и не доказывает, что это лучшие доступные веса вообще. [9]</w:t>
      </w:r>
    </w:p>
    <w:p>
      <w:r>
        <w:t>У нашего воспроизведения P26 подтверждён public LB score 0,947. Это не локальный OOF. Это результат полного notebook: загрузка изображений, несколько моделей, объединение оценок и графовые исправления. Нельзя приписать 0,947 одному файлу edge_predictor_best.pth. Название этого файла тоже вводит в заблуждение: внутри сохранён полный detector + transformer, а не только маленький классификатор рёбер.</w:t>
      </w:r>
    </w:p>
    <w:tbl>
      <w:tblPr>
        <w:tblW w:type="auto" w:w="0"/>
        <w:tblLayout w:type="fixed"/>
        <w:tblLook w:firstColumn="1" w:firstRow="1" w:lastColumn="0" w:lastRow="0" w:noHBand="0" w:noVBand="1" w:val="04A0"/>
      </w:tblPr>
      <w:tblGrid>
        <w:gridCol w:w="4874"/>
        <w:gridCol w:w="4874"/>
      </w:tblGrid>
      <w:tr>
        <w:trPr>
          <w:cantSplit/>
          <w:tblHeader/>
        </w:trPr>
        <w:tc>
          <w:tcPr>
            <w:tcW w:type="dxa" w:w="3168"/>
            <w:shd w:fill="DDEAF1"/>
          </w:tcPr>
          <w:p>
            <w:pPr>
              <w:spacing w:after="100" w:before="100"/>
            </w:pPr>
            <w:r>
              <w:rPr>
                <w:b/>
                <w:sz w:val="20"/>
              </w:rPr>
              <w:t>Компонент</w:t>
            </w:r>
          </w:p>
        </w:tc>
        <w:tc>
          <w:tcPr>
            <w:tcW w:type="dxa" w:w="6552"/>
            <w:shd w:fill="DDEAF1"/>
          </w:tcPr>
          <w:p>
            <w:pPr>
              <w:spacing w:after="100" w:before="100"/>
            </w:pPr>
            <w:r>
              <w:rPr>
                <w:b/>
                <w:sz w:val="20"/>
              </w:rPr>
              <w:t>Что подтверждено</w:t>
            </w:r>
          </w:p>
        </w:tc>
      </w:tr>
      <w:tr>
        <w:trPr>
          <w:cantSplit/>
        </w:trPr>
        <w:tc>
          <w:tcPr>
            <w:tcW w:type="dxa" w:w="3168"/>
            <w:shd w:fill="F4F7F9"/>
          </w:tcPr>
          <w:p>
            <w:pPr>
              <w:spacing w:after="100" w:before="100"/>
            </w:pPr>
            <w:r>
              <w:rPr>
                <w:b w:val="0"/>
                <w:sz w:val="20"/>
              </w:rPr>
              <w:t>pilkwang/biohub-tracking-support-pack-50ep-v1</w:t>
            </w:r>
          </w:p>
        </w:tc>
        <w:tc>
          <w:tcPr>
            <w:tcW w:type="dxa" w:w="6552"/>
            <w:shd w:fill="F4F7F9"/>
          </w:tcPr>
          <w:p>
            <w:pPr>
              <w:spacing w:after="100" w:before="100"/>
            </w:pPr>
            <w:r>
              <w:rPr>
                <w:b w:val="0"/>
                <w:sz w:val="20"/>
              </w:rPr>
              <w:t>В локальном manifest snapshot указан 400 эпох; U-Net 32/64/128, два кадра, 32 выходных признака</w:t>
            </w:r>
          </w:p>
        </w:tc>
      </w:tr>
      <w:tr>
        <w:trPr>
          <w:cantSplit/>
        </w:trPr>
        <w:tc>
          <w:tcPr>
            <w:tcW w:type="dxa" w:w="3168"/>
            <w:shd w:fill="FFFFFF"/>
          </w:tcPr>
          <w:p>
            <w:pPr>
              <w:spacing w:after="100" w:before="100"/>
            </w:pPr>
            <w:r>
              <w:rPr>
                <w:b w:val="0"/>
                <w:sz w:val="20"/>
              </w:rPr>
              <w:t>pilkwang/biohub-temporal-unet3d-seed314159-v1</w:t>
            </w:r>
          </w:p>
        </w:tc>
        <w:tc>
          <w:tcPr>
            <w:tcW w:type="dxa" w:w="6552"/>
            <w:shd w:fill="FFFFFF"/>
          </w:tcPr>
          <w:p>
            <w:pPr>
              <w:spacing w:after="100" w:before="100"/>
            </w:pPr>
            <w:r>
              <w:rPr>
                <w:b w:val="0"/>
                <w:sz w:val="20"/>
              </w:rPr>
              <w:t>Та же архитектура; снимок после 400 эпох, выбранные веса эпохи 381; обучение на 199 роликах</w:t>
            </w:r>
          </w:p>
        </w:tc>
      </w:tr>
      <w:tr>
        <w:trPr>
          <w:cantSplit/>
        </w:trPr>
        <w:tc>
          <w:tcPr>
            <w:tcW w:type="dxa" w:w="3168"/>
            <w:shd w:fill="F4F7F9"/>
          </w:tcPr>
          <w:p>
            <w:pPr>
              <w:spacing w:after="100" w:before="100"/>
            </w:pPr>
            <w:r>
              <w:rPr>
                <w:b w:val="0"/>
                <w:sz w:val="20"/>
              </w:rPr>
              <w:t>pilkwang/biohub-deepcenter-unet3d-center-prior-v1</w:t>
            </w:r>
          </w:p>
        </w:tc>
        <w:tc>
          <w:tcPr>
            <w:tcW w:type="dxa" w:w="6552"/>
            <w:shd w:fill="F4F7F9"/>
          </w:tcPr>
          <w:p>
            <w:pPr>
              <w:spacing w:after="100" w:before="100"/>
            </w:pPr>
            <w:r>
              <w:rPr>
                <w:b w:val="0"/>
                <w:sz w:val="20"/>
              </w:rPr>
              <w:t>Дополнительный detector центров; использовать вместе с точным кодом и config</w:t>
            </w:r>
          </w:p>
        </w:tc>
      </w:tr>
    </w:tbl>
    <w:p>
      <w:pPr>
        <w:spacing w:after="0"/>
      </w:pPr>
    </w:p>
    <w:p>
      <w:r>
        <w:t>Суффикс 50ep в URL не гарантирует 50 эпох конкретного файла. Для воспроизводимости нужны manifest и SHA256 — цифровой отпечаток байтов. Основной сохранённый вес: 12f6881e…562fe771; второй seed: 9bac2fa0…e305f. Полные отпечатки и пути приведены в приложении. [6,9]</w:t>
      </w:r>
    </w:p>
    <w:p>
      <w:r>
        <w:t>Это не доказанный «масштабированный Horaz». Скорее, обе линии используют общее архитектурное семейство организаторов. У публичной линии существенно больший заявленный объём обучения и дополнительные компоненты, но основные ширины U-Net не увеличены. Более длительное обучение и ансамбль могут помочь; они не наследуют измеренный OOF Horaz.</w:t>
      </w:r>
    </w:p>
    <w:p>
      <w:r>
        <w:t>Особенно важно: невозможность честного OOF для готового all-train веса — не просто нехватка GPU. Если он обучался на всех 199 роликах, его повторный inference на наших 175 не станет OOF при любом количестве ресурсов. Для честной проверки нужны веса, обученные без соответствующего fold, либо новые данные, которых эти веса не видели. Переобучение по folds проверит рецепт обучения, но уже не тот самый готовый файл.</w:t>
      </w:r>
    </w:p>
    <w:p>
      <w:r>
        <w:br w:type="page"/>
      </w:r>
    </w:p>
    <w:p>
      <w:pPr>
        <w:pStyle w:val="Heading1"/>
      </w:pPr>
      <w:r>
        <w:t>Можно ли доверять сильным готовым весам</w:t>
      </w:r>
    </w:p>
    <w:p>
      <w:r>
        <w:t>Да, готовые веса имеют смысл использовать как практический ресурс. Но нужно точно назвать, чему мы доверяем. Проверенный hash и успешный запуск подтверждают воспроизводимость. Код и manifest объясняют устройство. Public score показывает результат конкретной системы на leaderboard. Ни один из этих пунктов не присваивает готовым весам неизвестный локальный OOF.</w:t>
      </w:r>
    </w:p>
    <w:p>
      <w:r>
        <w:t>Для нашей цели — улучшить фиксированный локальный OOF — Horaz остаётся более обоснованной отправной точкой. Публичную линию полезно изучать как источник способов детекции, объединения моделей и исправления графа. Использовать её all-train предсказания для выбора локальных порогов, а затем назвать результат честным OOF нельзя. То же относится к обучению на её псевдометках проверочных роликов: информация о них не исчезает при смене модели.</w:t>
      </w:r>
    </w:p>
    <w:p>
      <w:r>
        <w:t>Если отдельная цель — использовать сильное публичное решение на новых данных, готовый ансамбль вполне может быть рациональным выбором даже без retrain. Тогда честная формулировка: «есть подтверждённый public результат и проверенный pipeline; сопоставимое локальное превосходство не установлено». В текущем документе это возможность применения, а не рекомендация отправить submission.</w:t>
      </w:r>
    </w:p>
    <w:p>
      <w:r>
        <w:t>Без нового большого обучения можно сделать три содержательных проверки. Первая — восстановить точную цепочку notebook → версии dataset → hashes → архитектура → preprocessing. Вторая — проверить, что все компоненты действительно используются, а координаты и вероятности совмещены правильно. Третья — сравнить ошибки на данных, которые заведомо не участвовали в обучении; если таких данных нет, оставить вывод о сравнительном качестве открытым.</w:t>
      </w:r>
    </w:p>
    <w:p>
      <w:r>
        <w:t>Для гибрида с baseline есть три разных применения. Кандидаты: классика предлагает дополнительный центр, а сеть и граф решают, включать ли его. Fallback: при заранее определённом сбое нейросетевой стадии используется классика. Ансамбль: объединяются оценки совместимых узлов или связей. Простое объединение всех найденных клеток может добавить дубликаты и ухудшить метрику.</w:t>
      </w:r>
    </w:p>
    <w:p>
      <w:r>
        <w:t>У нас уже есть небольшой положительный сигнал для геометрического связывания: на восьми source-validation роликах одинаковые узлы нашего EXP221 control + венгерский алгоритм (Hungarian) дали 0,81022 вместо 0,80801. Узлы и координаты сохранены, менялись связи. Это полезная проверка механизма, но не результат 0,81 на 175 роликах. Классика не спасла два специально проверенных тяжёлых ролика по полноте детекции. Универсальный fallback пока не подтверждён. [2,10]</w:t>
      </w:r>
    </w:p>
    <w:p>
      <w:r>
        <w:br w:type="page"/>
      </w:r>
    </w:p>
    <w:p>
      <w:pPr>
        <w:pStyle w:val="Heading1"/>
      </w:pPr>
      <w:r>
        <w:t>Что изучить и что лично проверять</w:t>
      </w:r>
    </w:p>
    <w:p>
      <w:r>
        <w:t>Вам не нужно сначала пройти ещё один большой курс DL. Для этой задачи полезнее разобраться в трёх вещах: что означают данные, за какую ошибку штрафуют обучение и соревнование, как устроен опыт с одним изменением. Для каждой есть короткое упражнение с проверяемым ответом.</w:t>
      </w:r>
    </w:p>
    <w:p>
      <w:pPr>
        <w:pStyle w:val="Heading2"/>
      </w:pPr>
      <w:r>
        <w:t>Данные и координаты</w:t>
      </w:r>
    </w:p>
    <w:p>
      <w:r>
        <w:t>Попросите агента показать два соседних кадра с разметкой и предсказаниями. Найдите одну клетку сами. Проследите её координаты от исходного изображения до уменьшенного входа сети и обратно. Если точка не возвращается на место, увеличение модели не исправит задачу. Разметку в коде часто называют GT, от ground truth.</w:t>
      </w:r>
    </w:p>
    <w:p>
      <w:pPr>
        <w:pStyle w:val="Heading2"/>
      </w:pPr>
      <w:r>
        <w:t>Штраф при обучении и конечная оценка</w:t>
      </w:r>
    </w:p>
    <w:p>
      <w:r>
        <w:t>Loss — число, которое обучение старается уменьшить. Score — оценка уже построенных траекторий по правилам соревнования. Они связаны, но не обязаны улучшаться одновременно: сеть может лучше предсказывать яркие центры и по-прежнему путать соседей.</w:t>
      </w:r>
    </w:p>
    <w:p>
      <w:r>
        <w:t>Возьмите два возможных родителя и трёх потомков. Получится таблица из шести возможных связей. Попросите подписать, какие клетки соответствуют строкам и столбцам, какие пары известны из разметки и какие включает маска loss. Затем вручную испортите одну связь в готовом графе и проверьте изменение официального score. Это полезнее чтения формулы без примера.</w:t>
      </w:r>
    </w:p>
    <w:p>
      <w:pPr>
        <w:pStyle w:val="Heading2"/>
      </w:pPr>
      <w:r>
        <w:t>Обучаемость и одно изменение за раз</w:t>
      </w:r>
    </w:p>
    <w:p>
      <w:r>
        <w:t>Проверьте, способна ли сеть почти выучить 1–2 коротких размеченных фрагмента. Этот опыт называют tiny-set overfit. Если не способна, проверяют цели, координаты, расчёт loss и градиенты — величины, по которым обновляются веса. Если способна, обучение технически работает; качество на других роликах ещё нужно измерить. При неполной разметке не требуйте считать все неподписанные клетки фоном.</w:t>
      </w:r>
    </w:p>
    <w:p>
      <w:r>
        <w:t>Затем оставьте найденные центры неизменными и замените только способ связывания. Такой опыт отвечает на один вопрос: помогают ли другие связи при тех же клетках? Одновременная замена детектора, обучения и порогов этого ответа не даёт.</w:t>
      </w:r>
    </w:p>
    <w:p>
      <w:r>
        <w:t>Перед запуском вам достаточно понимать: где обновляются веса, где выбираются эпоха и пороги, чем оценивается конечный результат и при каком результате работа остановится. Загрузчики, тесты, визуализации и сбор отчётов можно делегировать. Самому нужно уметь понять, отвечает ли сравнение на поставленный вопрос.</w:t>
      </w:r>
    </w:p>
    <w:p>
      <w:r>
        <w:br w:type="page"/>
      </w:r>
    </w:p>
    <w:p>
      <w:pPr>
        <w:pStyle w:val="Heading1"/>
      </w:pPr>
      <w:r>
        <w:t>Как получать от LLM проверяемую пользу</w:t>
      </w:r>
    </w:p>
    <w:p>
      <w:r>
        <w:t>Поручение «разберись и улучши модель» допустимо. От агента нужно требовать не только код, но и объяснение, какой опыт он проведёт и что будет означать каждый возможный результат. Качество работы измеряется подтверждённым изменением score или исключённой причиной ошибки. Количество идей и занятых GPU этого не показывает.</w:t>
      </w:r>
    </w:p>
    <w:p>
      <w:pPr>
        <w:pStyle w:val="Heading2"/>
      </w:pPr>
      <w:r>
        <w:t>До большого запуска нужны четыре результата</w:t>
      </w:r>
    </w:p>
    <w:tbl>
      <w:tblPr>
        <w:tblW w:type="auto" w:w="0"/>
        <w:tblLayout w:type="fixed"/>
        <w:tblLook w:firstColumn="1" w:firstRow="1" w:lastColumn="0" w:lastRow="0" w:noHBand="0" w:noVBand="1" w:val="04A0"/>
      </w:tblPr>
      <w:tblGrid>
        <w:gridCol w:w="4874"/>
        <w:gridCol w:w="4874"/>
      </w:tblGrid>
      <w:tr>
        <w:trPr>
          <w:cantSplit/>
          <w:tblHeader/>
        </w:trPr>
        <w:tc>
          <w:tcPr>
            <w:tcW w:type="dxa" w:w="3168"/>
            <w:shd w:fill="DDEAF1"/>
          </w:tcPr>
          <w:p>
            <w:pPr>
              <w:spacing w:after="100" w:before="100"/>
            </w:pPr>
            <w:r>
              <w:rPr>
                <w:b/>
                <w:sz w:val="20"/>
              </w:rPr>
              <w:t>Проверка</w:t>
            </w:r>
          </w:p>
        </w:tc>
        <w:tc>
          <w:tcPr>
            <w:tcW w:type="dxa" w:w="6552"/>
            <w:shd w:fill="DDEAF1"/>
          </w:tcPr>
          <w:p>
            <w:pPr>
              <w:spacing w:after="100" w:before="100"/>
            </w:pPr>
            <w:r>
              <w:rPr>
                <w:b/>
                <w:sz w:val="20"/>
              </w:rPr>
              <w:t>Что агент должен предъявить</w:t>
            </w:r>
          </w:p>
        </w:tc>
      </w:tr>
      <w:tr>
        <w:trPr>
          <w:cantSplit/>
        </w:trPr>
        <w:tc>
          <w:tcPr>
            <w:tcW w:type="dxa" w:w="3168"/>
            <w:shd w:fill="F4F7F9"/>
          </w:tcPr>
          <w:p>
            <w:pPr>
              <w:spacing w:after="100" w:before="100"/>
            </w:pPr>
            <w:r>
              <w:rPr>
                <w:b w:val="0"/>
                <w:sz w:val="20"/>
              </w:rPr>
              <w:t>Воспроизведение</w:t>
            </w:r>
          </w:p>
        </w:tc>
        <w:tc>
          <w:tcPr>
            <w:tcW w:type="dxa" w:w="6552"/>
            <w:shd w:fill="F4F7F9"/>
          </w:tcPr>
          <w:p>
            <w:pPr>
              <w:spacing w:after="100" w:before="100"/>
            </w:pPr>
            <w:r>
              <w:rPr>
                <w:b w:val="0"/>
                <w:sz w:val="20"/>
              </w:rPr>
              <w:t>Исходный score на закреплённых данных и версиях кода. Если он не совпал, сначала объяснить расхождение</w:t>
            </w:r>
          </w:p>
        </w:tc>
      </w:tr>
      <w:tr>
        <w:trPr>
          <w:cantSplit/>
        </w:trPr>
        <w:tc>
          <w:tcPr>
            <w:tcW w:type="dxa" w:w="3168"/>
            <w:shd w:fill="FFFFFF"/>
          </w:tcPr>
          <w:p>
            <w:pPr>
              <w:spacing w:after="100" w:before="100"/>
            </w:pPr>
            <w:r>
              <w:rPr>
                <w:b w:val="0"/>
                <w:sz w:val="20"/>
              </w:rPr>
              <w:t>Диагноз</w:t>
            </w:r>
          </w:p>
        </w:tc>
        <w:tc>
          <w:tcPr>
            <w:tcW w:type="dxa" w:w="6552"/>
            <w:shd w:fill="FFFFFF"/>
          </w:tcPr>
          <w:p>
            <w:pPr>
              <w:spacing w:after="100" w:before="100"/>
            </w:pPr>
            <w:r>
              <w:rPr>
                <w:b w:val="0"/>
                <w:sz w:val="20"/>
              </w:rPr>
              <w:t>Несколько изображений конкретных ошибок и их счётчики. «Модель слабая» или «нужно больше эпох» — пока только догадка</w:t>
            </w:r>
          </w:p>
        </w:tc>
      </w:tr>
      <w:tr>
        <w:trPr>
          <w:cantSplit/>
        </w:trPr>
        <w:tc>
          <w:tcPr>
            <w:tcW w:type="dxa" w:w="3168"/>
            <w:shd w:fill="F4F7F9"/>
          </w:tcPr>
          <w:p>
            <w:pPr>
              <w:spacing w:after="100" w:before="100"/>
            </w:pPr>
            <w:r>
              <w:rPr>
                <w:b w:val="0"/>
                <w:sz w:val="20"/>
              </w:rPr>
              <w:t>Один опыт</w:t>
            </w:r>
          </w:p>
        </w:tc>
        <w:tc>
          <w:tcPr>
            <w:tcW w:type="dxa" w:w="6552"/>
            <w:shd w:fill="F4F7F9"/>
          </w:tcPr>
          <w:p>
            <w:pPr>
              <w:spacing w:after="100" w:before="100"/>
            </w:pPr>
            <w:r>
              <w:rPr>
                <w:b w:val="0"/>
                <w:sz w:val="20"/>
              </w:rPr>
              <w:t>Одно изменение, неизменный контроль, правило выбора эпохи и критерий успеха, записанные до полного расчёта</w:t>
            </w:r>
          </w:p>
        </w:tc>
      </w:tr>
      <w:tr>
        <w:trPr>
          <w:cantSplit/>
        </w:trPr>
        <w:tc>
          <w:tcPr>
            <w:tcW w:type="dxa" w:w="3168"/>
            <w:shd w:fill="FFFFFF"/>
          </w:tcPr>
          <w:p>
            <w:pPr>
              <w:spacing w:after="100" w:before="100"/>
            </w:pPr>
            <w:r>
              <w:rPr>
                <w:b w:val="0"/>
                <w:sz w:val="20"/>
              </w:rPr>
              <w:t>Цена проверки</w:t>
            </w:r>
          </w:p>
        </w:tc>
        <w:tc>
          <w:tcPr>
            <w:tcW w:type="dxa" w:w="6552"/>
            <w:shd w:fill="FFFFFF"/>
          </w:tcPr>
          <w:p>
            <w:pPr>
              <w:spacing w:after="100" w:before="100"/>
            </w:pPr>
            <w:r>
              <w:rPr>
                <w:b w:val="0"/>
                <w:sz w:val="20"/>
              </w:rPr>
              <w:t>Оценка времени из короткого замера, предел CPU/GPU-часов, путь к результатам и условие остановки</w:t>
            </w:r>
          </w:p>
        </w:tc>
      </w:tr>
    </w:tbl>
    <w:p>
      <w:pPr>
        <w:spacing w:after="0"/>
      </w:pPr>
    </w:p>
    <w:p>
      <w:r>
        <w:t>Например, гипотеза «плохо связываем клетки» проверяется заменой связей на уже найденных центрах. Если score вырос, новый способ связывания полезен в этой системе. Если нет, не нужно сразу заказывать ещё десять вариантов: сначала посмотрите, были ли в этих местах найдены оба конца нужной связи. Связать отсутствующую клетку невозможно.</w:t>
      </w:r>
    </w:p>
    <w:p>
      <w:pPr>
        <w:pStyle w:val="Heading2"/>
      </w:pPr>
      <w:r>
        <w:t>Один протокол для наших локальных сравнений</w:t>
      </w:r>
    </w:p>
    <w:p>
      <w:r>
        <w:t>Список 175 роликов, официальный scorer и соответствие роликов проверочным группам остаются фиксированными. Для опыта с графом фиксируются ещё и веса, центры и координаты: меняется только правило построения связей. Для сравнения обучения заранее задаётся одно правило выбора checkpoint для обеих веток. Нельзя одной ветке дать лучшую эпоху по итоговому fold, а другую судить только по последней эпохе и объяснять разницу архитектурой.</w:t>
      </w:r>
    </w:p>
    <w:p>
      <w:r>
        <w:t>Наши 175 роликов используются для локальной разработки. В отчёте нужно явно указать, где подбиралась эпоха или порог, и сохранить результаты всех проверенных вариантов. Это позволяет отличить прирост конкретного изменения от результата дополнительного подбора. Уже посчитанные EXP214 и Horaz не переименовываем и не пересчитываем задним числом под удобное объяснение.</w:t>
      </w:r>
    </w:p>
    <w:p>
      <w:pPr>
        <w:pStyle w:val="Heading2"/>
      </w:pPr>
      <w:r>
        <w:t>Что должны делать Grok и DeepSeek</w:t>
      </w:r>
    </w:p>
    <w:p>
      <w:r>
        <w:t>Одному агенту можно поручить реализацию и расчёт, другому — независимо проверить разбиение данных, scorer и вывод. Полезный вопрос проверяющему: «Какой факт опроверг бы это объяснение и проверен ли он?» Совпадение мнений двух LLM не заменяет совпадения воспроизведённых чисел и проверки сохранённых предсказаний.</w:t>
      </w:r>
    </w:p>
    <w:p>
      <w:r>
        <w:t>Отрицательный результат тоже полезен, если он получен дёшево и закрывает конкретную гипотезу. Проблема начинается, когда неудачный опыт не даёт ответа, а следующим действием становится ещё более дорогой запуск.</w:t>
      </w:r>
    </w:p>
    <w:p>
      <w:r>
        <w:br w:type="page"/>
      </w:r>
    </w:p>
    <w:p>
      <w:pPr>
        <w:pStyle w:val="Heading1"/>
      </w:pPr>
      <w:r>
        <w:t>Как поставить следующую задачу агенту</w:t>
      </w:r>
    </w:p>
    <w:p>
      <w:r>
        <w:t>Ниже пример рабочего поручения. Он достаточно конкретен, чтобы результат можно было принять или отвергнуть.</w:t>
      </w:r>
    </w:p>
    <w:p>
      <w:r>
        <w:t>«Исходная модель — Horaz selected, официальный score 0,79498794 на фиксированных 175 роликах. Не менять веса, список роликов и scorer. Сначала покажи, какие типы ошибок дают основную потерю: отсутствующий центр, неверная связь при найденных концах, разрыв, деление. Для десяти роликов с наибольшим числом потерянных размеченных связей сохрани изображения и таблицу счётчиков. Не назначай причину только по итоговой метрике.</w:t>
      </w:r>
    </w:p>
    <w:p>
      <w:r>
        <w:t>Выбери один механизм исправления. До полного расчёта запиши изменение, настройки и критерий успеха. Сравни исходный и новый граф на тех же входах; явно укажи данные, по которым выбирались настройки. Сохрани hashes, предсказания, score по роликам и обеим группам. Первый этап — анализ сохранённых результатов на CPU, максимум 4 часа. Если нужен GPU-пересчёт, сначала представь короткий замер и его полный бюджет. Остановись при несоответствии исходного score, повреждении графа или превышении бюджета. Отделяй измеренный эффект от предположения о причине».</w:t>
      </w:r>
    </w:p>
    <w:p>
      <w:r>
        <w:t>Следующая последовательность работ:</w:t>
      </w:r>
    </w:p>
    <w:p>
      <w:r>
        <w:t>1. Разложить разрыв Horaz/EXP214 по сохранённым предсказаниям и визуально проверить крупнейшие потери. Оценка — 2–4 часа анализа с подготовкой изображений; расчёт сохранённых графов обычно занимает минуты, но это не всё время разбора.</w:t>
      </w:r>
    </w:p>
    <w:p>
      <w:r>
        <w:t>2. Проверить геометрическое связывание на фиксированных узлах Horaz как один контроль. Это недорогой тест без нового обучения. Бюджет — до 2 часов CPU после подготовки адаптера. Положительное среднее оценивать вместе с числом улучшившихся и ухудшившихся роликов.</w:t>
      </w:r>
    </w:p>
    <w:p>
      <w:r>
        <w:t>3. Если проблема требует другого детектора, запускать один парный опыт с неизменным декодером и одинаковым правилом выбора checkpoint. Полный inference одной ветки на 175 роликах ориентировочно 4–8 часов на двух доступных A100 по прошлым запускам; обучение и очередь считаются отдельно. Это диапазон планирования, не гарантированный срок.</w:t>
      </w:r>
    </w:p>
    <w:p>
      <w:r>
        <w:t>Для первого контрольного опыта условие продолжения — положительный общий прирост без снижения score любой из двух групп; при провале сохранить результат и остановить эту ветку. От выбранного Horaz 0,79499 до цели 0,8 остаётся около 0,00501; такой прирост возможен, но не гарантирован. Один удачный механизм полезнее десятков новых настроек, причинный вклад которых неизвестен.</w:t>
      </w:r>
    </w:p>
    <w:p>
      <w:r>
        <w:t>Первый полезный результат для вас — один разобранный ролик: где сеть увидела клетки, где перепутала связи и как исправление меняет score. Он даст основание выбрать следующую работу. Новый большой запуск без такого ответа пока не нужен.</w:t>
      </w:r>
    </w:p>
    <w:p>
      <w:r>
        <w:br w:type="page"/>
      </w:r>
    </w:p>
    <w:p>
      <w:pPr>
        <w:pStyle w:val="Heading1"/>
      </w:pPr>
      <w:r>
        <w:t>Источники и проверяемые артефакты</w:t>
      </w:r>
    </w:p>
    <w:p>
      <w:pPr>
        <w:spacing w:after="120"/>
      </w:pPr>
      <w:r>
        <w:rPr>
          <w:sz w:val="18"/>
        </w:rPr>
        <w:t>Числа округлены в тексте; ниже указаны исходные отчёты. Пути относятся к текущему проекту Biohub. Публичные материалы проверены 22 сентября 2026; подтверждённый account LB 0,947 взят из сохранённого API receipt от 21 сентября.</w:t>
      </w:r>
    </w:p>
    <w:p>
      <w:pPr>
        <w:spacing w:after="120"/>
      </w:pPr>
      <w:r>
        <w:rPr>
          <w:sz w:val="18"/>
        </w:rPr>
        <w:t>[1] reports/EXP223_OFFICIAL_RESULT_20260922.md. Первичные результаты: outputs/research/exp223_official_score175_v2_20260922/output/result.json. SHA256: 48e85cda0411325c7b420bc5faa9890e78dda33ac4a9beb7a0112b80848be9c0.</w:t>
      </w:r>
    </w:p>
    <w:p>
      <w:pPr>
        <w:spacing w:after="120"/>
      </w:pPr>
      <w:r>
        <w:rPr>
          <w:sz w:val="18"/>
        </w:rPr>
        <w:t>[2] reports/EXP222_CLASSICAL_FULL175_RESULT_20260921.md и reports/EXP222_CLASSICAL_PILOT_20260921.md.</w:t>
      </w:r>
    </w:p>
    <w:p>
      <w:pPr>
        <w:spacing w:after="120"/>
      </w:pPr>
      <w:r>
        <w:rPr>
          <w:sz w:val="18"/>
        </w:rPr>
        <w:t>[3] reports/BIOHUB_VERIFIED_CV_SUMMARY_20260921.md; результаты source8 отделены от общего175.</w:t>
      </w:r>
    </w:p>
    <w:p>
      <w:pPr>
        <w:spacing w:after="120"/>
      </w:pPr>
      <w:r>
        <w:rPr>
          <w:sz w:val="18"/>
        </w:rPr>
        <w:t xml:space="preserve">[4] Официальный репозиторий организаторов: </w:t>
      </w:r>
      <w:hyperlink r:id="rId20">
        <w:r>
          <w:rPr>
            <w:color w:val="23618B"/>
            <w:u w:val="single"/>
          </w:rPr>
          <w:t>https://github.com/royerlab/kaggle-cell-tracking-competition</w:t>
        </w:r>
      </w:hyperlink>
      <w:r>
        <w:rPr>
          <w:sz w:val="18"/>
        </w:rPr>
      </w:r>
      <w:r>
        <w:rPr>
          <w:sz w:val="18"/>
        </w:rPr>
        <w:t xml:space="preserve"> . Для наших чисел использован закреплённый официальный evaluator проекта, а не авторская метрика Horaz. В metrics.py ADJUSTMENT_ALPHA = 0,1 и SCORE_DIVISION_WEIGHT = 0,1; формулы приведены в разделе «Почему число клеток и итоговый score различаются».</w:t>
      </w:r>
    </w:p>
    <w:p>
      <w:pPr>
        <w:spacing w:after="120"/>
      </w:pPr>
      <w:r>
        <w:rPr>
          <w:sz w:val="18"/>
        </w:rPr>
        <w:t>[5] kaggle_notebooks/exp002_rule_based/biohub-rule-based-baseline.py: detect_blobs, detect_centroids, refine_centroids, link_frames, close_gaps. SHA256: e1edf7b5fc761ff713e818e01ecc5bc45349e8e8509b86d5932411b403294c1e.</w:t>
      </w:r>
    </w:p>
    <w:p>
      <w:pPr>
        <w:spacing w:after="120"/>
      </w:pPr>
      <w:r>
        <w:rPr>
          <w:sz w:val="18"/>
        </w:rPr>
        <w:t>[6] kaggle_datasets/exp219_frontier90_models/artifact_manifest.json и models/*/{primary,secondary}/config.json, status.json. Обучающие окна: scripts/build_exp214_training_cache.py. Публичный support pack: outputs/research/support_pack/ARTIFACT_MANIFEST.json; основной вес SHA256: 12f6881ee3620a831697ca098ff8f48e687a24225f4e048b538deec3562fe771.</w:t>
      </w:r>
    </w:p>
    <w:p>
      <w:pPr>
        <w:spacing w:after="120"/>
      </w:pPr>
      <w:r>
        <w:rPr>
          <w:sz w:val="18"/>
        </w:rPr>
        <w:t xml:space="preserve">[7] </w:t>
      </w:r>
      <w:hyperlink r:id="rId21">
        <w:r>
          <w:rPr>
            <w:color w:val="23618B"/>
            <w:u w:val="single"/>
          </w:rPr>
          <w:t>https://www.kaggle.com/datasets/horaz0/biohub-top-cv-0803-artifact</w:t>
        </w:r>
      </w:hyperlink>
      <w:r>
        <w:rPr>
          <w:sz w:val="18"/>
        </w:rPr>
      </w:r>
      <w:r>
        <w:rPr>
          <w:sz w:val="18"/>
        </w:rPr>
        <w:t xml:space="preserve"> . Локальные исходники: work/biohub_public_audit_20260921/weights_audit/horaz0__biohub-top-cv-0803-artifact/. Фрагменты: temporal_unet.py:11–19; node_transformer.py:85–88; losses.py:39–56. Архитектура: tracker.py, resolved_config.json; выбор checkpoint: train.py.</w:t>
      </w:r>
    </w:p>
    <w:p>
      <w:pPr>
        <w:spacing w:after="120"/>
      </w:pPr>
      <w:r>
        <w:rPr>
          <w:sz w:val="18"/>
        </w:rPr>
        <w:t>[8] reports/RECOVERY_20260831.md; reports/EXP221_SOURCE_GRAPH_RESULT_20260921.md; reports/EXP217_FULL60_SOURCE44_TARGET6BBA_RESULT_20260915.md.</w:t>
      </w:r>
    </w:p>
    <w:p>
      <w:pPr>
        <w:spacing w:after="120"/>
      </w:pPr>
      <w:r>
        <w:rPr>
          <w:sz w:val="18"/>
        </w:rPr>
        <w:t xml:space="preserve">[9] </w:t>
      </w:r>
      <w:hyperlink r:id="rId22">
        <w:r>
          <w:rPr>
            <w:color w:val="23618B"/>
            <w:u w:val="single"/>
          </w:rPr>
          <w:t>https://www.kaggle.com/code/zhehaoliang/biohub-p26-o01-exact-public-0947</w:t>
        </w:r>
      </w:hyperlink>
      <w:r>
        <w:rPr>
          <w:sz w:val="18"/>
        </w:rPr>
      </w:r>
      <w:r>
        <w:rPr>
          <w:sz w:val="18"/>
        </w:rPr>
        <w:t xml:space="preserve"> ; </w:t>
      </w:r>
      <w:hyperlink r:id="rId23">
        <w:r>
          <w:rPr>
            <w:color w:val="23618B"/>
            <w:u w:val="single"/>
          </w:rPr>
          <w:t>https://www.kaggle.com/code/amanatar/biohub-geometric-fusion</w:t>
        </w:r>
      </w:hyperlink>
      <w:r>
        <w:rPr>
          <w:sz w:val="18"/>
        </w:rPr>
      </w:r>
      <w:r>
        <w:rPr>
          <w:sz w:val="18"/>
        </w:rPr>
        <w:t xml:space="preserve"> . Их metadata и исходники: work/biohub_explainer_20260922/{verified_public,top_public}/. Два основных dataset: </w:t>
      </w:r>
      <w:hyperlink r:id="rId24">
        <w:r>
          <w:rPr>
            <w:color w:val="23618B"/>
            <w:u w:val="single"/>
          </w:rPr>
          <w:t>https://www.kaggle.com/datasets/pilkwang/biohub-tracking-support-pack-50ep-v1</w:t>
        </w:r>
      </w:hyperlink>
      <w:r>
        <w:rPr>
          <w:sz w:val="18"/>
        </w:rPr>
      </w:r>
      <w:r>
        <w:rPr>
          <w:sz w:val="18"/>
        </w:rPr>
        <w:t xml:space="preserve"> и </w:t>
      </w:r>
      <w:hyperlink r:id="rId25">
        <w:r>
          <w:rPr>
            <w:color w:val="23618B"/>
            <w:u w:val="single"/>
          </w:rPr>
          <w:t>https://www.kaggle.com/datasets/pilkwang/biohub-temporal-unet3d-seed314159-v1</w:t>
        </w:r>
      </w:hyperlink>
      <w:r>
        <w:rPr>
          <w:sz w:val="18"/>
        </w:rPr>
      </w:r>
      <w:r>
        <w:rPr>
          <w:sz w:val="18"/>
        </w:rPr>
        <w:t xml:space="preserve"> . Второй seed SHA256: 9bac2fa0dadc4a6fc1899e0caf187f4b553e0a7cd90ba1261a68b35ffe9e305f. Training config и split manifest: outputs/research/exp214_public_output_provenance_20260912/secondary_seed_weights/unet_transformer/split_0/.</w:t>
      </w:r>
    </w:p>
    <w:p>
      <w:pPr>
        <w:spacing w:after="120"/>
      </w:pPr>
      <w:r>
        <w:rPr>
          <w:sz w:val="18"/>
        </w:rPr>
        <w:t>[10] reports/EXP224_FIXED_NODE_RESULT_20260921.md.</w:t>
      </w:r>
    </w:p>
    <w:p>
      <w:pPr>
        <w:spacing w:after="120"/>
      </w:pPr>
      <w:r>
        <w:rPr>
          <w:sz w:val="18"/>
        </w:rPr>
        <w:t>Видео, интерактивный просмотр эмбриона и учебные материалы приведены с прямыми ссылками и пояснениями в разделе «Что посмотреть перед разбором». Источники — Biohub, royerlab, iBiology и официальный сайт TrackMate. Эти материалы объясняют процесс, но не служат доказательством наших чисел CV.</w:t>
      </w:r>
    </w:p>
    <w:sectPr w:rsidR="00FC693F" w:rsidRPr="0006063C" w:rsidSect="00034616">
      <w:footerReference w:type="default" r:id="rId9"/>
      <w:pgSz w:w="11909" w:h="16834"/>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93A52"/>
      <w:sz w:val="40"/>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Calibri" w:hAnsi="Calibri"/>
      <w:b/>
      <w:bCs/>
      <w:color w:val="193A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st.wistia.net/embed/iframe/60za78p49m" TargetMode="External"/><Relationship Id="rId11" Type="http://schemas.openxmlformats.org/officeDocument/2006/relationships/hyperlink" Target="https://biohub.org/blog/zebrahub-tracks-zebrafish-development/" TargetMode="External"/><Relationship Id="rId12" Type="http://schemas.openxmlformats.org/officeDocument/2006/relationships/hyperlink" Target="https://www.youtube.com/watch?v=fbayofFUTCY" TargetMode="External"/><Relationship Id="rId13" Type="http://schemas.openxmlformats.org/officeDocument/2006/relationships/hyperlink" Target="https://biohub.org/blog/dynamic-duo-powerful-tools-show-cells-in-action/" TargetMode="External"/><Relationship Id="rId14" Type="http://schemas.openxmlformats.org/officeDocument/2006/relationships/hyperlink" Target="https://virtual-embryo-zoo.sf.czbiohub.org/" TargetMode="External"/><Relationship Id="rId15" Type="http://schemas.openxmlformats.org/officeDocument/2006/relationships/hyperlink" Target="https://vimeo.com/1019959289/edfcb4d6a7" TargetMode="External"/><Relationship Id="rId16" Type="http://schemas.openxmlformats.org/officeDocument/2006/relationships/hyperlink" Target="https://github.com/royerlab/inTRACKtive" TargetMode="External"/><Relationship Id="rId17" Type="http://schemas.openxmlformats.org/officeDocument/2006/relationships/hyperlink" Target="https://www.ibiology.org/techniques/bioimage-analysis/" TargetMode="External"/><Relationship Id="rId18" Type="http://schemas.openxmlformats.org/officeDocument/2006/relationships/hyperlink" Target="https://imagej.net/plugins/trackmate/tutorials/getting-started" TargetMode="External"/><Relationship Id="rId19" Type="http://schemas.openxmlformats.org/officeDocument/2006/relationships/hyperlink" Target="https://imagej.net/media/plugins/trackmate/trackmate-manual.pdf" TargetMode="External"/><Relationship Id="rId20" Type="http://schemas.openxmlformats.org/officeDocument/2006/relationships/hyperlink" Target="https://github.com/royerlab/kaggle-cell-tracking-competition" TargetMode="External"/><Relationship Id="rId21" Type="http://schemas.openxmlformats.org/officeDocument/2006/relationships/hyperlink" Target="https://www.kaggle.com/datasets/horaz0/biohub-top-cv-0803-artifact" TargetMode="External"/><Relationship Id="rId22" Type="http://schemas.openxmlformats.org/officeDocument/2006/relationships/hyperlink" Target="https://www.kaggle.com/code/zhehaoliang/biohub-p26-o01-exact-public-0947" TargetMode="External"/><Relationship Id="rId23" Type="http://schemas.openxmlformats.org/officeDocument/2006/relationships/hyperlink" Target="https://www.kaggle.com/code/amanatar/biohub-geometric-fusion" TargetMode="External"/><Relationship Id="rId24" Type="http://schemas.openxmlformats.org/officeDocument/2006/relationships/hyperlink" Target="https://www.kaggle.com/datasets/pilkwang/biohub-tracking-support-pack-50ep-v1" TargetMode="External"/><Relationship Id="rId25" Type="http://schemas.openxmlformats.org/officeDocument/2006/relationships/hyperlink" Target="https://www.kaggle.com/datasets/pilkwang/biohub-temporal-unet3d-seed314159-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Biohub как получить сильное решение</dc:title>
  <dc:subject>Проверенные результаты и метод работы с DL экспериментами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