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409"/>
        <w:gridCol w:w="2518"/>
        <w:gridCol w:w="2061"/>
      </w:tblGrid>
      <w:tr w:rsidR="00841F5D" w:rsidRPr="00841F5D" w14:paraId="5191AE0F" w14:textId="77777777" w:rsidTr="00841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E47D7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46C007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Select?</w:t>
            </w:r>
          </w:p>
        </w:tc>
        <w:tc>
          <w:tcPr>
            <w:tcW w:w="0" w:type="auto"/>
            <w:vAlign w:val="center"/>
            <w:hideMark/>
          </w:tcPr>
          <w:p w14:paraId="40417382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Reasoning tied to YOUR actual data</w:t>
            </w:r>
          </w:p>
        </w:tc>
        <w:tc>
          <w:tcPr>
            <w:tcW w:w="0" w:type="auto"/>
            <w:vAlign w:val="center"/>
            <w:hideMark/>
          </w:tcPr>
          <w:p w14:paraId="29F90716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Research grounding</w:t>
            </w:r>
          </w:p>
        </w:tc>
      </w:tr>
      <w:tr w:rsidR="00841F5D" w:rsidRPr="00841F5D" w14:paraId="2E176AA9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51D6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2 — Iron/nutritional deficiency anaemia</w:t>
            </w:r>
          </w:p>
        </w:tc>
        <w:tc>
          <w:tcPr>
            <w:tcW w:w="0" w:type="auto"/>
            <w:vAlign w:val="center"/>
            <w:hideMark/>
          </w:tcPr>
          <w:p w14:paraId="18835729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core</w:t>
            </w:r>
          </w:p>
        </w:tc>
        <w:tc>
          <w:tcPr>
            <w:tcW w:w="0" w:type="auto"/>
            <w:vAlign w:val="center"/>
            <w:hideMark/>
          </w:tcPr>
          <w:p w14:paraId="01B38043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Both files already have LBXHGB, LBXMCVSI, LBXFER. This is your only category with zero additional engineering needed.</w:t>
            </w:r>
          </w:p>
        </w:tc>
        <w:tc>
          <w:tcPr>
            <w:tcW w:w="0" w:type="auto"/>
            <w:vAlign w:val="center"/>
            <w:hideMark/>
          </w:tcPr>
          <w:p w14:paraId="5E4C3EF0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Iron-deficiency anaemia's effect on HbA1c is the most consistently replicated finding across multiple independent cohort studies — the strongest evidence base of any category we've reviewed.</w:t>
            </w:r>
          </w:p>
        </w:tc>
      </w:tr>
      <w:tr w:rsidR="00841F5D" w:rsidRPr="00841F5D" w14:paraId="262D6A42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AE55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6 — Demographic/physiological</w:t>
            </w:r>
          </w:p>
        </w:tc>
        <w:tc>
          <w:tcPr>
            <w:tcW w:w="0" w:type="auto"/>
            <w:vAlign w:val="center"/>
            <w:hideMark/>
          </w:tcPr>
          <w:p w14:paraId="3223E406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core</w:t>
            </w:r>
          </w:p>
        </w:tc>
        <w:tc>
          <w:tcPr>
            <w:tcW w:w="0" w:type="auto"/>
            <w:vAlign w:val="center"/>
            <w:hideMark/>
          </w:tcPr>
          <w:p w14:paraId="25EF784C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Pre-pandemic has full demographics; post-pandemic doesn't yet — fixable (see code below), not a hard gap.</w:t>
            </w:r>
          </w:p>
        </w:tc>
        <w:tc>
          <w:tcPr>
            <w:tcW w:w="0" w:type="auto"/>
            <w:vAlign w:val="center"/>
            <w:hideMark/>
          </w:tcPr>
          <w:p w14:paraId="6EE6C556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Age is repeatedly shown as one of the strongest independent predictors of HbA1c-glucose mismatch in large-cohort HGI studies.</w:t>
            </w:r>
          </w:p>
        </w:tc>
      </w:tr>
      <w:tr w:rsidR="00841F5D" w:rsidRPr="00841F5D" w14:paraId="3EBDC6A3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1CC0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5 — Nutritional/inflammatory (CRP, albumin)</w:t>
            </w:r>
          </w:p>
        </w:tc>
        <w:tc>
          <w:tcPr>
            <w:tcW w:w="0" w:type="auto"/>
            <w:vAlign w:val="center"/>
            <w:hideMark/>
          </w:tcPr>
          <w:p w14:paraId="6425C31F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partial, now stronger than we thought</w:t>
            </w:r>
          </w:p>
        </w:tc>
        <w:tc>
          <w:tcPr>
            <w:tcW w:w="0" w:type="auto"/>
            <w:vAlign w:val="center"/>
            <w:hideMark/>
          </w:tcPr>
          <w:p w14:paraId="17BB6025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Your teammate's post-pandemic file already includes LBXHSCRP (CRP) — genuinely good, this is more than your pre-pandemic file has. Fixable by fetching CRP for pre-pandemic too (code below).</w:t>
            </w:r>
          </w:p>
        </w:tc>
        <w:tc>
          <w:tcPr>
            <w:tcW w:w="0" w:type="auto"/>
            <w:vAlign w:val="center"/>
            <w:hideMark/>
          </w:tcPr>
          <w:p w14:paraId="0A6423CB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CRP/inflammation is documented as an independent factor influencing glycation biology, distinct from anaemia.</w:t>
            </w:r>
          </w:p>
        </w:tc>
      </w:tr>
      <w:tr w:rsidR="00841F5D" w:rsidRPr="00841F5D" w14:paraId="1D14C750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3548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2b — B12/folate deficiency (megaloblastic anaemia)</w:t>
            </w:r>
          </w:p>
        </w:tc>
        <w:tc>
          <w:tcPr>
            <w:tcW w:w="0" w:type="auto"/>
            <w:vAlign w:val="center"/>
            <w:hideMark/>
          </w:tcPr>
          <w:p w14:paraId="185ACB5F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newly upgradeable</w:t>
            </w:r>
          </w:p>
        </w:tc>
        <w:tc>
          <w:tcPr>
            <w:tcW w:w="0" w:type="auto"/>
            <w:vAlign w:val="center"/>
            <w:hideMark/>
          </w:tcPr>
          <w:p w14:paraId="6E38C889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Post-pandemic already has LBDRFO (RBC folate)! This is a real, unexpected asset — we should </w:t>
            </w:r>
            <w:r w:rsidRPr="00841F5D">
              <w:rPr>
                <w:b/>
                <w:bCs/>
              </w:rPr>
              <w:lastRenderedPageBreak/>
              <w:t>add folate to pre-pandemic to match.</w:t>
            </w:r>
          </w:p>
        </w:tc>
        <w:tc>
          <w:tcPr>
            <w:tcW w:w="0" w:type="auto"/>
            <w:vAlign w:val="center"/>
            <w:hideMark/>
          </w:tcPr>
          <w:p w14:paraId="1372257C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lastRenderedPageBreak/>
              <w:t>Folate/B12 deficiency causing megaloblastic anaemia is a well-</w:t>
            </w:r>
            <w:r w:rsidRPr="00841F5D">
              <w:rPr>
                <w:b/>
                <w:bCs/>
              </w:rPr>
              <w:lastRenderedPageBreak/>
              <w:t>documented, distinct mechanism from iron-deficiency, with a consistent falsely-high HbA1c direction.</w:t>
            </w:r>
          </w:p>
        </w:tc>
      </w:tr>
      <w:tr w:rsidR="00841F5D" w:rsidRPr="00841F5D" w14:paraId="2A5E34D9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038E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lastRenderedPageBreak/>
              <w:t>4 — Kidney/organ (creatinine)</w:t>
            </w:r>
          </w:p>
        </w:tc>
        <w:tc>
          <w:tcPr>
            <w:tcW w:w="0" w:type="auto"/>
            <w:vAlign w:val="center"/>
            <w:hideMark/>
          </w:tcPr>
          <w:p w14:paraId="43A840F8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partial</w:t>
            </w:r>
          </w:p>
        </w:tc>
        <w:tc>
          <w:tcPr>
            <w:tcW w:w="0" w:type="auto"/>
            <w:vAlign w:val="center"/>
            <w:hideMark/>
          </w:tcPr>
          <w:p w14:paraId="28D13087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Pre-pandemic has LBXSCR; post-pandemic doesn't yet — fixable.</w:t>
            </w:r>
          </w:p>
        </w:tc>
        <w:tc>
          <w:tcPr>
            <w:tcW w:w="0" w:type="auto"/>
            <w:vAlign w:val="center"/>
            <w:hideMark/>
          </w:tcPr>
          <w:p w14:paraId="7C3F7AFD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Creatinine as a CKD proxy is a standard, validated approach in nephrology-adjacent HbA1c research.</w:t>
            </w:r>
          </w:p>
        </w:tc>
      </w:tr>
      <w:tr w:rsidR="00841F5D" w:rsidRPr="00841F5D" w14:paraId="7E841072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22E6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1 — Haemolysis (bilirubin)</w:t>
            </w:r>
          </w:p>
        </w:tc>
        <w:tc>
          <w:tcPr>
            <w:tcW w:w="0" w:type="auto"/>
            <w:vAlign w:val="center"/>
            <w:hideMark/>
          </w:tcPr>
          <w:p w14:paraId="4E2DC8FD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No, for </w:t>
            </w:r>
            <w:proofErr w:type="gramStart"/>
            <w:r w:rsidRPr="00841F5D">
              <w:rPr>
                <w:b/>
                <w:bCs/>
              </w:rPr>
              <w:t>now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84806E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Neither file has LBXSTB. Addable, but adds a </w:t>
            </w:r>
            <w:r w:rsidRPr="00841F5D">
              <w:rPr>
                <w:b/>
                <w:bCs/>
                <w:i/>
                <w:iCs/>
              </w:rPr>
              <w:t>third</w:t>
            </w:r>
            <w:r w:rsidRPr="00841F5D">
              <w:rPr>
                <w:b/>
                <w:bCs/>
              </w:rPr>
              <w:t xml:space="preserve"> subsample-dependent column stacking onto </w:t>
            </w:r>
            <w:proofErr w:type="spellStart"/>
            <w:r w:rsidRPr="00841F5D">
              <w:rPr>
                <w:b/>
                <w:bCs/>
              </w:rPr>
              <w:t>glucose+ferritin+folate</w:t>
            </w:r>
            <w:proofErr w:type="spellEnd"/>
            <w:r w:rsidRPr="00841F5D">
              <w:rPr>
                <w:b/>
                <w:bCs/>
              </w:rPr>
              <w:t xml:space="preserve"> — real risk of shrinking usable rows too far. Recommend deferring until you see how much Categories 2/5/6 already cost you in row count.</w:t>
            </w:r>
          </w:p>
        </w:tc>
        <w:tc>
          <w:tcPr>
            <w:tcW w:w="0" w:type="auto"/>
            <w:vAlign w:val="center"/>
            <w:hideMark/>
          </w:tcPr>
          <w:p w14:paraId="6F3FD2BA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We already found bilirubin's signal is weak/non-specific for haemolysis even when present — lower payoff for the added missing-data cost.</w:t>
            </w:r>
          </w:p>
        </w:tc>
      </w:tr>
      <w:tr w:rsidR="00841F5D" w:rsidRPr="00841F5D" w14:paraId="29E0DA81" w14:textId="77777777" w:rsidTr="0084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CE64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3, 7, 8 — Variants, drugs, lab handling</w:t>
            </w:r>
          </w:p>
        </w:tc>
        <w:tc>
          <w:tcPr>
            <w:tcW w:w="0" w:type="auto"/>
            <w:vAlign w:val="center"/>
            <w:hideMark/>
          </w:tcPr>
          <w:p w14:paraId="2E35983D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1E21B1" w14:textId="77777777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Genuinely absent from NHANES entirely, any cycle — this hasn't changed.</w:t>
            </w:r>
          </w:p>
        </w:tc>
        <w:tc>
          <w:tcPr>
            <w:tcW w:w="0" w:type="auto"/>
            <w:vAlign w:val="center"/>
            <w:hideMark/>
          </w:tcPr>
          <w:p w14:paraId="517255EC" w14:textId="77777777" w:rsid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Confirmed via CDC's own interference documentation — a structural data  </w:t>
            </w:r>
          </w:p>
          <w:p w14:paraId="6BB5414B" w14:textId="77777777" w:rsidR="00841F5D" w:rsidRDefault="00841F5D" w:rsidP="00841F5D">
            <w:pPr>
              <w:rPr>
                <w:b/>
                <w:bCs/>
              </w:rPr>
            </w:pPr>
          </w:p>
          <w:p w14:paraId="6C9AC748" w14:textId="77777777" w:rsidR="00841F5D" w:rsidRDefault="00841F5D" w:rsidP="00841F5D">
            <w:pPr>
              <w:rPr>
                <w:b/>
                <w:bCs/>
              </w:rPr>
            </w:pPr>
          </w:p>
          <w:p w14:paraId="73FF72B7" w14:textId="08DC069A" w:rsidR="00841F5D" w:rsidRPr="00841F5D" w:rsidRDefault="00841F5D" w:rsidP="00841F5D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ceiling, not a choice.</w:t>
            </w:r>
          </w:p>
        </w:tc>
      </w:tr>
    </w:tbl>
    <w:p w14:paraId="73E6EF2B" w14:textId="3093023E" w:rsidR="00E74061" w:rsidRPr="00E74061" w:rsidRDefault="00841F5D" w:rsidP="00E74061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="00E74061" w:rsidRPr="00E74061">
        <w:rPr>
          <w:b/>
          <w:bCs/>
        </w:rPr>
        <w:t>Sources used</w:t>
      </w:r>
    </w:p>
    <w:p w14:paraId="7D724246" w14:textId="2DBBE93F" w:rsidR="00E74061" w:rsidRPr="00E74061" w:rsidRDefault="00E74061" w:rsidP="00E74061">
      <w:pPr>
        <w:rPr>
          <w:rStyle w:val="Hyperlink"/>
        </w:rPr>
      </w:pPr>
      <w:r w:rsidRPr="00E74061">
        <w:fldChar w:fldCharType="begin"/>
      </w:r>
      <w:r w:rsidRPr="00E74061">
        <w:instrText>HYPERLINK "https://wwwn.cdc.gov/Nchs/Data/Nhanes/Public/2017/DataFiles/P_BIOPRO.htm"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Standard Biochemistry Profile </w:t>
      </w:r>
      <w:proofErr w:type="spellStart"/>
      <w:r w:rsidRPr="00E74061">
        <w:rPr>
          <w:rStyle w:val="Hyperlink"/>
        </w:rPr>
        <w:t>DocumentationOfficial</w:t>
      </w:r>
      <w:proofErr w:type="spellEnd"/>
      <w:r w:rsidRPr="00E74061">
        <w:rPr>
          <w:rStyle w:val="Hyperlink"/>
        </w:rPr>
        <w:t xml:space="preserve"> CDC documentation confirming bilirubin (LBXSTB), albumin (LBXSAL), and creatinine (LBXSCR) are all included in this cycle's biochemistry panel.</w:t>
      </w:r>
      <w:r w:rsidRPr="00E74061">
        <w:rPr>
          <w:rStyle w:val="Hyperlink"/>
          <w:noProof/>
        </w:rPr>
        <w:drawing>
          <wp:inline distT="0" distB="0" distL="0" distR="0" wp14:anchorId="3E60046A" wp14:editId="68F22D2C">
            <wp:extent cx="152400" cy="152400"/>
            <wp:effectExtent l="0" t="0" r="0" b="0"/>
            <wp:docPr id="807802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236568CC" w14:textId="7E31B0B7" w:rsidR="00E74061" w:rsidRPr="00E74061" w:rsidRDefault="00E74061" w:rsidP="00E74061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"https://wwwn.cdc.gov/Nchs/Data/Nhanes/Public/2017/DataFiles/P_FOLATE.htm"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Folate - Serum and RBC Data </w:t>
      </w:r>
      <w:proofErr w:type="spellStart"/>
      <w:r w:rsidRPr="00E74061">
        <w:rPr>
          <w:rStyle w:val="Hyperlink"/>
        </w:rPr>
        <w:t>FileConfirms</w:t>
      </w:r>
      <w:proofErr w:type="spellEnd"/>
      <w:r w:rsidRPr="00E74061">
        <w:rPr>
          <w:rStyle w:val="Hyperlink"/>
        </w:rPr>
        <w:t xml:space="preserve"> serum and RBC folate variables are measured in your exact target cycle, supporting Category 2 (nutritional deficiency anaemia) inclusion.</w:t>
      </w:r>
      <w:r w:rsidRPr="00E74061">
        <w:rPr>
          <w:rStyle w:val="Hyperlink"/>
          <w:noProof/>
        </w:rPr>
        <w:drawing>
          <wp:inline distT="0" distB="0" distL="0" distR="0" wp14:anchorId="04961D78" wp14:editId="2F80E082">
            <wp:extent cx="152400" cy="152400"/>
            <wp:effectExtent l="0" t="0" r="0" b="0"/>
            <wp:docPr id="1485925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04722D35" w14:textId="33EF8D46" w:rsidR="00E74061" w:rsidRPr="00E74061" w:rsidRDefault="00E74061" w:rsidP="00E74061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"https://wwwn.cdc.gov/Nchs/Data/Nhanes/Public/2017/DataFiles/P_FOLFMS.htm"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Folate Forms - Serum Data </w:t>
      </w:r>
      <w:proofErr w:type="spellStart"/>
      <w:r w:rsidRPr="00E74061">
        <w:rPr>
          <w:rStyle w:val="Hyperlink"/>
        </w:rPr>
        <w:t>FileSupplementary</w:t>
      </w:r>
      <w:proofErr w:type="spellEnd"/>
      <w:r w:rsidRPr="00E74061">
        <w:rPr>
          <w:rStyle w:val="Hyperlink"/>
        </w:rPr>
        <w:t xml:space="preserve"> documentation on how folate concentrations were measured (LC-MS/MS) for this cycle.</w:t>
      </w:r>
      <w:r w:rsidRPr="00E74061">
        <w:rPr>
          <w:rStyle w:val="Hyperlink"/>
          <w:noProof/>
        </w:rPr>
        <w:drawing>
          <wp:inline distT="0" distB="0" distL="0" distR="0" wp14:anchorId="0DF53899" wp14:editId="5C07D7D2">
            <wp:extent cx="152400" cy="152400"/>
            <wp:effectExtent l="0" t="0" r="0" b="0"/>
            <wp:docPr id="113227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2B3D0E97" w14:textId="77777777" w:rsidR="00E74061" w:rsidRPr="00E74061" w:rsidRDefault="00E74061" w:rsidP="00E74061">
      <w:r w:rsidRPr="00E74061">
        <w:fldChar w:fldCharType="end"/>
      </w:r>
    </w:p>
    <w:p w14:paraId="0979EA5B" w14:textId="79ECBFAC" w:rsidR="00E74061" w:rsidRDefault="0005505F">
      <w:r>
        <w:rPr>
          <w:noProof/>
        </w:rPr>
        <w:lastRenderedPageBreak/>
        <w:drawing>
          <wp:inline distT="0" distB="0" distL="0" distR="0" wp14:anchorId="3526B7B6" wp14:editId="73F326B5">
            <wp:extent cx="5731510" cy="5831205"/>
            <wp:effectExtent l="0" t="0" r="2540" b="0"/>
            <wp:docPr id="2789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F07E" w14:textId="30414CF9" w:rsidR="0005505F" w:rsidRDefault="0005505F">
      <w:r>
        <w:rPr>
          <w:noProof/>
        </w:rPr>
        <w:lastRenderedPageBreak/>
        <w:drawing>
          <wp:inline distT="0" distB="0" distL="0" distR="0" wp14:anchorId="4F3538DB" wp14:editId="125061F7">
            <wp:extent cx="5731510" cy="5644515"/>
            <wp:effectExtent l="0" t="0" r="2540" b="0"/>
            <wp:docPr id="1086548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7671" w14:textId="07A6CEA5" w:rsidR="0005505F" w:rsidRDefault="0005505F">
      <w:r>
        <w:rPr>
          <w:noProof/>
        </w:rPr>
        <w:drawing>
          <wp:inline distT="0" distB="0" distL="0" distR="0" wp14:anchorId="03F40331" wp14:editId="185C8849">
            <wp:extent cx="5731510" cy="1352550"/>
            <wp:effectExtent l="0" t="0" r="2540" b="0"/>
            <wp:docPr id="259466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580F" w14:textId="5C545B46" w:rsidR="002D4DE8" w:rsidRDefault="002D4DE8">
      <w:r w:rsidRPr="002D4DE8">
        <w:rPr>
          <w:noProof/>
        </w:rPr>
        <w:lastRenderedPageBreak/>
        <w:drawing>
          <wp:inline distT="0" distB="0" distL="0" distR="0" wp14:anchorId="2B3E6C1D" wp14:editId="5049B1A9">
            <wp:extent cx="5731510" cy="3057525"/>
            <wp:effectExtent l="0" t="0" r="2540" b="9525"/>
            <wp:docPr id="12916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61"/>
    <w:rsid w:val="000269A8"/>
    <w:rsid w:val="0005505F"/>
    <w:rsid w:val="00086E87"/>
    <w:rsid w:val="002D4DE8"/>
    <w:rsid w:val="00841F5D"/>
    <w:rsid w:val="00846D85"/>
    <w:rsid w:val="0087785A"/>
    <w:rsid w:val="008D03BD"/>
    <w:rsid w:val="00C5210A"/>
    <w:rsid w:val="00E7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64F6"/>
  <w15:chartTrackingRefBased/>
  <w15:docId w15:val="{E16CC971-7B2D-44FD-A2CB-E3212D42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6</cp:revision>
  <dcterms:created xsi:type="dcterms:W3CDTF">2026-09-07T06:44:00Z</dcterms:created>
  <dcterms:modified xsi:type="dcterms:W3CDTF">2026-09-08T05:54:00Z</dcterms:modified>
</cp:coreProperties>
</file>