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000000"/>
          <w:sz w:val="48"/>
          <w:szCs w:val="48"/>
        </w:rPr>
        <w:t xml:space="preserve">A1Cognito</w:t>
      </w:r>
    </w:p>
    <w:p>
      <w:pPr>
        <w:spacing w:after="260"/>
        <w:jc w:val="center"/>
      </w:pPr>
      <w:r>
        <w:rPr>
          <w:b/>
          <w:bCs/>
          <w:color w:val="000000"/>
          <w:sz w:val="21"/>
          <w:szCs w:val="21"/>
        </w:rPr>
        <w:t xml:space="preserve">Module Architecture, Folder Structure &amp; Team Ownership</w:t>
      </w:r>
    </w:p>
    <w:p>
      <w:pPr>
        <w:pBdr>
          <w:bottom w:val="single" w:color="999999" w:sz="6" w:space="4"/>
        </w:pBdr>
        <w:spacing w:after="140" w:before="320"/>
      </w:pPr>
      <w:r>
        <w:rPr>
          <w:b/>
          <w:bCs/>
          <w:color w:val="000000"/>
          <w:sz w:val="28"/>
          <w:szCs w:val="28"/>
        </w:rPr>
        <w:t xml:space="preserve">1. Full Flowchart</w:t>
      </w:r>
    </w:p>
    <w:p>
      <w:pPr>
        <w:spacing w:after="140" w:line="288"/>
        <w:jc w:val="both"/>
      </w:pPr>
      <w:r>
        <w:rPr>
          <w:color w:val="000000"/>
          <w:sz w:val="21"/>
          <w:szCs w:val="21"/>
        </w:rPr>
        <w:t xml:space="preserve">The diagram below shows the complete pipeline: what goes in, the four core modules with their technical and medical explanation, sub-modules, and the team member who owns each module, and what comes out.</w:t>
      </w:r>
    </w:p>
    <w:p>
      <w:pPr>
        <w:spacing w:after="200"/>
        <w:jc w:val="center"/>
      </w:pPr>
      <w:r>
        <w:drawing>
          <wp:inline distT="0" distB="0" distL="0" distR="0">
            <wp:extent cx="5905500" cy="6486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648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999999" w:sz="6" w:space="4"/>
        </w:pBdr>
        <w:spacing w:after="140" w:before="320"/>
      </w:pPr>
      <w:r>
        <w:rPr>
          <w:b/>
          <w:bCs/>
          <w:color w:val="000000"/>
          <w:sz w:val="28"/>
          <w:szCs w:val="28"/>
        </w:rPr>
        <w:t xml:space="preserve">2. Folder Structure (Real, Downloadable)</w:t>
      </w:r>
    </w:p>
    <w:p>
      <w:pPr>
        <w:spacing w:after="140" w:line="288"/>
        <w:jc w:val="both"/>
      </w:pPr>
      <w:r>
        <w:rPr>
          <w:color w:val="000000"/>
          <w:sz w:val="21"/>
          <w:szCs w:val="21"/>
        </w:rPr>
        <w:t xml:space="preserve">This exact folder skeleton has been created and is provided as a downloadable ZIP alongside this document, so every member can start working directly inside their assigned folder from day one.</w:t>
      </w:r>
    </w:p>
    <w:p>
      <w:pPr>
        <w:spacing w:after="0" w:line="22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A1Cognito/</w:t>
      </w:r>
    </w:p>
    <w:p>
      <w:pPr>
        <w:spacing w:after="0" w:line="22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|-- README.md</w:t>
      </w:r>
    </w:p>
    <w:p>
      <w:pPr>
        <w:spacing w:after="0" w:line="22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|-- 00_INPUT_INTERFACE/                    (Shared)</w:t>
      </w:r>
    </w:p>
    <w:p>
      <w:pPr>
        <w:spacing w:after="0" w:line="22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|-- 01_MEDICAL_KNOWLEDGE/                  (Module 1 - Data &amp; Research Lead)</w:t>
      </w:r>
    </w:p>
    <w:p>
      <w:pPr>
        <w:spacing w:after="0" w:line="22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|   |-- 01_HbA1c_Basics/</w:t>
      </w:r>
    </w:p>
    <w:p>
      <w:pPr>
        <w:spacing w:after="0" w:line="22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|   |-- 02_Discordance_Definition/         (vs FPG / Mean Glucose / GMI, HGI)</w:t>
      </w:r>
    </w:p>
    <w:p>
      <w:pPr>
        <w:spacing w:after="0" w:line="22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|   |-- 03_Category_1_RBC_Lifespan_Down/   (haemolysis, transfusion, G6PD...)</w:t>
      </w:r>
    </w:p>
    <w:p>
      <w:pPr>
        <w:spacing w:after="0" w:line="22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|   |-- 04_Category_2_RBC_Lifespan_Up/     (iron/B12/folate deficiency...)</w:t>
      </w:r>
    </w:p>
    <w:p>
      <w:pPr>
        <w:spacing w:after="0" w:line="22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|   |-- 05_Category_3_Hb_Variants/         (HbS, HbC, HbD, HbE, HbF...)</w:t>
      </w:r>
    </w:p>
    <w:p>
      <w:pPr>
        <w:spacing w:after="0" w:line="22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|   |-- 06_Category_4_Organ_Disease/       (CKD, liver disease, heart failure)</w:t>
      </w:r>
    </w:p>
    <w:p>
      <w:pPr>
        <w:spacing w:after="0" w:line="22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|   |-- 07_Category_5_Nutritional/         (albumin, CRP, alcohol, vitamins)</w:t>
      </w:r>
    </w:p>
    <w:p>
      <w:pPr>
        <w:spacing w:after="0" w:line="22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|   |-- 08_Category_6_Physiological/       (age, sex, pregnancy, BMI)</w:t>
      </w:r>
    </w:p>
    <w:p>
      <w:pPr>
        <w:spacing w:after="0" w:line="22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|   |-- 09_Category_7_Drugs/               (dapsone, ribavirin, ART, EPO)</w:t>
      </w:r>
    </w:p>
    <w:p>
      <w:pPr>
        <w:spacing w:after="0" w:line="22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|   |-- 10_Category_8_Preanalytical/       (assay method, reagent lot...)</w:t>
      </w:r>
    </w:p>
    <w:p>
      <w:pPr>
        <w:spacing w:after="0" w:line="22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|   |-- 11_Literature/                     (Wiley, Blood, PubMed, Scholar)</w:t>
      </w:r>
    </w:p>
    <w:p>
      <w:pPr>
        <w:spacing w:after="0" w:line="22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|-- 02_DATA_ENGINEERING/                   (Module 2 - Data &amp; Research Lead)</w:t>
      </w:r>
    </w:p>
    <w:p>
      <w:pPr>
        <w:spacing w:after="0" w:line="22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|   |-- 01_Data_Sources/                   (NHANES, MIMIC-IV, CGM, NGSP)</w:t>
      </w:r>
    </w:p>
    <w:p>
      <w:pPr>
        <w:spacing w:after="0" w:line="22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|   |-- 02_Data_Dictionary/</w:t>
      </w:r>
    </w:p>
    <w:p>
      <w:pPr>
        <w:spacing w:after="0" w:line="22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|   |-- 03_Data_Cleaning/</w:t>
      </w:r>
    </w:p>
    <w:p>
      <w:pPr>
        <w:spacing w:after="0" w:line="22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|   |-- 04_Data_Merging/</w:t>
      </w:r>
    </w:p>
    <w:p>
      <w:pPr>
        <w:spacing w:after="0" w:line="22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|   |-- 05_Label_Creation/                 (GMI, Discordance &amp; Category labels)</w:t>
      </w:r>
    </w:p>
    <w:p>
      <w:pPr>
        <w:spacing w:after="0" w:line="22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|   |-- 06_Final_Datasets/                 (train / val / test / external)</w:t>
      </w:r>
    </w:p>
    <w:p>
      <w:pPr>
        <w:spacing w:after="0" w:line="22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|-- 03_AI_ML/                              (Module 3 - ML Model Lead)</w:t>
      </w:r>
    </w:p>
    <w:p>
      <w:pPr>
        <w:spacing w:after="0" w:line="22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|   |-- 01_Baseline/                       (Logistic Regression)</w:t>
      </w:r>
    </w:p>
    <w:p>
      <w:pPr>
        <w:spacing w:after="0" w:line="22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|   |-- 02_Discordance_Detection/          (Random Forest, XGBoost, LightGBM)</w:t>
      </w:r>
    </w:p>
    <w:p>
      <w:pPr>
        <w:spacing w:after="0" w:line="22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|   |-- 03_Cause_Identification/           (multi-label, 8 categories)</w:t>
      </w:r>
    </w:p>
    <w:p>
      <w:pPr>
        <w:spacing w:after="0" w:line="22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|   |-- 04_Feature_Engineering/</w:t>
      </w:r>
    </w:p>
    <w:p>
      <w:pPr>
        <w:spacing w:after="0" w:line="22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|   |-- 05_Model_Training/</w:t>
      </w:r>
    </w:p>
    <w:p>
      <w:pPr>
        <w:spacing w:after="0" w:line="22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|   |-- 06_Model_Comparison/</w:t>
      </w:r>
    </w:p>
    <w:p>
      <w:pPr>
        <w:spacing w:after="0" w:line="22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|   |-- 07_Saved_Models/</w:t>
      </w:r>
    </w:p>
    <w:p>
      <w:pPr>
        <w:spacing w:after="0" w:line="22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|-- 04_XAI_VALIDATION_DEPLOYMENT/          (Module 4 - Interface/Product Lead +</w:t>
      </w:r>
    </w:p>
    <w:p>
      <w:pPr>
        <w:spacing w:after="0" w:line="22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|   |                                       Documentation &amp; Validation Lead)</w:t>
      </w:r>
    </w:p>
    <w:p>
      <w:pPr>
        <w:spacing w:after="0" w:line="22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|   |-- 01_SHAP/</w:t>
      </w:r>
    </w:p>
    <w:p>
      <w:pPr>
        <w:spacing w:after="0" w:line="22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|   |-- 02_Model_Evaluation/</w:t>
      </w:r>
    </w:p>
    <w:p>
      <w:pPr>
        <w:spacing w:after="0" w:line="22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|   |-- 03_Validation/</w:t>
      </w:r>
    </w:p>
    <w:p>
      <w:pPr>
        <w:spacing w:after="0" w:line="22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|   |-- 04_Knowledge_Rules/                (links back to Module 1)</w:t>
      </w:r>
    </w:p>
    <w:p>
      <w:pPr>
        <w:spacing w:after="0" w:line="22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|   |-- 05_API/                            (FastAPI)</w:t>
      </w:r>
    </w:p>
    <w:p>
      <w:pPr>
        <w:spacing w:after="0" w:line="22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|   |-- 06_UI/                             (Streamlit)</w:t>
      </w:r>
    </w:p>
    <w:p>
      <w:pPr>
        <w:spacing w:after="0" w:line="22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|   |-- 07_Deployment/                     (Docker, versioning)</w:t>
      </w:r>
    </w:p>
    <w:p>
      <w:pPr>
        <w:spacing w:after="0" w:line="22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|-- 05_OUTPUT_INTERFACE/                   (Shared)</w:t>
      </w:r>
    </w:p>
    <w:p>
      <w:pPr>
        <w:spacing w:after="0" w:line="22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|-- docs/</w:t>
      </w:r>
    </w:p>
    <w:p>
      <w:pPr>
        <w:spacing w:after="0" w:line="22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   |-- literature_review/</w:t>
      </w:r>
    </w:p>
    <w:p>
      <w:pPr>
        <w:spacing w:after="0" w:line="22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   |-- proposal/</w:t>
      </w:r>
    </w:p>
    <w:p>
      <w:pPr>
        <w:spacing w:after="0" w:line="22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   |-- review_presentations/</w:t>
      </w:r>
    </w:p>
    <w:p>
      <w:pPr>
        <w:spacing w:after="0" w:line="22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   |-- flowcharts_diagrams/</w:t>
      </w:r>
    </w:p>
    <w:p>
      <w:pPr>
        <w:spacing w:after="0" w:line="22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(Full detail: 174 folders total across all categories and sub-conditions -</w:t>
      </w:r>
    </w:p>
    <w:p>
      <w:pPr>
        <w:spacing w:after="0" w:line="22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see the attached ZIP for the complete, ready-to-use structure.)</w:t>
      </w:r>
    </w:p>
    <w:p>
      <w:pPr>
        <w:spacing w:before="160"/>
      </w:pPr>
    </w:p>
    <w:p>
      <w:pPr>
        <w:pBdr>
          <w:bottom w:val="single" w:color="999999" w:sz="6" w:space="4"/>
        </w:pBdr>
        <w:spacing w:after="140" w:before="320"/>
      </w:pPr>
      <w:r>
        <w:rPr>
          <w:b/>
          <w:bCs/>
          <w:color w:val="000000"/>
          <w:sz w:val="28"/>
          <w:szCs w:val="28"/>
        </w:rPr>
        <w:t xml:space="preserve">3. Who Uses This System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400"/>
      </w:tblGrid>
      <w:tr>
        <w:trPr>
          <w:tblHeader/>
        </w:trPr>
        <w:tc>
          <w:tcPr>
            <w:tcW w:type="dxa" w:w="2800"/>
            <w:shd w:fill="D9D9D9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User</w:t>
            </w:r>
          </w:p>
        </w:tc>
        <w:tc>
          <w:tcPr>
            <w:tcW w:type="dxa" w:w="6400"/>
            <w:shd w:fill="D9D9D9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Role in the system</w:t>
            </w:r>
          </w:p>
        </w:tc>
      </w:tr>
      <w:tr>
        <w:tc>
          <w:tcPr>
            <w:tcW w:type="dxa" w:w="280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Clinicians / Doctors</w:t>
            </w:r>
          </w:p>
        </w:tc>
        <w:tc>
          <w:tcPr>
            <w:tcW w:type="dxa" w:w="640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Primary decision-makers — see the discordance risk flag and SHAP explanation, decide whether to order further tests</w:t>
            </w:r>
          </w:p>
        </w:tc>
      </w:tr>
      <w:tr>
        <w:tc>
          <w:tcPr>
            <w:tcW w:type="dxa" w:w="2800"/>
            <w:shd w:fill="EDEDED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Lab Technicians</w:t>
            </w:r>
          </w:p>
        </w:tc>
        <w:tc>
          <w:tcPr>
            <w:tcW w:type="dxa" w:w="6400"/>
            <w:shd w:fill="EDEDED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Enter or upload patient lab values (HbA1c, glucose, CBC) that feed the Input Module</w:t>
            </w:r>
          </w:p>
        </w:tc>
      </w:tr>
      <w:tr>
        <w:tc>
          <w:tcPr>
            <w:tcW w:type="dxa" w:w="280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Patients</w:t>
            </w:r>
          </w:p>
        </w:tc>
        <w:tc>
          <w:tcPr>
            <w:tcW w:type="dxa" w:w="640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Indirect beneficiaries — receive a more reliable diagnosis as a result of the screening</w:t>
            </w:r>
          </w:p>
        </w:tc>
      </w:tr>
      <w:tr>
        <w:tc>
          <w:tcPr>
            <w:tcW w:type="dxa" w:w="2800"/>
            <w:shd w:fill="EDEDED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R&amp;D Team (all 4 members)</w:t>
            </w:r>
          </w:p>
        </w:tc>
        <w:tc>
          <w:tcPr>
            <w:tcW w:type="dxa" w:w="6400"/>
            <w:shd w:fill="EDEDED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Builds, trains, validates, and maintains the entire system</w:t>
            </w:r>
          </w:p>
        </w:tc>
      </w:tr>
    </w:tbl>
    <w:p>
      <w:pPr>
        <w:spacing w:before="200"/>
      </w:pPr>
    </w:p>
    <w:p>
      <w:pPr>
        <w:pBdr>
          <w:bottom w:val="single" w:color="999999" w:sz="6" w:space="4"/>
        </w:pBdr>
        <w:spacing w:after="140" w:before="320"/>
      </w:pPr>
      <w:r>
        <w:rPr>
          <w:b/>
          <w:bCs/>
          <w:color w:val="000000"/>
          <w:sz w:val="28"/>
          <w:szCs w:val="28"/>
        </w:rPr>
        <w:t xml:space="preserve">4. Module-to-Member Assignment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800"/>
        <w:gridCol w:w="2000"/>
        <w:gridCol w:w="2000"/>
      </w:tblGrid>
      <w:tr>
        <w:trPr>
          <w:tblHeader/>
        </w:trPr>
        <w:tc>
          <w:tcPr>
            <w:tcW w:type="dxa" w:w="2600"/>
            <w:shd w:fill="D9D9D9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Module</w:t>
            </w:r>
          </w:p>
        </w:tc>
        <w:tc>
          <w:tcPr>
            <w:tcW w:type="dxa" w:w="2800"/>
            <w:shd w:fill="D9D9D9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Folder</w:t>
            </w:r>
          </w:p>
        </w:tc>
        <w:tc>
          <w:tcPr>
            <w:tcW w:type="dxa" w:w="2000"/>
            <w:shd w:fill="D9D9D9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Owner</w:t>
            </w:r>
          </w:p>
        </w:tc>
        <w:tc>
          <w:tcPr>
            <w:tcW w:type="dxa" w:w="2000"/>
            <w:shd w:fill="D9D9D9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What they build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Input Interface</w:t>
            </w:r>
          </w:p>
        </w:tc>
        <w:tc>
          <w:tcPr>
            <w:tcW w:type="dxa" w:w="280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00_INPUT_INTERFACE/</w:t>
            </w:r>
          </w:p>
        </w:tc>
        <w:tc>
          <w:tcPr>
            <w:tcW w:type="dxa" w:w="200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Shared (all 4)</w:t>
            </w:r>
          </w:p>
        </w:tc>
        <w:tc>
          <w:tcPr>
            <w:tcW w:type="dxa" w:w="200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Schema of patient data the system accepts</w:t>
            </w:r>
          </w:p>
        </w:tc>
      </w:tr>
      <w:tr>
        <w:tc>
          <w:tcPr>
            <w:tcW w:type="dxa" w:w="2600"/>
            <w:shd w:fill="EDEDED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Module 1 — Medical Knowledge</w:t>
            </w:r>
          </w:p>
        </w:tc>
        <w:tc>
          <w:tcPr>
            <w:tcW w:type="dxa" w:w="2800"/>
            <w:shd w:fill="EDEDED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01_MEDICAL_KNOWLEDGE/</w:t>
            </w:r>
          </w:p>
        </w:tc>
        <w:tc>
          <w:tcPr>
            <w:tcW w:type="dxa" w:w="2000"/>
            <w:shd w:fill="EDEDED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Data &amp; Research Lead</w:t>
            </w:r>
          </w:p>
        </w:tc>
        <w:tc>
          <w:tcPr>
            <w:tcW w:type="dxa" w:w="2000"/>
            <w:shd w:fill="EDEDED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Defines discordance + all 8 confounder categories from literature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Module 2 — Data Engineering</w:t>
            </w:r>
          </w:p>
        </w:tc>
        <w:tc>
          <w:tcPr>
            <w:tcW w:type="dxa" w:w="280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02_DATA_ENGINEERING/</w:t>
            </w:r>
          </w:p>
        </w:tc>
        <w:tc>
          <w:tcPr>
            <w:tcW w:type="dxa" w:w="200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Data &amp; Research Lead</w:t>
            </w:r>
          </w:p>
        </w:tc>
        <w:tc>
          <w:tcPr>
            <w:tcW w:type="dxa" w:w="200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Collects, cleans, merges data; creates discordance labels</w:t>
            </w:r>
          </w:p>
        </w:tc>
      </w:tr>
      <w:tr>
        <w:tc>
          <w:tcPr>
            <w:tcW w:type="dxa" w:w="2600"/>
            <w:shd w:fill="EDEDED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Module 3 — AI/ML</w:t>
            </w:r>
          </w:p>
        </w:tc>
        <w:tc>
          <w:tcPr>
            <w:tcW w:type="dxa" w:w="2800"/>
            <w:shd w:fill="EDEDED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03_AI_ML/</w:t>
            </w:r>
          </w:p>
        </w:tc>
        <w:tc>
          <w:tcPr>
            <w:tcW w:type="dxa" w:w="2000"/>
            <w:shd w:fill="EDEDED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ML Model Lead</w:t>
            </w:r>
          </w:p>
        </w:tc>
        <w:tc>
          <w:tcPr>
            <w:tcW w:type="dxa" w:w="2000"/>
            <w:shd w:fill="EDEDED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Builds and compares models to predict risk + likely cause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Module 4 — XAI, Validation &amp; Deployment</w:t>
            </w:r>
          </w:p>
        </w:tc>
        <w:tc>
          <w:tcPr>
            <w:tcW w:type="dxa" w:w="280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04_XAI_VALIDATION_DEPLOYMENT/</w:t>
            </w:r>
          </w:p>
        </w:tc>
        <w:tc>
          <w:tcPr>
            <w:tcW w:type="dxa" w:w="200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Interface/Product Lead + Documentation &amp; Validation Lead</w:t>
            </w:r>
          </w:p>
        </w:tc>
        <w:tc>
          <w:tcPr>
            <w:tcW w:type="dxa" w:w="200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Explainability, evaluation, validation, API, UI, deployment</w:t>
            </w:r>
          </w:p>
        </w:tc>
      </w:tr>
      <w:tr>
        <w:tc>
          <w:tcPr>
            <w:tcW w:type="dxa" w:w="2600"/>
            <w:shd w:fill="EDEDED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Output Interface</w:t>
            </w:r>
          </w:p>
        </w:tc>
        <w:tc>
          <w:tcPr>
            <w:tcW w:type="dxa" w:w="2800"/>
            <w:shd w:fill="EDEDED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05_OUTPUT_INTERFACE/</w:t>
            </w:r>
          </w:p>
        </w:tc>
        <w:tc>
          <w:tcPr>
            <w:tcW w:type="dxa" w:w="2000"/>
            <w:shd w:fill="EDEDED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Shared (all 4)</w:t>
            </w:r>
          </w:p>
        </w:tc>
        <w:tc>
          <w:tcPr>
            <w:tcW w:type="dxa" w:w="2000"/>
            <w:shd w:fill="EDEDED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Risk score + explanation report format</w:t>
            </w:r>
          </w:p>
        </w:tc>
      </w:tr>
    </w:tbl>
    <w:p>
      <w:pPr>
        <w:spacing w:before="160"/>
      </w:pPr>
    </w:p>
    <w:p>
      <w:pPr>
        <w:spacing w:after="140" w:line="288"/>
        <w:jc w:val="both"/>
      </w:pPr>
      <w:r>
        <w:rPr>
          <w:color w:val="000000"/>
          <w:sz w:val="21"/>
          <w:szCs w:val="21"/>
        </w:rPr>
        <w:t xml:space="preserve">Note: Module 4 is split between two roles because it covers two distinct concerns — the Interface/Product Lead owns the API, UI, and deployment (getting the system in front of a clinician), while the Documentation &amp; Validation Lead owns SHAP, model evaluation, validation, and the review checkpoints (proving the system can be trusted).</w:t>
      </w:r>
    </w:p>
    <w:p>
      <w:pPr>
        <w:pBdr>
          <w:bottom w:val="single" w:color="999999" w:sz="6" w:space="4"/>
        </w:pBdr>
        <w:spacing w:after="140" w:before="320"/>
      </w:pPr>
      <w:r>
        <w:rPr>
          <w:b/>
          <w:bCs/>
          <w:color w:val="000000"/>
          <w:sz w:val="28"/>
          <w:szCs w:val="28"/>
        </w:rPr>
        <w:t xml:space="preserve">5. Tools, Techniques &amp; Knowledge to Build Over 2 Years</w:t>
      </w:r>
    </w:p>
    <w:p>
      <w:pPr>
        <w:pStyle w:val="ListParagraph"/>
        <w:numPr>
          <w:ilvl w:val="0"/>
          <w:numId w:val="2"/>
        </w:numPr>
        <w:spacing w:after="100" w:line="272"/>
      </w:pPr>
      <w:r>
        <w:rPr>
          <w:color w:val="000000"/>
          <w:sz w:val="21"/>
          <w:szCs w:val="21"/>
        </w:rPr>
        <w:t xml:space="preserve">Programming: Python (pandas, numpy), Jupyter notebooks, Git/GitHub for version control and team collaboration.</w:t>
      </w:r>
    </w:p>
    <w:p>
      <w:pPr>
        <w:pStyle w:val="ListParagraph"/>
        <w:numPr>
          <w:ilvl w:val="0"/>
          <w:numId w:val="2"/>
        </w:numPr>
        <w:spacing w:after="100" w:line="272"/>
      </w:pPr>
      <w:r>
        <w:rPr>
          <w:color w:val="000000"/>
          <w:sz w:val="21"/>
          <w:szCs w:val="21"/>
        </w:rPr>
        <w:t xml:space="preserve">Data handling: merging/cleaning multi-file datasets, handling missing values, unit conversions, working with public health datasets.</w:t>
      </w:r>
    </w:p>
    <w:p>
      <w:pPr>
        <w:pStyle w:val="ListParagraph"/>
        <w:numPr>
          <w:ilvl w:val="0"/>
          <w:numId w:val="2"/>
        </w:numPr>
        <w:spacing w:after="100" w:line="272"/>
      </w:pPr>
      <w:r>
        <w:rPr>
          <w:color w:val="000000"/>
          <w:sz w:val="21"/>
          <w:szCs w:val="21"/>
        </w:rPr>
        <w:t xml:space="preserve">Classical ML: logistic regression, decision trees, random forest, XGBoost/LightGBM, scikit-learn.</w:t>
      </w:r>
    </w:p>
    <w:p>
      <w:pPr>
        <w:pStyle w:val="ListParagraph"/>
        <w:numPr>
          <w:ilvl w:val="0"/>
          <w:numId w:val="2"/>
        </w:numPr>
        <w:spacing w:after="100" w:line="272"/>
      </w:pPr>
      <w:r>
        <w:rPr>
          <w:color w:val="000000"/>
          <w:sz w:val="21"/>
          <w:szCs w:val="21"/>
        </w:rPr>
        <w:t xml:space="preserve">Deep learning: basics of neural networks, MLPs, tabular deep learning (PyTorch or TensorFlow).</w:t>
      </w:r>
    </w:p>
    <w:p>
      <w:pPr>
        <w:pStyle w:val="ListParagraph"/>
        <w:numPr>
          <w:ilvl w:val="0"/>
          <w:numId w:val="2"/>
        </w:numPr>
        <w:spacing w:after="100" w:line="272"/>
      </w:pPr>
      <w:r>
        <w:rPr>
          <w:color w:val="000000"/>
          <w:sz w:val="21"/>
          <w:szCs w:val="21"/>
        </w:rPr>
        <w:t xml:space="preserve">Model evaluation: AUROC/AUPRC, calibration curves, cross-validation, subgroup/fairness analysis.</w:t>
      </w:r>
    </w:p>
    <w:p>
      <w:pPr>
        <w:pStyle w:val="ListParagraph"/>
        <w:numPr>
          <w:ilvl w:val="0"/>
          <w:numId w:val="2"/>
        </w:numPr>
        <w:spacing w:after="100" w:line="272"/>
      </w:pPr>
      <w:r>
        <w:rPr>
          <w:color w:val="000000"/>
          <w:sz w:val="21"/>
          <w:szCs w:val="21"/>
        </w:rPr>
        <w:t xml:space="preserve">Explainability: SHAP and/or LIME for feature attribution.</w:t>
      </w:r>
    </w:p>
    <w:p>
      <w:pPr>
        <w:pStyle w:val="ListParagraph"/>
        <w:numPr>
          <w:ilvl w:val="0"/>
          <w:numId w:val="2"/>
        </w:numPr>
        <w:spacing w:after="100" w:line="272"/>
      </w:pPr>
      <w:r>
        <w:rPr>
          <w:color w:val="000000"/>
          <w:sz w:val="21"/>
          <w:szCs w:val="21"/>
        </w:rPr>
        <w:t xml:space="preserve">Deployment/prototype: Streamlit or Flask for a simple clinician-facing report or dashboard.</w:t>
      </w:r>
    </w:p>
    <w:p>
      <w:pPr>
        <w:pStyle w:val="ListParagraph"/>
        <w:numPr>
          <w:ilvl w:val="0"/>
          <w:numId w:val="2"/>
        </w:numPr>
        <w:spacing w:after="100" w:line="272"/>
      </w:pPr>
      <w:r>
        <w:rPr>
          <w:color w:val="000000"/>
          <w:sz w:val="21"/>
          <w:szCs w:val="21"/>
        </w:rPr>
        <w:t xml:space="preserve">Domain knowledge: basic understanding of diabetes, HbA1c, CBC parameters, and how doctors interpret them — enough to explain results meaningfully, not to replace clinical training.</w:t>
      </w:r>
    </w:p>
    <w:p>
      <w:pPr>
        <w:pStyle w:val="ListParagraph"/>
        <w:numPr>
          <w:ilvl w:val="0"/>
          <w:numId w:val="2"/>
        </w:numPr>
        <w:spacing w:after="100" w:line="272"/>
      </w:pPr>
      <w:r>
        <w:rPr>
          <w:color w:val="000000"/>
          <w:sz w:val="21"/>
          <w:szCs w:val="21"/>
        </w:rPr>
        <w:t xml:space="preserve">Research skills: literature review, reading clinical/ML papers, writing a proper research report and defending it in reviews.</w:t>
      </w:r>
    </w:p>
    <w:p>
      <w:pPr>
        <w:pStyle w:val="ListParagraph"/>
        <w:numPr>
          <w:ilvl w:val="0"/>
          <w:numId w:val="2"/>
        </w:numPr>
        <w:spacing w:after="100" w:line="272"/>
      </w:pPr>
      <w:r>
        <w:rPr>
          <w:color w:val="000000"/>
          <w:sz w:val="21"/>
          <w:szCs w:val="21"/>
        </w:rPr>
        <w:t xml:space="preserve">Soft skills: task division, Git-based team workflows, presenting technical work to a non-technical review panel.</w:t>
      </w:r>
    </w:p>
    <w:p>
      <w:pPr>
        <w:spacing w:before="200"/>
      </w:pPr>
    </w:p>
    <w:p>
      <w:r>
        <w:rPr>
          <w:i/>
          <w:iCs/>
          <w:color w:val="555555"/>
          <w:sz w:val="18"/>
          <w:szCs w:val="18"/>
        </w:rPr>
        <w:t xml:space="preserve">Note: the ZIP file provided alongside this document (A1Cognito_v2_folder_structure.zip) contains all 174 folders shown above in full, each with a README placeholder, ready to commit to Git immediately.</w:t>
      </w:r>
    </w:p>
    <w:sectPr>
      <w:headerReference w:type="default" r:id="rId7"/>
      <w:footerReference w:type="default" r:id="rId8"/>
      <w:pgSz w:w="12240" w:h="15840" w:orient="portrait"/>
      <w:pgMar w:top="1200" w:right="1300" w:bottom="12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55555"/>
        <w:sz w:val="15"/>
        <w:szCs w:val="15"/>
      </w:rPr>
      <w:t xml:space="preserve">Page </w:t>
    </w:r>
    <w:r>
      <w:rPr>
        <w:color w:val="555555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color w:val="555555"/>
        <w:sz w:val="15"/>
        <w:szCs w:val="15"/>
      </w:rPr>
      <w:t xml:space="preserve"> of </w:t>
    </w:r>
    <w:r>
      <w:rPr>
        <w:color w:val="555555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55555"/>
        <w:sz w:val="15"/>
        <w:szCs w:val="15"/>
      </w:rPr>
      <w:t xml:space="preserve">A1Cognito — Module, Folder &amp; Team Structure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420" w:hanging="240"/>
      </w:pPr>
      <w:rPr>
        <w:color w:val="00000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00000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22221b46f3d996594c27dd5117b031c61dd6dd74.undefined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2026-09-13T08:48:51.008Z</dcterms:created>
  <dcterms:modified xsi:type="dcterms:W3CDTF">2026-09-13T08:48:51.009Z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