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48"/>
          <w:szCs w:val="48"/>
        </w:rPr>
        <w:t xml:space="preserve">A1Cognito</w:t>
      </w:r>
    </w:p>
    <w:p>
      <w:pPr>
        <w:spacing w:after="260"/>
        <w:jc w:val="center"/>
      </w:pPr>
      <w:r>
        <w:rPr>
          <w:b/>
          <w:bCs/>
          <w:color w:val="000000"/>
          <w:sz w:val="21"/>
          <w:szCs w:val="21"/>
        </w:rPr>
        <w:t xml:space="preserve">Module Architecture, Folder Structure &amp; Team Ownership</w:t>
      </w:r>
    </w:p>
    <w:p>
      <w:pPr>
        <w:pBdr>
          <w:bottom w:val="single" w:color="999999" w:sz="6" w:space="4"/>
        </w:pBdr>
        <w:spacing w:after="140" w:before="320"/>
      </w:pPr>
      <w:r>
        <w:rPr>
          <w:b/>
          <w:bCs/>
          <w:color w:val="000000"/>
          <w:sz w:val="28"/>
          <w:szCs w:val="28"/>
        </w:rPr>
        <w:t xml:space="preserve">1. Full Flowchart</w:t>
      </w:r>
    </w:p>
    <w:p>
      <w:pPr>
        <w:spacing w:after="140" w:line="288"/>
        <w:jc w:val="both"/>
      </w:pPr>
      <w:r>
        <w:rPr>
          <w:color w:val="000000"/>
          <w:sz w:val="21"/>
          <w:szCs w:val="21"/>
        </w:rPr>
        <w:t xml:space="preserve">The diagram on the following page shows the complete pipeline, laid out the same way as the original architecture flowchart: team roles, users, input, every module's real content in sequence, the parallel model comparison, checkpoints, the feedback loop, and the resources used to build it. It is placed on its own large page so nothing is cut off — print it separately (e.g. as an A2/poster page) if you need a wall or presentation copy.</w:t>
      </w:r>
    </w:p>
    <w:p>
      <w:pPr>
        <w:sectPr>
          <w:headerReference w:type="default" r:id="rId7"/>
          <w:footerReference w:type="default" r:id="rId8"/>
          <w:pgSz w:w="12240" w:h="15840" w:orient="portrait"/>
          <w:pgMar w:top="1200" w:right="1300" w:bottom="1200" w:left="1300" w:header="708" w:footer="708" w:gutter="0"/>
          <w:pgNumType/>
          <w:docGrid w:linePitch="360"/>
        </w:sectPr>
      </w:pPr>
    </w:p>
    <w:p>
      <w:pPr>
        <w:jc w:val="center"/>
      </w:pPr>
      <w:r>
        <w:drawing>
          <wp:inline distT="0" distB="0" distL="0" distR="0">
            <wp:extent cx="12068175" cy="1870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068175" cy="18707100"/>
                    </a:xfrm>
                    <a:prstGeom prst="rect">
                      <a:avLst/>
                    </a:prstGeom>
                  </pic:spPr>
                </pic:pic>
              </a:graphicData>
            </a:graphic>
          </wp:inline>
        </w:drawing>
      </w:r>
    </w:p>
    <w:p>
      <w:pPr>
        <w:sectPr>
          <w:pgSz w:w="19865" w:h="30326" w:orient="portrait"/>
          <w:pgMar w:top="432" w:right="432" w:bottom="432" w:left="432" w:header="708" w:footer="708" w:gutter="0"/>
          <w:pgNumType/>
          <w:docGrid w:linePitch="360"/>
        </w:sectPr>
      </w:pPr>
    </w:p>
    <w:p>
      <w:pPr>
        <w:pBdr>
          <w:bottom w:val="single" w:color="999999" w:sz="6" w:space="4"/>
        </w:pBdr>
        <w:spacing w:after="140" w:before="320"/>
      </w:pPr>
      <w:r>
        <w:rPr>
          <w:b/>
          <w:bCs/>
          <w:color w:val="000000"/>
          <w:sz w:val="28"/>
          <w:szCs w:val="28"/>
        </w:rPr>
        <w:t xml:space="preserve">2. Folder Structure (Real, Downloadable)</w:t>
      </w:r>
    </w:p>
    <w:p>
      <w:pPr>
        <w:spacing w:after="140" w:line="288"/>
        <w:jc w:val="both"/>
      </w:pPr>
      <w:r>
        <w:rPr>
          <w:color w:val="000000"/>
          <w:sz w:val="21"/>
          <w:szCs w:val="21"/>
        </w:rPr>
        <w:t xml:space="preserve">This exact folder skeleton has been created and is provided as a downloadable ZIP alongside this document, so every member can start working directly inside their assigned folder from day one.</w:t>
      </w:r>
    </w:p>
    <w:p>
      <w:pPr>
        <w:spacing w:after="0" w:line="220"/>
      </w:pPr>
      <w:r>
        <w:rPr>
          <w:rFonts w:ascii="Consolas" w:cs="Consolas" w:eastAsia="Consolas" w:hAnsi="Consolas"/>
          <w:color w:val="000000"/>
          <w:sz w:val="17"/>
          <w:szCs w:val="17"/>
        </w:rPr>
        <w:t xml:space="preserve">A1Cognito/</w:t>
      </w:r>
    </w:p>
    <w:p>
      <w:pPr>
        <w:spacing w:after="0" w:line="220"/>
      </w:pPr>
      <w:r>
        <w:rPr>
          <w:rFonts w:ascii="Consolas" w:cs="Consolas" w:eastAsia="Consolas" w:hAnsi="Consolas"/>
          <w:color w:val="000000"/>
          <w:sz w:val="17"/>
          <w:szCs w:val="17"/>
        </w:rPr>
        <w:t xml:space="preserve">|-- README.md</w:t>
      </w:r>
    </w:p>
    <w:p>
      <w:pPr>
        <w:spacing w:after="0" w:line="220"/>
      </w:pPr>
      <w:r>
        <w:rPr>
          <w:rFonts w:ascii="Consolas" w:cs="Consolas" w:eastAsia="Consolas" w:hAnsi="Consolas"/>
          <w:color w:val="000000"/>
          <w:sz w:val="17"/>
          <w:szCs w:val="17"/>
        </w:rPr>
        <w:t xml:space="preserve">|-- 00_INPUT_INTERFACE/                    (Shared)</w:t>
      </w:r>
    </w:p>
    <w:p>
      <w:pPr>
        <w:spacing w:after="0" w:line="220"/>
      </w:pPr>
      <w:r>
        <w:rPr>
          <w:rFonts w:ascii="Consolas" w:cs="Consolas" w:eastAsia="Consolas" w:hAnsi="Consolas"/>
          <w:color w:val="000000"/>
          <w:sz w:val="17"/>
          <w:szCs w:val="17"/>
        </w:rPr>
        <w:t xml:space="preserve">|-- 01_MEDICAL_KNOWLEDGE/                  (Module 1 - Data &amp; Research Lead)</w:t>
      </w:r>
    </w:p>
    <w:p>
      <w:pPr>
        <w:spacing w:after="0" w:line="220"/>
      </w:pPr>
      <w:r>
        <w:rPr>
          <w:rFonts w:ascii="Consolas" w:cs="Consolas" w:eastAsia="Consolas" w:hAnsi="Consolas"/>
          <w:color w:val="000000"/>
          <w:sz w:val="17"/>
          <w:szCs w:val="17"/>
        </w:rPr>
        <w:t xml:space="preserve">|   |-- 01_HbA1c_Basics/</w:t>
      </w:r>
    </w:p>
    <w:p>
      <w:pPr>
        <w:spacing w:after="0" w:line="220"/>
      </w:pPr>
      <w:r>
        <w:rPr>
          <w:rFonts w:ascii="Consolas" w:cs="Consolas" w:eastAsia="Consolas" w:hAnsi="Consolas"/>
          <w:color w:val="000000"/>
          <w:sz w:val="17"/>
          <w:szCs w:val="17"/>
        </w:rPr>
        <w:t xml:space="preserve">|   |-- 02_Discordance_Definition/         (vs FPG / Mean Glucose / GMI, HGI)</w:t>
      </w:r>
    </w:p>
    <w:p>
      <w:pPr>
        <w:spacing w:after="0" w:line="220"/>
      </w:pPr>
      <w:r>
        <w:rPr>
          <w:rFonts w:ascii="Consolas" w:cs="Consolas" w:eastAsia="Consolas" w:hAnsi="Consolas"/>
          <w:color w:val="000000"/>
          <w:sz w:val="17"/>
          <w:szCs w:val="17"/>
        </w:rPr>
        <w:t xml:space="preserve">|   |-- 03_Category_1_RBC_Lifespan_Down/   (haemolysis, transfusion, G6PD...)</w:t>
      </w:r>
    </w:p>
    <w:p>
      <w:pPr>
        <w:spacing w:after="0" w:line="220"/>
      </w:pPr>
      <w:r>
        <w:rPr>
          <w:rFonts w:ascii="Consolas" w:cs="Consolas" w:eastAsia="Consolas" w:hAnsi="Consolas"/>
          <w:color w:val="000000"/>
          <w:sz w:val="17"/>
          <w:szCs w:val="17"/>
        </w:rPr>
        <w:t xml:space="preserve">|   |-- 04_Category_2_RBC_Lifespan_Up/     (iron/B12/folate deficiency...)</w:t>
      </w:r>
    </w:p>
    <w:p>
      <w:pPr>
        <w:spacing w:after="0" w:line="220"/>
      </w:pPr>
      <w:r>
        <w:rPr>
          <w:rFonts w:ascii="Consolas" w:cs="Consolas" w:eastAsia="Consolas" w:hAnsi="Consolas"/>
          <w:color w:val="000000"/>
          <w:sz w:val="17"/>
          <w:szCs w:val="17"/>
        </w:rPr>
        <w:t xml:space="preserve">|   |-- 05_Category_3_Hb_Variants/         (HbS, HbC, HbD, HbE, HbF...)</w:t>
      </w:r>
    </w:p>
    <w:p>
      <w:pPr>
        <w:spacing w:after="0" w:line="220"/>
      </w:pPr>
      <w:r>
        <w:rPr>
          <w:rFonts w:ascii="Consolas" w:cs="Consolas" w:eastAsia="Consolas" w:hAnsi="Consolas"/>
          <w:color w:val="000000"/>
          <w:sz w:val="17"/>
          <w:szCs w:val="17"/>
        </w:rPr>
        <w:t xml:space="preserve">|   |-- 06_Category_4_Organ_Disease/       (CKD, liver disease, heart failure)</w:t>
      </w:r>
    </w:p>
    <w:p>
      <w:pPr>
        <w:spacing w:after="0" w:line="220"/>
      </w:pPr>
      <w:r>
        <w:rPr>
          <w:rFonts w:ascii="Consolas" w:cs="Consolas" w:eastAsia="Consolas" w:hAnsi="Consolas"/>
          <w:color w:val="000000"/>
          <w:sz w:val="17"/>
          <w:szCs w:val="17"/>
        </w:rPr>
        <w:t xml:space="preserve">|   |-- 07_Category_5_Nutritional/         (albumin, CRP, alcohol, vitamins)</w:t>
      </w:r>
    </w:p>
    <w:p>
      <w:pPr>
        <w:spacing w:after="0" w:line="220"/>
      </w:pPr>
      <w:r>
        <w:rPr>
          <w:rFonts w:ascii="Consolas" w:cs="Consolas" w:eastAsia="Consolas" w:hAnsi="Consolas"/>
          <w:color w:val="000000"/>
          <w:sz w:val="17"/>
          <w:szCs w:val="17"/>
        </w:rPr>
        <w:t xml:space="preserve">|   |-- 08_Category_6_Physiological/       (age, sex, pregnancy, BMI)</w:t>
      </w:r>
    </w:p>
    <w:p>
      <w:pPr>
        <w:spacing w:after="0" w:line="220"/>
      </w:pPr>
      <w:r>
        <w:rPr>
          <w:rFonts w:ascii="Consolas" w:cs="Consolas" w:eastAsia="Consolas" w:hAnsi="Consolas"/>
          <w:color w:val="000000"/>
          <w:sz w:val="17"/>
          <w:szCs w:val="17"/>
        </w:rPr>
        <w:t xml:space="preserve">|   |-- 09_Category_7_Drugs/               (dapsone, ribavirin, ART, EPO)</w:t>
      </w:r>
    </w:p>
    <w:p>
      <w:pPr>
        <w:spacing w:after="0" w:line="220"/>
      </w:pPr>
      <w:r>
        <w:rPr>
          <w:rFonts w:ascii="Consolas" w:cs="Consolas" w:eastAsia="Consolas" w:hAnsi="Consolas"/>
          <w:color w:val="000000"/>
          <w:sz w:val="17"/>
          <w:szCs w:val="17"/>
        </w:rPr>
        <w:t xml:space="preserve">|   |-- 10_Category_8_Preanalytical/       (assay method, reagent lot...)</w:t>
      </w:r>
    </w:p>
    <w:p>
      <w:pPr>
        <w:spacing w:after="0" w:line="220"/>
      </w:pPr>
      <w:r>
        <w:rPr>
          <w:rFonts w:ascii="Consolas" w:cs="Consolas" w:eastAsia="Consolas" w:hAnsi="Consolas"/>
          <w:color w:val="000000"/>
          <w:sz w:val="17"/>
          <w:szCs w:val="17"/>
        </w:rPr>
        <w:t xml:space="preserve">|   |-- 11_Literature/                     (Wiley, Blood, PubMed, Scholar)</w:t>
      </w:r>
    </w:p>
    <w:p>
      <w:pPr>
        <w:spacing w:after="0" w:line="220"/>
      </w:pPr>
      <w:r>
        <w:rPr>
          <w:rFonts w:ascii="Consolas" w:cs="Consolas" w:eastAsia="Consolas" w:hAnsi="Consolas"/>
          <w:color w:val="000000"/>
          <w:sz w:val="17"/>
          <w:szCs w:val="17"/>
        </w:rPr>
        <w:t xml:space="preserve">|-- 02_DATA_ENGINEERING/                   (Module 2 - Data &amp; Research Lead)</w:t>
      </w:r>
    </w:p>
    <w:p>
      <w:pPr>
        <w:spacing w:after="0" w:line="220"/>
      </w:pPr>
      <w:r>
        <w:rPr>
          <w:rFonts w:ascii="Consolas" w:cs="Consolas" w:eastAsia="Consolas" w:hAnsi="Consolas"/>
          <w:color w:val="000000"/>
          <w:sz w:val="17"/>
          <w:szCs w:val="17"/>
        </w:rPr>
        <w:t xml:space="preserve">|   |-- 01_Data_Sources/                   (NHANES, MIMIC-IV, CGM, NGSP)</w:t>
      </w:r>
    </w:p>
    <w:p>
      <w:pPr>
        <w:spacing w:after="0" w:line="220"/>
      </w:pPr>
      <w:r>
        <w:rPr>
          <w:rFonts w:ascii="Consolas" w:cs="Consolas" w:eastAsia="Consolas" w:hAnsi="Consolas"/>
          <w:color w:val="000000"/>
          <w:sz w:val="17"/>
          <w:szCs w:val="17"/>
        </w:rPr>
        <w:t xml:space="preserve">|   |-- 02_Data_Dictionary/</w:t>
      </w:r>
    </w:p>
    <w:p>
      <w:pPr>
        <w:spacing w:after="0" w:line="220"/>
      </w:pPr>
      <w:r>
        <w:rPr>
          <w:rFonts w:ascii="Consolas" w:cs="Consolas" w:eastAsia="Consolas" w:hAnsi="Consolas"/>
          <w:color w:val="000000"/>
          <w:sz w:val="17"/>
          <w:szCs w:val="17"/>
        </w:rPr>
        <w:t xml:space="preserve">|   |-- 03_Data_Cleaning/</w:t>
      </w:r>
    </w:p>
    <w:p>
      <w:pPr>
        <w:spacing w:after="0" w:line="220"/>
      </w:pPr>
      <w:r>
        <w:rPr>
          <w:rFonts w:ascii="Consolas" w:cs="Consolas" w:eastAsia="Consolas" w:hAnsi="Consolas"/>
          <w:color w:val="000000"/>
          <w:sz w:val="17"/>
          <w:szCs w:val="17"/>
        </w:rPr>
        <w:t xml:space="preserve">|   |-- 04_Data_Merging/</w:t>
      </w:r>
    </w:p>
    <w:p>
      <w:pPr>
        <w:spacing w:after="0" w:line="220"/>
      </w:pPr>
      <w:r>
        <w:rPr>
          <w:rFonts w:ascii="Consolas" w:cs="Consolas" w:eastAsia="Consolas" w:hAnsi="Consolas"/>
          <w:color w:val="000000"/>
          <w:sz w:val="17"/>
          <w:szCs w:val="17"/>
        </w:rPr>
        <w:t xml:space="preserve">|   |-- 05_Label_Creation/                 (GMI, Discordance &amp; Category labels)</w:t>
      </w:r>
    </w:p>
    <w:p>
      <w:pPr>
        <w:spacing w:after="0" w:line="220"/>
      </w:pPr>
      <w:r>
        <w:rPr>
          <w:rFonts w:ascii="Consolas" w:cs="Consolas" w:eastAsia="Consolas" w:hAnsi="Consolas"/>
          <w:color w:val="000000"/>
          <w:sz w:val="17"/>
          <w:szCs w:val="17"/>
        </w:rPr>
        <w:t xml:space="preserve">|   |-- 06_Final_Datasets/                 (train / val / test / external)</w:t>
      </w:r>
    </w:p>
    <w:p>
      <w:pPr>
        <w:spacing w:after="0" w:line="220"/>
      </w:pPr>
      <w:r>
        <w:rPr>
          <w:rFonts w:ascii="Consolas" w:cs="Consolas" w:eastAsia="Consolas" w:hAnsi="Consolas"/>
          <w:color w:val="000000"/>
          <w:sz w:val="17"/>
          <w:szCs w:val="17"/>
        </w:rPr>
        <w:t xml:space="preserve">|-- 03_AI_ML/                              (Module 3 - ML Model Lead)</w:t>
      </w:r>
    </w:p>
    <w:p>
      <w:pPr>
        <w:spacing w:after="0" w:line="220"/>
      </w:pPr>
      <w:r>
        <w:rPr>
          <w:rFonts w:ascii="Consolas" w:cs="Consolas" w:eastAsia="Consolas" w:hAnsi="Consolas"/>
          <w:color w:val="000000"/>
          <w:sz w:val="17"/>
          <w:szCs w:val="17"/>
        </w:rPr>
        <w:t xml:space="preserve">|   |-- 01_Baseline/                       (Logistic Regression)</w:t>
      </w:r>
    </w:p>
    <w:p>
      <w:pPr>
        <w:spacing w:after="0" w:line="220"/>
      </w:pPr>
      <w:r>
        <w:rPr>
          <w:rFonts w:ascii="Consolas" w:cs="Consolas" w:eastAsia="Consolas" w:hAnsi="Consolas"/>
          <w:color w:val="000000"/>
          <w:sz w:val="17"/>
          <w:szCs w:val="17"/>
        </w:rPr>
        <w:t xml:space="preserve">|   |-- 02_Discordance_Detection/          (Random Forest, XGBoost, LightGBM)</w:t>
      </w:r>
    </w:p>
    <w:p>
      <w:pPr>
        <w:spacing w:after="0" w:line="220"/>
      </w:pPr>
      <w:r>
        <w:rPr>
          <w:rFonts w:ascii="Consolas" w:cs="Consolas" w:eastAsia="Consolas" w:hAnsi="Consolas"/>
          <w:color w:val="000000"/>
          <w:sz w:val="17"/>
          <w:szCs w:val="17"/>
        </w:rPr>
        <w:t xml:space="preserve">|   |-- 03_Cause_Identification/           (multi-label, 8 categories)</w:t>
      </w:r>
    </w:p>
    <w:p>
      <w:pPr>
        <w:spacing w:after="0" w:line="220"/>
      </w:pPr>
      <w:r>
        <w:rPr>
          <w:rFonts w:ascii="Consolas" w:cs="Consolas" w:eastAsia="Consolas" w:hAnsi="Consolas"/>
          <w:color w:val="000000"/>
          <w:sz w:val="17"/>
          <w:szCs w:val="17"/>
        </w:rPr>
        <w:t xml:space="preserve">|   |-- 04_Feature_Engineering/</w:t>
      </w:r>
    </w:p>
    <w:p>
      <w:pPr>
        <w:spacing w:after="0" w:line="220"/>
      </w:pPr>
      <w:r>
        <w:rPr>
          <w:rFonts w:ascii="Consolas" w:cs="Consolas" w:eastAsia="Consolas" w:hAnsi="Consolas"/>
          <w:color w:val="000000"/>
          <w:sz w:val="17"/>
          <w:szCs w:val="17"/>
        </w:rPr>
        <w:t xml:space="preserve">|   |-- 05_Model_Training/</w:t>
      </w:r>
    </w:p>
    <w:p>
      <w:pPr>
        <w:spacing w:after="0" w:line="220"/>
      </w:pPr>
      <w:r>
        <w:rPr>
          <w:rFonts w:ascii="Consolas" w:cs="Consolas" w:eastAsia="Consolas" w:hAnsi="Consolas"/>
          <w:color w:val="000000"/>
          <w:sz w:val="17"/>
          <w:szCs w:val="17"/>
        </w:rPr>
        <w:t xml:space="preserve">|   |-- 06_Model_Comparison/</w:t>
      </w:r>
    </w:p>
    <w:p>
      <w:pPr>
        <w:spacing w:after="0" w:line="220"/>
      </w:pPr>
      <w:r>
        <w:rPr>
          <w:rFonts w:ascii="Consolas" w:cs="Consolas" w:eastAsia="Consolas" w:hAnsi="Consolas"/>
          <w:color w:val="000000"/>
          <w:sz w:val="17"/>
          <w:szCs w:val="17"/>
        </w:rPr>
        <w:t xml:space="preserve">|   |-- 07_Saved_Models/</w:t>
      </w:r>
    </w:p>
    <w:p>
      <w:pPr>
        <w:spacing w:after="0" w:line="220"/>
      </w:pPr>
      <w:r>
        <w:rPr>
          <w:rFonts w:ascii="Consolas" w:cs="Consolas" w:eastAsia="Consolas" w:hAnsi="Consolas"/>
          <w:color w:val="000000"/>
          <w:sz w:val="17"/>
          <w:szCs w:val="17"/>
        </w:rPr>
        <w:t xml:space="preserve">|-- 04_XAI_VALIDATION_DEPLOYMENT/          (Module 4 - Interface/Product Lead +</w:t>
      </w:r>
    </w:p>
    <w:p>
      <w:pPr>
        <w:spacing w:after="0" w:line="220"/>
      </w:pPr>
      <w:r>
        <w:rPr>
          <w:rFonts w:ascii="Consolas" w:cs="Consolas" w:eastAsia="Consolas" w:hAnsi="Consolas"/>
          <w:color w:val="000000"/>
          <w:sz w:val="17"/>
          <w:szCs w:val="17"/>
        </w:rPr>
        <w:t xml:space="preserve">|   |                                       Documentation &amp; Validation Lead)</w:t>
      </w:r>
    </w:p>
    <w:p>
      <w:pPr>
        <w:spacing w:after="0" w:line="220"/>
      </w:pPr>
      <w:r>
        <w:rPr>
          <w:rFonts w:ascii="Consolas" w:cs="Consolas" w:eastAsia="Consolas" w:hAnsi="Consolas"/>
          <w:color w:val="000000"/>
          <w:sz w:val="17"/>
          <w:szCs w:val="17"/>
        </w:rPr>
        <w:t xml:space="preserve">|   |-- 01_SHAP/</w:t>
      </w:r>
    </w:p>
    <w:p>
      <w:pPr>
        <w:spacing w:after="0" w:line="220"/>
      </w:pPr>
      <w:r>
        <w:rPr>
          <w:rFonts w:ascii="Consolas" w:cs="Consolas" w:eastAsia="Consolas" w:hAnsi="Consolas"/>
          <w:color w:val="000000"/>
          <w:sz w:val="17"/>
          <w:szCs w:val="17"/>
        </w:rPr>
        <w:t xml:space="preserve">|   |-- 02_Model_Evaluation/</w:t>
      </w:r>
    </w:p>
    <w:p>
      <w:pPr>
        <w:spacing w:after="0" w:line="220"/>
      </w:pPr>
      <w:r>
        <w:rPr>
          <w:rFonts w:ascii="Consolas" w:cs="Consolas" w:eastAsia="Consolas" w:hAnsi="Consolas"/>
          <w:color w:val="000000"/>
          <w:sz w:val="17"/>
          <w:szCs w:val="17"/>
        </w:rPr>
        <w:t xml:space="preserve">|   |-- 03_Validation/</w:t>
      </w:r>
    </w:p>
    <w:p>
      <w:pPr>
        <w:spacing w:after="0" w:line="220"/>
      </w:pPr>
      <w:r>
        <w:rPr>
          <w:rFonts w:ascii="Consolas" w:cs="Consolas" w:eastAsia="Consolas" w:hAnsi="Consolas"/>
          <w:color w:val="000000"/>
          <w:sz w:val="17"/>
          <w:szCs w:val="17"/>
        </w:rPr>
        <w:t xml:space="preserve">|   |-- 04_Knowledge_Rules/                (links back to Module 1)</w:t>
      </w:r>
    </w:p>
    <w:p>
      <w:pPr>
        <w:spacing w:after="0" w:line="220"/>
      </w:pPr>
      <w:r>
        <w:rPr>
          <w:rFonts w:ascii="Consolas" w:cs="Consolas" w:eastAsia="Consolas" w:hAnsi="Consolas"/>
          <w:color w:val="000000"/>
          <w:sz w:val="17"/>
          <w:szCs w:val="17"/>
        </w:rPr>
        <w:t xml:space="preserve">|   |-- 05_API/                            (FastAPI)</w:t>
      </w:r>
    </w:p>
    <w:p>
      <w:pPr>
        <w:spacing w:after="0" w:line="220"/>
      </w:pPr>
      <w:r>
        <w:rPr>
          <w:rFonts w:ascii="Consolas" w:cs="Consolas" w:eastAsia="Consolas" w:hAnsi="Consolas"/>
          <w:color w:val="000000"/>
          <w:sz w:val="17"/>
          <w:szCs w:val="17"/>
        </w:rPr>
        <w:t xml:space="preserve">|   |-- 06_UI/                             (Streamlit)</w:t>
      </w:r>
    </w:p>
    <w:p>
      <w:pPr>
        <w:spacing w:after="0" w:line="220"/>
      </w:pPr>
      <w:r>
        <w:rPr>
          <w:rFonts w:ascii="Consolas" w:cs="Consolas" w:eastAsia="Consolas" w:hAnsi="Consolas"/>
          <w:color w:val="000000"/>
          <w:sz w:val="17"/>
          <w:szCs w:val="17"/>
        </w:rPr>
        <w:t xml:space="preserve">|   |-- 07_Deployment/                     (Docker, versioning)</w:t>
      </w:r>
    </w:p>
    <w:p>
      <w:pPr>
        <w:spacing w:after="0" w:line="220"/>
      </w:pPr>
      <w:r>
        <w:rPr>
          <w:rFonts w:ascii="Consolas" w:cs="Consolas" w:eastAsia="Consolas" w:hAnsi="Consolas"/>
          <w:color w:val="000000"/>
          <w:sz w:val="17"/>
          <w:szCs w:val="17"/>
        </w:rPr>
        <w:t xml:space="preserve">|-- 05_OUTPUT_INTERFACE/                   (Shared)</w:t>
      </w:r>
    </w:p>
    <w:p>
      <w:pPr>
        <w:spacing w:after="0" w:line="220"/>
      </w:pPr>
      <w:r>
        <w:rPr>
          <w:rFonts w:ascii="Consolas" w:cs="Consolas" w:eastAsia="Consolas" w:hAnsi="Consolas"/>
          <w:color w:val="000000"/>
          <w:sz w:val="17"/>
          <w:szCs w:val="17"/>
        </w:rPr>
        <w:t xml:space="preserve">|-- docs/</w:t>
      </w:r>
    </w:p>
    <w:p>
      <w:pPr>
        <w:spacing w:after="0" w:line="220"/>
      </w:pPr>
      <w:r>
        <w:rPr>
          <w:rFonts w:ascii="Consolas" w:cs="Consolas" w:eastAsia="Consolas" w:hAnsi="Consolas"/>
          <w:color w:val="000000"/>
          <w:sz w:val="17"/>
          <w:szCs w:val="17"/>
        </w:rPr>
        <w:t xml:space="preserve">    |-- literature_review/</w:t>
      </w:r>
    </w:p>
    <w:p>
      <w:pPr>
        <w:spacing w:after="0" w:line="220"/>
      </w:pPr>
      <w:r>
        <w:rPr>
          <w:rFonts w:ascii="Consolas" w:cs="Consolas" w:eastAsia="Consolas" w:hAnsi="Consolas"/>
          <w:color w:val="000000"/>
          <w:sz w:val="17"/>
          <w:szCs w:val="17"/>
        </w:rPr>
        <w:t xml:space="preserve">    |-- proposal/</w:t>
      </w:r>
    </w:p>
    <w:p>
      <w:pPr>
        <w:spacing w:after="0" w:line="220"/>
      </w:pPr>
      <w:r>
        <w:rPr>
          <w:rFonts w:ascii="Consolas" w:cs="Consolas" w:eastAsia="Consolas" w:hAnsi="Consolas"/>
          <w:color w:val="000000"/>
          <w:sz w:val="17"/>
          <w:szCs w:val="17"/>
        </w:rPr>
        <w:t xml:space="preserve">    |-- review_presentations/</w:t>
      </w:r>
    </w:p>
    <w:p>
      <w:pPr>
        <w:spacing w:after="0" w:line="220"/>
      </w:pPr>
      <w:r>
        <w:rPr>
          <w:rFonts w:ascii="Consolas" w:cs="Consolas" w:eastAsia="Consolas" w:hAnsi="Consolas"/>
          <w:color w:val="000000"/>
          <w:sz w:val="17"/>
          <w:szCs w:val="17"/>
        </w:rPr>
        <w:t xml:space="preserve">    |-- flowcharts_diagrams/</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(Full detail: 174 folders total across all categories and sub-conditions -</w:t>
      </w:r>
    </w:p>
    <w:p>
      <w:pPr>
        <w:spacing w:after="0" w:line="220"/>
      </w:pPr>
      <w:r>
        <w:rPr>
          <w:rFonts w:ascii="Consolas" w:cs="Consolas" w:eastAsia="Consolas" w:hAnsi="Consolas"/>
          <w:color w:val="000000"/>
          <w:sz w:val="17"/>
          <w:szCs w:val="17"/>
        </w:rPr>
        <w:t xml:space="preserve">see the attached ZIP for the complete, ready-to-use structure.)</w:t>
      </w:r>
    </w:p>
    <w:p>
      <w:pPr>
        <w:spacing w:before="160"/>
      </w:pPr>
    </w:p>
    <w:p>
      <w:pPr>
        <w:pBdr>
          <w:bottom w:val="single" w:color="999999" w:sz="6" w:space="4"/>
        </w:pBdr>
        <w:spacing w:after="140" w:before="320"/>
      </w:pPr>
      <w:r>
        <w:rPr>
          <w:b/>
          <w:bCs/>
          <w:color w:val="000000"/>
          <w:sz w:val="28"/>
          <w:szCs w:val="28"/>
        </w:rPr>
        <w:t xml:space="preserve">3. Who Uses This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D9D9D9" w:color="auto" w:val="clear"/>
            <w:tcMar>
              <w:top w:type="dxa" w:w="70"/>
              <w:left w:type="dxa" w:w="90"/>
              <w:bottom w:type="dxa" w:w="70"/>
              <w:right w:type="dxa" w:w="90"/>
            </w:tcMar>
            <w:vAlign w:val="center"/>
          </w:tcPr>
          <w:p>
            <w:pPr>
              <w:spacing w:after="40"/>
            </w:pPr>
            <w:r>
              <w:rPr>
                <w:b/>
                <w:bCs/>
                <w:color w:val="000000"/>
                <w:sz w:val="19"/>
                <w:szCs w:val="19"/>
              </w:rPr>
              <w:t xml:space="preserve">User</w:t>
            </w:r>
          </w:p>
        </w:tc>
        <w:tc>
          <w:tcPr>
            <w:tcW w:type="dxa" w:w="6400"/>
            <w:shd w:fill="D9D9D9" w:color="auto" w:val="clear"/>
            <w:tcMar>
              <w:top w:type="dxa" w:w="70"/>
              <w:left w:type="dxa" w:w="90"/>
              <w:bottom w:type="dxa" w:w="70"/>
              <w:right w:type="dxa" w:w="90"/>
            </w:tcMar>
            <w:vAlign w:val="center"/>
          </w:tcPr>
          <w:p>
            <w:pPr>
              <w:spacing w:after="40"/>
            </w:pPr>
            <w:r>
              <w:rPr>
                <w:b/>
                <w:bCs/>
                <w:color w:val="000000"/>
                <w:sz w:val="19"/>
                <w:szCs w:val="19"/>
              </w:rPr>
              <w:t xml:space="preserve">Role in the system</w:t>
            </w:r>
          </w:p>
        </w:tc>
      </w:tr>
      <w:tr>
        <w:tc>
          <w:tcPr>
            <w:tcW w:type="dxa" w:w="28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Clinicians / Doctors</w:t>
            </w:r>
          </w:p>
        </w:tc>
        <w:tc>
          <w:tcPr>
            <w:tcW w:type="dxa" w:w="64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Primary decision-makers — see the discordance risk flag and SHAP explanation, decide whether to order further tests</w:t>
            </w:r>
          </w:p>
        </w:tc>
      </w:tr>
      <w:tr>
        <w:tc>
          <w:tcPr>
            <w:tcW w:type="dxa" w:w="28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Lab Technicians</w:t>
            </w:r>
          </w:p>
        </w:tc>
        <w:tc>
          <w:tcPr>
            <w:tcW w:type="dxa" w:w="64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Enter or upload patient lab values (HbA1c, glucose, CBC) that feed the Input Module</w:t>
            </w:r>
          </w:p>
        </w:tc>
      </w:tr>
      <w:tr>
        <w:tc>
          <w:tcPr>
            <w:tcW w:type="dxa" w:w="28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Patients</w:t>
            </w:r>
          </w:p>
        </w:tc>
        <w:tc>
          <w:tcPr>
            <w:tcW w:type="dxa" w:w="64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Indirect beneficiaries — receive a more reliable diagnosis as a result of the screening</w:t>
            </w:r>
          </w:p>
        </w:tc>
      </w:tr>
      <w:tr>
        <w:tc>
          <w:tcPr>
            <w:tcW w:type="dxa" w:w="28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R&amp;D Team (all 4 members)</w:t>
            </w:r>
          </w:p>
        </w:tc>
        <w:tc>
          <w:tcPr>
            <w:tcW w:type="dxa" w:w="64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Builds, trains, validates, and maintains the entire system</w:t>
            </w:r>
          </w:p>
        </w:tc>
      </w:tr>
    </w:tbl>
    <w:p>
      <w:pPr>
        <w:spacing w:before="200"/>
      </w:pPr>
    </w:p>
    <w:p>
      <w:pPr>
        <w:pBdr>
          <w:bottom w:val="single" w:color="999999" w:sz="6" w:space="4"/>
        </w:pBdr>
        <w:spacing w:after="140" w:before="320"/>
      </w:pPr>
      <w:r>
        <w:rPr>
          <w:b/>
          <w:bCs/>
          <w:color w:val="000000"/>
          <w:sz w:val="28"/>
          <w:szCs w:val="28"/>
        </w:rPr>
        <w:t xml:space="preserve">4. Module-to-Member Assignment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000"/>
      </w:tblGrid>
      <w:tr>
        <w:trPr>
          <w:tblHeader/>
        </w:trPr>
        <w:tc>
          <w:tcPr>
            <w:tcW w:type="dxa" w:w="2600"/>
            <w:shd w:fill="D9D9D9" w:color="auto" w:val="clear"/>
            <w:tcMar>
              <w:top w:type="dxa" w:w="70"/>
              <w:left w:type="dxa" w:w="90"/>
              <w:bottom w:type="dxa" w:w="70"/>
              <w:right w:type="dxa" w:w="90"/>
            </w:tcMar>
            <w:vAlign w:val="center"/>
          </w:tcPr>
          <w:p>
            <w:pPr>
              <w:spacing w:after="40"/>
            </w:pPr>
            <w:r>
              <w:rPr>
                <w:b/>
                <w:bCs/>
                <w:color w:val="000000"/>
                <w:sz w:val="19"/>
                <w:szCs w:val="19"/>
              </w:rPr>
              <w:t xml:space="preserve">Module</w:t>
            </w:r>
          </w:p>
        </w:tc>
        <w:tc>
          <w:tcPr>
            <w:tcW w:type="dxa" w:w="2800"/>
            <w:shd w:fill="D9D9D9" w:color="auto" w:val="clear"/>
            <w:tcMar>
              <w:top w:type="dxa" w:w="70"/>
              <w:left w:type="dxa" w:w="90"/>
              <w:bottom w:type="dxa" w:w="70"/>
              <w:right w:type="dxa" w:w="90"/>
            </w:tcMar>
            <w:vAlign w:val="center"/>
          </w:tcPr>
          <w:p>
            <w:pPr>
              <w:spacing w:after="40"/>
            </w:pPr>
            <w:r>
              <w:rPr>
                <w:b/>
                <w:bCs/>
                <w:color w:val="000000"/>
                <w:sz w:val="19"/>
                <w:szCs w:val="19"/>
              </w:rPr>
              <w:t xml:space="preserve">Folder</w:t>
            </w:r>
          </w:p>
        </w:tc>
        <w:tc>
          <w:tcPr>
            <w:tcW w:type="dxa" w:w="2000"/>
            <w:shd w:fill="D9D9D9" w:color="auto" w:val="clear"/>
            <w:tcMar>
              <w:top w:type="dxa" w:w="70"/>
              <w:left w:type="dxa" w:w="90"/>
              <w:bottom w:type="dxa" w:w="70"/>
              <w:right w:type="dxa" w:w="90"/>
            </w:tcMar>
            <w:vAlign w:val="center"/>
          </w:tcPr>
          <w:p>
            <w:pPr>
              <w:spacing w:after="40"/>
            </w:pPr>
            <w:r>
              <w:rPr>
                <w:b/>
                <w:bCs/>
                <w:color w:val="000000"/>
                <w:sz w:val="19"/>
                <w:szCs w:val="19"/>
              </w:rPr>
              <w:t xml:space="preserve">Owner</w:t>
            </w:r>
          </w:p>
        </w:tc>
        <w:tc>
          <w:tcPr>
            <w:tcW w:type="dxa" w:w="2000"/>
            <w:shd w:fill="D9D9D9" w:color="auto" w:val="clear"/>
            <w:tcMar>
              <w:top w:type="dxa" w:w="70"/>
              <w:left w:type="dxa" w:w="90"/>
              <w:bottom w:type="dxa" w:w="70"/>
              <w:right w:type="dxa" w:w="90"/>
            </w:tcMar>
            <w:vAlign w:val="center"/>
          </w:tcPr>
          <w:p>
            <w:pPr>
              <w:spacing w:after="40"/>
            </w:pPr>
            <w:r>
              <w:rPr>
                <w:b/>
                <w:bCs/>
                <w:color w:val="000000"/>
                <w:sz w:val="19"/>
                <w:szCs w:val="19"/>
              </w:rPr>
              <w:t xml:space="preserve">What they build</w:t>
            </w:r>
          </w:p>
        </w:tc>
      </w:tr>
      <w:tr>
        <w:tc>
          <w:tcPr>
            <w:tcW w:type="dxa" w:w="26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Input Interface</w:t>
            </w:r>
          </w:p>
        </w:tc>
        <w:tc>
          <w:tcPr>
            <w:tcW w:type="dxa" w:w="28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00_INPUT_INTERFACE/</w:t>
            </w:r>
          </w:p>
        </w:tc>
        <w:tc>
          <w:tcPr>
            <w:tcW w:type="dxa" w:w="20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Shared (all 4)</w:t>
            </w:r>
          </w:p>
        </w:tc>
        <w:tc>
          <w:tcPr>
            <w:tcW w:type="dxa" w:w="20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Schema of patient data the system accepts</w:t>
            </w:r>
          </w:p>
        </w:tc>
      </w:tr>
      <w:tr>
        <w:tc>
          <w:tcPr>
            <w:tcW w:type="dxa" w:w="26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Module 1 — Medical Knowledge</w:t>
            </w:r>
          </w:p>
        </w:tc>
        <w:tc>
          <w:tcPr>
            <w:tcW w:type="dxa" w:w="28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01_MEDICAL_KNOWLEDGE/</w:t>
            </w:r>
          </w:p>
        </w:tc>
        <w:tc>
          <w:tcPr>
            <w:tcW w:type="dxa" w:w="20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Data &amp; Research Lead</w:t>
            </w:r>
          </w:p>
        </w:tc>
        <w:tc>
          <w:tcPr>
            <w:tcW w:type="dxa" w:w="20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Defines discordance + all 8 confounder categories from literature</w:t>
            </w:r>
          </w:p>
        </w:tc>
      </w:tr>
      <w:tr>
        <w:tc>
          <w:tcPr>
            <w:tcW w:type="dxa" w:w="26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Module 2 — Data Engineering</w:t>
            </w:r>
          </w:p>
        </w:tc>
        <w:tc>
          <w:tcPr>
            <w:tcW w:type="dxa" w:w="28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02_DATA_ENGINEERING/</w:t>
            </w:r>
          </w:p>
        </w:tc>
        <w:tc>
          <w:tcPr>
            <w:tcW w:type="dxa" w:w="20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Data &amp; Research Lead</w:t>
            </w:r>
          </w:p>
        </w:tc>
        <w:tc>
          <w:tcPr>
            <w:tcW w:type="dxa" w:w="20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Collects, cleans, merges data; creates discordance labels</w:t>
            </w:r>
          </w:p>
        </w:tc>
      </w:tr>
      <w:tr>
        <w:tc>
          <w:tcPr>
            <w:tcW w:type="dxa" w:w="26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Module 3 — AI/ML</w:t>
            </w:r>
          </w:p>
        </w:tc>
        <w:tc>
          <w:tcPr>
            <w:tcW w:type="dxa" w:w="28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03_AI_ML/</w:t>
            </w:r>
          </w:p>
        </w:tc>
        <w:tc>
          <w:tcPr>
            <w:tcW w:type="dxa" w:w="20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ML Model Lead</w:t>
            </w:r>
          </w:p>
        </w:tc>
        <w:tc>
          <w:tcPr>
            <w:tcW w:type="dxa" w:w="20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Builds and compares models to predict risk + likely cause</w:t>
            </w:r>
          </w:p>
        </w:tc>
      </w:tr>
      <w:tr>
        <w:tc>
          <w:tcPr>
            <w:tcW w:type="dxa" w:w="26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Module 4 — XAI, Validation &amp; Deployment</w:t>
            </w:r>
          </w:p>
        </w:tc>
        <w:tc>
          <w:tcPr>
            <w:tcW w:type="dxa" w:w="28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04_XAI_VALIDATION_DEPLOYMENT/</w:t>
            </w:r>
          </w:p>
        </w:tc>
        <w:tc>
          <w:tcPr>
            <w:tcW w:type="dxa" w:w="20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Interface/Product Lead + Documentation &amp; Validation Lead</w:t>
            </w:r>
          </w:p>
        </w:tc>
        <w:tc>
          <w:tcPr>
            <w:tcW w:type="dxa" w:w="2000"/>
            <w:shd w:fill="FFFFFF" w:color="auto" w:val="clear"/>
            <w:tcMar>
              <w:top w:type="dxa" w:w="70"/>
              <w:left w:type="dxa" w:w="90"/>
              <w:bottom w:type="dxa" w:w="70"/>
              <w:right w:type="dxa" w:w="90"/>
            </w:tcMar>
            <w:vAlign w:val="center"/>
          </w:tcPr>
          <w:p>
            <w:pPr>
              <w:spacing w:after="40"/>
            </w:pPr>
            <w:r>
              <w:rPr>
                <w:b w:val="false"/>
                <w:bCs w:val="false"/>
                <w:color w:val="000000"/>
                <w:sz w:val="19"/>
                <w:szCs w:val="19"/>
              </w:rPr>
              <w:t xml:space="preserve">Explainability, evaluation, validation, API, UI, deployment</w:t>
            </w:r>
          </w:p>
        </w:tc>
      </w:tr>
      <w:tr>
        <w:tc>
          <w:tcPr>
            <w:tcW w:type="dxa" w:w="26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Output Interface</w:t>
            </w:r>
          </w:p>
        </w:tc>
        <w:tc>
          <w:tcPr>
            <w:tcW w:type="dxa" w:w="28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05_OUTPUT_INTERFACE/</w:t>
            </w:r>
          </w:p>
        </w:tc>
        <w:tc>
          <w:tcPr>
            <w:tcW w:type="dxa" w:w="20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Shared (all 4)</w:t>
            </w:r>
          </w:p>
        </w:tc>
        <w:tc>
          <w:tcPr>
            <w:tcW w:type="dxa" w:w="2000"/>
            <w:shd w:fill="EDEDED" w:color="auto" w:val="clear"/>
            <w:tcMar>
              <w:top w:type="dxa" w:w="70"/>
              <w:left w:type="dxa" w:w="90"/>
              <w:bottom w:type="dxa" w:w="70"/>
              <w:right w:type="dxa" w:w="90"/>
            </w:tcMar>
            <w:vAlign w:val="center"/>
          </w:tcPr>
          <w:p>
            <w:pPr>
              <w:spacing w:after="40"/>
            </w:pPr>
            <w:r>
              <w:rPr>
                <w:b w:val="false"/>
                <w:bCs w:val="false"/>
                <w:color w:val="000000"/>
                <w:sz w:val="19"/>
                <w:szCs w:val="19"/>
              </w:rPr>
              <w:t xml:space="preserve">Risk score + explanation report format</w:t>
            </w:r>
          </w:p>
        </w:tc>
      </w:tr>
    </w:tbl>
    <w:p>
      <w:pPr>
        <w:spacing w:before="160"/>
      </w:pPr>
    </w:p>
    <w:p>
      <w:pPr>
        <w:spacing w:after="140" w:line="288"/>
        <w:jc w:val="both"/>
      </w:pPr>
      <w:r>
        <w:rPr>
          <w:color w:val="000000"/>
          <w:sz w:val="21"/>
          <w:szCs w:val="21"/>
        </w:rPr>
        <w:t xml:space="preserve">Note: Module 4 is split between two roles because it covers two distinct concerns — the Interface/Product Lead owns the API, UI, and deployment (getting the system in front of a clinician), while the Documentation &amp; Validation Lead owns SHAP, model evaluation, validation, and the review checkpoints (proving the system can be trusted).</w:t>
      </w:r>
    </w:p>
    <w:p>
      <w:pPr>
        <w:pBdr>
          <w:bottom w:val="single" w:color="999999" w:sz="6" w:space="4"/>
        </w:pBdr>
        <w:spacing w:after="140" w:before="320"/>
      </w:pPr>
      <w:r>
        <w:rPr>
          <w:b/>
          <w:bCs/>
          <w:color w:val="000000"/>
          <w:sz w:val="28"/>
          <w:szCs w:val="28"/>
        </w:rPr>
        <w:t xml:space="preserve">5. Tools, Techniques &amp; Knowledge to Build Over 2 Years</w:t>
      </w:r>
    </w:p>
    <w:p>
      <w:pPr>
        <w:pStyle w:val="ListParagraph"/>
        <w:numPr>
          <w:ilvl w:val="0"/>
          <w:numId w:val="2"/>
        </w:numPr>
        <w:spacing w:after="100" w:line="272"/>
      </w:pPr>
      <w:r>
        <w:rPr>
          <w:color w:val="000000"/>
          <w:sz w:val="21"/>
          <w:szCs w:val="21"/>
        </w:rPr>
        <w:t xml:space="preserve">Programming: Python (pandas, numpy), Jupyter notebooks, Git/GitHub for version control and team collaboration.</w:t>
      </w:r>
    </w:p>
    <w:p>
      <w:pPr>
        <w:pStyle w:val="ListParagraph"/>
        <w:numPr>
          <w:ilvl w:val="0"/>
          <w:numId w:val="2"/>
        </w:numPr>
        <w:spacing w:after="100" w:line="272"/>
      </w:pPr>
      <w:r>
        <w:rPr>
          <w:color w:val="000000"/>
          <w:sz w:val="21"/>
          <w:szCs w:val="21"/>
        </w:rPr>
        <w:t xml:space="preserve">Data handling: merging/cleaning multi-file datasets, handling missing values, unit conversions, working with public health datasets.</w:t>
      </w:r>
    </w:p>
    <w:p>
      <w:pPr>
        <w:pStyle w:val="ListParagraph"/>
        <w:numPr>
          <w:ilvl w:val="0"/>
          <w:numId w:val="2"/>
        </w:numPr>
        <w:spacing w:after="100" w:line="272"/>
      </w:pPr>
      <w:r>
        <w:rPr>
          <w:color w:val="000000"/>
          <w:sz w:val="21"/>
          <w:szCs w:val="21"/>
        </w:rPr>
        <w:t xml:space="preserve">Classical ML: logistic regression, decision trees, random forest, XGBoost/LightGBM, scikit-learn.</w:t>
      </w:r>
    </w:p>
    <w:p>
      <w:pPr>
        <w:pStyle w:val="ListParagraph"/>
        <w:numPr>
          <w:ilvl w:val="0"/>
          <w:numId w:val="2"/>
        </w:numPr>
        <w:spacing w:after="100" w:line="272"/>
      </w:pPr>
      <w:r>
        <w:rPr>
          <w:color w:val="000000"/>
          <w:sz w:val="21"/>
          <w:szCs w:val="21"/>
        </w:rPr>
        <w:t xml:space="preserve">Deep learning: basics of neural networks, MLPs, tabular deep learning (PyTorch or TensorFlow).</w:t>
      </w:r>
    </w:p>
    <w:p>
      <w:pPr>
        <w:pStyle w:val="ListParagraph"/>
        <w:numPr>
          <w:ilvl w:val="0"/>
          <w:numId w:val="2"/>
        </w:numPr>
        <w:spacing w:after="100" w:line="272"/>
      </w:pPr>
      <w:r>
        <w:rPr>
          <w:color w:val="000000"/>
          <w:sz w:val="21"/>
          <w:szCs w:val="21"/>
        </w:rPr>
        <w:t xml:space="preserve">Model evaluation: AUROC/AUPRC, calibration curves, cross-validation, subgroup/fairness analysis.</w:t>
      </w:r>
    </w:p>
    <w:p>
      <w:pPr>
        <w:pStyle w:val="ListParagraph"/>
        <w:numPr>
          <w:ilvl w:val="0"/>
          <w:numId w:val="2"/>
        </w:numPr>
        <w:spacing w:after="100" w:line="272"/>
      </w:pPr>
      <w:r>
        <w:rPr>
          <w:color w:val="000000"/>
          <w:sz w:val="21"/>
          <w:szCs w:val="21"/>
        </w:rPr>
        <w:t xml:space="preserve">Explainability: SHAP and/or LIME for feature attribution.</w:t>
      </w:r>
    </w:p>
    <w:p>
      <w:pPr>
        <w:pStyle w:val="ListParagraph"/>
        <w:numPr>
          <w:ilvl w:val="0"/>
          <w:numId w:val="2"/>
        </w:numPr>
        <w:spacing w:after="100" w:line="272"/>
      </w:pPr>
      <w:r>
        <w:rPr>
          <w:color w:val="000000"/>
          <w:sz w:val="21"/>
          <w:szCs w:val="21"/>
        </w:rPr>
        <w:t xml:space="preserve">Deployment/prototype: Streamlit or Flask for a simple clinician-facing report or dashboard.</w:t>
      </w:r>
    </w:p>
    <w:p>
      <w:pPr>
        <w:pStyle w:val="ListParagraph"/>
        <w:numPr>
          <w:ilvl w:val="0"/>
          <w:numId w:val="2"/>
        </w:numPr>
        <w:spacing w:after="100" w:line="272"/>
      </w:pPr>
      <w:r>
        <w:rPr>
          <w:color w:val="000000"/>
          <w:sz w:val="21"/>
          <w:szCs w:val="21"/>
        </w:rPr>
        <w:t xml:space="preserve">Domain knowledge: basic understanding of diabetes, HbA1c, CBC parameters, and how doctors interpret them — enough to explain results meaningfully, not to replace clinical training.</w:t>
      </w:r>
    </w:p>
    <w:p>
      <w:pPr>
        <w:pStyle w:val="ListParagraph"/>
        <w:numPr>
          <w:ilvl w:val="0"/>
          <w:numId w:val="2"/>
        </w:numPr>
        <w:spacing w:after="100" w:line="272"/>
      </w:pPr>
      <w:r>
        <w:rPr>
          <w:color w:val="000000"/>
          <w:sz w:val="21"/>
          <w:szCs w:val="21"/>
        </w:rPr>
        <w:t xml:space="preserve">Research skills: literature review, reading clinical/ML papers, writing a proper research report and defending it in reviews.</w:t>
      </w:r>
    </w:p>
    <w:p>
      <w:pPr>
        <w:pStyle w:val="ListParagraph"/>
        <w:numPr>
          <w:ilvl w:val="0"/>
          <w:numId w:val="2"/>
        </w:numPr>
        <w:spacing w:after="100" w:line="272"/>
      </w:pPr>
      <w:r>
        <w:rPr>
          <w:color w:val="000000"/>
          <w:sz w:val="21"/>
          <w:szCs w:val="21"/>
        </w:rPr>
        <w:t xml:space="preserve">Soft skills: task division, Git-based team workflows, presenting technical work to a non-technical review panel.</w:t>
      </w:r>
    </w:p>
    <w:p>
      <w:pPr>
        <w:spacing w:before="200"/>
      </w:pPr>
    </w:p>
    <w:p>
      <w:r>
        <w:rPr>
          <w:i/>
          <w:iCs/>
          <w:color w:val="555555"/>
          <w:sz w:val="18"/>
          <w:szCs w:val="18"/>
        </w:rPr>
        <w:t xml:space="preserve">Note: the ZIP file provided alongside this document (A1Cognito_v2_folder_structure.zip) contains all 174 folders shown above in full, each with a README placeholder, ready to commit to Git immediately.</w:t>
      </w:r>
    </w:p>
    <w:sectPr>
      <w:headerReference w:type="default" r:id="rId9"/>
      <w:footerReference w:type="default" r:id="rId10"/>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5"/>
        <w:szCs w:val="15"/>
      </w:rPr>
      <w:t xml:space="preserve">A1Cognito — Module, Folder &amp; Team Structure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5"/>
        <w:szCs w:val="15"/>
      </w:rPr>
      <w:t xml:space="preserve">A1Cognito — Module, Folder &amp; Team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e3d5ba9002c2e140ca8c0926682ceef3807e965.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2026-09-13T09:01:31.173Z</dcterms:created>
  <dcterms:modified xsi:type="dcterms:W3CDTF">2026-09-13T09:01:31.173Z</dcterms:modified>
</cp:coreProperties>
</file>

<file path=docProps/custom.xml><?xml version="1.0" encoding="utf-8"?>
<Properties xmlns="http://schemas.openxmlformats.org/officeDocument/2006/custom-properties" xmlns:vt="http://schemas.openxmlformats.org/officeDocument/2006/docPropsVTypes"/>
</file>