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6AD4" w14:textId="4FBB77F1" w:rsidR="006F47EA" w:rsidRPr="006F47EA" w:rsidRDefault="006F47EA" w:rsidP="006F47EA">
      <w:pPr>
        <w:rPr>
          <w:b/>
          <w:bCs/>
        </w:rPr>
      </w:pPr>
      <w:r w:rsidRPr="006F47EA">
        <w:rPr>
          <w:b/>
          <w:bCs/>
        </w:rPr>
        <w:t>Datasets links</w:t>
      </w:r>
    </w:p>
    <w:p w14:paraId="01820848" w14:textId="77777777" w:rsidR="006F47EA" w:rsidRPr="006F47EA" w:rsidRDefault="006F47EA" w:rsidP="006F47EA">
      <w:r w:rsidRPr="006F47EA">
        <w:rPr>
          <w:b/>
          <w:bCs/>
        </w:rPr>
        <w:t>Primary recommendation: NHANES (National Health and Nutrition Examination Survey, CDC)</w:t>
      </w:r>
    </w:p>
    <w:p w14:paraId="74846DA6" w14:textId="77777777" w:rsidR="006F47EA" w:rsidRPr="006F47EA" w:rsidRDefault="006F47EA" w:rsidP="006F47EA">
      <w:r w:rsidRPr="006F47EA">
        <w:t>This is genuinely your best option and what most of the papers I found for you actually use. It's free, no application process, and has almost everything you need in one place: CBC (haemoglobin, MCV, RDW, etc.), HbA1c, fasting glucose, OGTT, demographics, BMI, and — in specific cycles only — ferritin.</w:t>
      </w:r>
    </w:p>
    <w:p w14:paraId="176F72AF" w14:textId="77777777" w:rsidR="006F47EA" w:rsidRPr="006F47EA" w:rsidRDefault="006F47EA" w:rsidP="006F47EA">
      <w:pPr>
        <w:numPr>
          <w:ilvl w:val="0"/>
          <w:numId w:val="1"/>
        </w:numPr>
      </w:pPr>
      <w:r w:rsidRPr="006F47EA">
        <w:rPr>
          <w:b/>
          <w:bCs/>
        </w:rPr>
        <w:t>Main portal:</w:t>
      </w:r>
      <w:r w:rsidRPr="006F47EA">
        <w:t xml:space="preserve"> </w:t>
      </w:r>
      <w:hyperlink r:id="rId5" w:history="1">
        <w:r w:rsidRPr="006F47EA">
          <w:rPr>
            <w:rStyle w:val="Hyperlink"/>
          </w:rPr>
          <w:t>https://wwwn.cdc.gov/nchs/nhanes/Default.aspx</w:t>
        </w:r>
      </w:hyperlink>
    </w:p>
    <w:p w14:paraId="298F7446" w14:textId="77777777" w:rsidR="006F47EA" w:rsidRPr="006F47EA" w:rsidRDefault="006F47EA" w:rsidP="006F47EA">
      <w:pPr>
        <w:numPr>
          <w:ilvl w:val="0"/>
          <w:numId w:val="1"/>
        </w:numPr>
      </w:pPr>
      <w:r w:rsidRPr="006F47EA">
        <w:rPr>
          <w:b/>
          <w:bCs/>
        </w:rPr>
        <w:t>Direct data files by cycle:</w:t>
      </w:r>
      <w:r w:rsidRPr="006F47EA">
        <w:t xml:space="preserve"> </w:t>
      </w:r>
      <w:hyperlink r:id="rId6" w:history="1">
        <w:r w:rsidRPr="006F47EA">
          <w:rPr>
            <w:rStyle w:val="Hyperlink"/>
          </w:rPr>
          <w:t>https://wwwn.cdc.gov/nchs/nhanes/search/default.aspx</w:t>
        </w:r>
      </w:hyperlink>
      <w:r w:rsidRPr="006F47EA">
        <w:t xml:space="preserve"> (searchable by variable — search "glycohemoglobin," "complete blood count," "ferritin")</w:t>
      </w:r>
    </w:p>
    <w:p w14:paraId="7F6C6CF4" w14:textId="77777777" w:rsidR="006F47EA" w:rsidRPr="006F47EA" w:rsidRDefault="006F47EA" w:rsidP="006F47EA">
      <w:pPr>
        <w:numPr>
          <w:ilvl w:val="0"/>
          <w:numId w:val="1"/>
        </w:numPr>
      </w:pPr>
      <w:r w:rsidRPr="006F47EA">
        <w:rPr>
          <w:b/>
          <w:bCs/>
        </w:rPr>
        <w:t>Important caveat you should plan around:</w:t>
      </w:r>
      <w:r w:rsidRPr="006F47EA">
        <w:t xml:space="preserve"> ferritin is not measured in every cycle — it's only available in NHANES 2005–2010 and NHANES 2015–2018, so if you want ferritin as a feature, you must restrict your cohort to those specific cycles rather than the full NHANES history. </w:t>
      </w:r>
      <w:hyperlink r:id="rId7" w:tgtFrame="_blank" w:history="1">
        <w:r w:rsidRPr="006F47EA">
          <w:rPr>
            <w:rStyle w:val="Hyperlink"/>
          </w:rPr>
          <w:t>nih</w:t>
        </w:r>
      </w:hyperlink>
    </w:p>
    <w:p w14:paraId="7D9CD070" w14:textId="77777777" w:rsidR="006F47EA" w:rsidRPr="006F47EA" w:rsidRDefault="006F47EA" w:rsidP="006F47EA">
      <w:pPr>
        <w:numPr>
          <w:ilvl w:val="0"/>
          <w:numId w:val="1"/>
        </w:numPr>
      </w:pPr>
      <w:r w:rsidRPr="006F47EA">
        <w:t xml:space="preserve">Reticulocyte count and haptoglobin (the ones I flagged as ideal for catching haemolysis) are </w:t>
      </w:r>
      <w:r w:rsidRPr="006F47EA">
        <w:rPr>
          <w:b/>
          <w:bCs/>
        </w:rPr>
        <w:t>not</w:t>
      </w:r>
      <w:r w:rsidRPr="006F47EA">
        <w:t xml:space="preserve"> routinely available in NHANES — worth stating explicitly in your "limitations/scope" section as I mentioned earlier.</w:t>
      </w:r>
    </w:p>
    <w:p w14:paraId="03F54603" w14:textId="77777777" w:rsidR="006F47EA" w:rsidRPr="006F47EA" w:rsidRDefault="006F47EA" w:rsidP="006F47EA">
      <w:r w:rsidRPr="006F47EA">
        <w:rPr>
          <w:b/>
          <w:bCs/>
        </w:rPr>
        <w:t>Secondary/supplementary options:</w:t>
      </w:r>
    </w:p>
    <w:p w14:paraId="738B952A" w14:textId="77777777" w:rsidR="006F47EA" w:rsidRPr="006F47EA" w:rsidRDefault="006F47EA" w:rsidP="006F47EA">
      <w:pPr>
        <w:numPr>
          <w:ilvl w:val="0"/>
          <w:numId w:val="2"/>
        </w:numPr>
      </w:pPr>
      <w:r w:rsidRPr="006F47EA">
        <w:rPr>
          <w:b/>
          <w:bCs/>
        </w:rPr>
        <w:t>Kaggle — Diabetes Health Indicators / CDC Diabetes datasets:</w:t>
      </w:r>
      <w:r w:rsidRPr="006F47EA">
        <w:t xml:space="preserve"> </w:t>
      </w:r>
      <w:hyperlink r:id="rId8" w:history="1">
        <w:r w:rsidRPr="006F47EA">
          <w:rPr>
            <w:rStyle w:val="Hyperlink"/>
          </w:rPr>
          <w:t>https://www.kaggle.com/datasets/alexteboul/diabetes-health-indicators-dataset</w:t>
        </w:r>
      </w:hyperlink>
      <w:r w:rsidRPr="006F47EA">
        <w:t xml:space="preserve"> — pre-cleaned NHANES-derived version, faster to start with for prototyping, but check exactly which variables survived the cleaning before relying on it for CBC indices.</w:t>
      </w:r>
    </w:p>
    <w:p w14:paraId="4CE64F50" w14:textId="77777777" w:rsidR="006F47EA" w:rsidRPr="006F47EA" w:rsidRDefault="006F47EA" w:rsidP="006F47EA">
      <w:pPr>
        <w:numPr>
          <w:ilvl w:val="0"/>
          <w:numId w:val="2"/>
        </w:numPr>
      </w:pPr>
      <w:r w:rsidRPr="006F47EA">
        <w:rPr>
          <w:b/>
          <w:bCs/>
        </w:rPr>
        <w:t>MIMIC-IV (ICU data, PhysioNet):</w:t>
      </w:r>
      <w:r w:rsidRPr="006F47EA">
        <w:t xml:space="preserve"> </w:t>
      </w:r>
      <w:hyperlink r:id="rId9" w:history="1">
        <w:r w:rsidRPr="006F47EA">
          <w:rPr>
            <w:rStyle w:val="Hyperlink"/>
          </w:rPr>
          <w:t>https://physionet.org/content/mimiciv/</w:t>
        </w:r>
      </w:hyperlink>
      <w:r w:rsidRPr="006F47EA">
        <w:t xml:space="preserve"> — has CBC and HbA1c for hospitalized patients, but requires a credentialed access application (CITI training certificate) and is ICU-population-biased (sicker patients, not representative of routine screening) — better as a validation/robustness-check dataset later, not your primary training set.</w:t>
      </w:r>
    </w:p>
    <w:p w14:paraId="3A7D8EFF" w14:textId="77777777" w:rsidR="006F47EA" w:rsidRPr="006F47EA" w:rsidRDefault="006F47EA" w:rsidP="006F47EA">
      <w:pPr>
        <w:numPr>
          <w:ilvl w:val="0"/>
          <w:numId w:val="2"/>
        </w:numPr>
      </w:pPr>
      <w:r w:rsidRPr="006F47EA">
        <w:rPr>
          <w:b/>
          <w:bCs/>
        </w:rPr>
        <w:t>UK Biobank:</w:t>
      </w:r>
      <w:r w:rsidRPr="006F47EA">
        <w:t xml:space="preserve"> </w:t>
      </w:r>
      <w:hyperlink r:id="rId10" w:history="1">
        <w:r w:rsidRPr="006F47EA">
          <w:rPr>
            <w:rStyle w:val="Hyperlink"/>
          </w:rPr>
          <w:t>https://www.ukbiobank.ac.uk/enable-your-research/apply-for-access</w:t>
        </w:r>
      </w:hyperlink>
      <w:r w:rsidRPr="006F47EA">
        <w:t xml:space="preserve"> — has excellent CBC + HbA1c + genetic data, but requires a formal application, a fee, and typically institutional sponsorship — likely too heavy a process for a capstone timeline unless your guide has existing access.</w:t>
      </w:r>
    </w:p>
    <w:p w14:paraId="0D384EFF" w14:textId="207E4184" w:rsidR="006F47EA" w:rsidRDefault="006F47EA" w:rsidP="006F47EA"/>
    <w:p w14:paraId="47E984B8" w14:textId="77777777" w:rsidR="006F47EA" w:rsidRDefault="006F47EA" w:rsidP="006F47EA"/>
    <w:p w14:paraId="74E966EF" w14:textId="77777777" w:rsidR="006F47EA" w:rsidRPr="006F47EA" w:rsidRDefault="006F47EA" w:rsidP="006F47EA">
      <w:pPr>
        <w:rPr>
          <w:b/>
          <w:bCs/>
        </w:rPr>
      </w:pPr>
      <w:r w:rsidRPr="006F47EA">
        <w:rPr>
          <w:b/>
          <w:bCs/>
        </w:rPr>
        <w:lastRenderedPageBreak/>
        <w:t xml:space="preserve">What's literally </w:t>
      </w:r>
      <w:r w:rsidRPr="006F47EA">
        <w:rPr>
          <w:b/>
          <w:bCs/>
          <w:i/>
          <w:iCs/>
        </w:rPr>
        <w:t>in</w:t>
      </w:r>
      <w:r w:rsidRPr="006F47EA">
        <w:rPr>
          <w:b/>
          <w:bCs/>
        </w:rPr>
        <w:t xml:space="preserve"> the dataset</w:t>
      </w:r>
    </w:p>
    <w:p w14:paraId="391ED43D" w14:textId="77777777" w:rsidR="006F47EA" w:rsidRPr="006F47EA" w:rsidRDefault="006F47EA" w:rsidP="006F47EA">
      <w:r w:rsidRPr="006F47EA">
        <w:t>Each NHANES cycle is split into separate files linked by a participant ID (SEQN). For your project you'd pull and merge these:</w:t>
      </w:r>
    </w:p>
    <w:p w14:paraId="51BF15CE" w14:textId="071E2436" w:rsidR="006F47EA" w:rsidRDefault="006F47EA" w:rsidP="006F47EA">
      <w:r>
        <w:rPr>
          <w:noProof/>
        </w:rPr>
        <w:drawing>
          <wp:inline distT="0" distB="0" distL="0" distR="0" wp14:anchorId="2A5FF1E7" wp14:editId="3DEC5BE0">
            <wp:extent cx="5731510" cy="4678680"/>
            <wp:effectExtent l="0" t="0" r="2540" b="7620"/>
            <wp:docPr id="62744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42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A7B" w14:textId="77777777" w:rsidR="006F47EA" w:rsidRDefault="006F47EA" w:rsidP="006F47EA"/>
    <w:p w14:paraId="21846FBF" w14:textId="7D698A08" w:rsidR="006F47EA" w:rsidRDefault="006F47EA" w:rsidP="006F47EA">
      <w:r w:rsidRPr="006F47EA">
        <w:rPr>
          <w:noProof/>
        </w:rPr>
        <w:lastRenderedPageBreak/>
        <w:drawing>
          <wp:inline distT="0" distB="0" distL="0" distR="0" wp14:anchorId="54E1522F" wp14:editId="59EC1E93">
            <wp:extent cx="5731510" cy="5635625"/>
            <wp:effectExtent l="0" t="0" r="2540" b="3175"/>
            <wp:docPr id="4963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36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74B3" w14:textId="2DB89525" w:rsidR="006F47EA" w:rsidRDefault="006F47EA" w:rsidP="006F47EA">
      <w:r w:rsidRPr="006F47EA">
        <w:rPr>
          <w:noProof/>
        </w:rPr>
        <w:lastRenderedPageBreak/>
        <w:drawing>
          <wp:inline distT="0" distB="0" distL="0" distR="0" wp14:anchorId="1D3E85AF" wp14:editId="280B86B5">
            <wp:extent cx="5731510" cy="4141470"/>
            <wp:effectExtent l="0" t="0" r="2540" b="0"/>
            <wp:docPr id="6512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7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302D" w14:textId="58624898" w:rsidR="006F47EA" w:rsidRDefault="006F47EA" w:rsidP="006F47EA">
      <w:r w:rsidRPr="006F47EA">
        <w:rPr>
          <w:noProof/>
        </w:rPr>
        <w:drawing>
          <wp:inline distT="0" distB="0" distL="0" distR="0" wp14:anchorId="4D87E72E" wp14:editId="71C8760A">
            <wp:extent cx="5731510" cy="2595880"/>
            <wp:effectExtent l="0" t="0" r="2540" b="0"/>
            <wp:docPr id="15049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27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35B5" w14:textId="77777777" w:rsidR="00E272D4" w:rsidRDefault="00E272D4" w:rsidP="006F47EA"/>
    <w:p w14:paraId="5E0D7831" w14:textId="77777777" w:rsidR="00E272D4" w:rsidRDefault="00E272D4" w:rsidP="006F47EA"/>
    <w:p w14:paraId="47F9F00E" w14:textId="77777777" w:rsidR="00E272D4" w:rsidRDefault="00E272D4" w:rsidP="006F47EA"/>
    <w:p w14:paraId="3EF2470C" w14:textId="77777777" w:rsidR="00E272D4" w:rsidRDefault="00E272D4" w:rsidP="006F47EA"/>
    <w:p w14:paraId="618CADBB" w14:textId="77777777" w:rsidR="00E272D4" w:rsidRDefault="00E272D4" w:rsidP="006F47EA"/>
    <w:p w14:paraId="11304B42" w14:textId="77777777" w:rsidR="00E272D4" w:rsidRDefault="00E272D4" w:rsidP="006F47EA"/>
    <w:p w14:paraId="2E0AEC74" w14:textId="0D1E17A7" w:rsidR="00E272D4" w:rsidRPr="00E272D4" w:rsidRDefault="00E272D4" w:rsidP="006F47EA">
      <w:pPr>
        <w:rPr>
          <w:b/>
          <w:bCs/>
        </w:rPr>
      </w:pPr>
      <w:r>
        <w:rPr>
          <w:b/>
          <w:bCs/>
        </w:rPr>
        <w:lastRenderedPageBreak/>
        <w:t xml:space="preserve">POST PANDEMIC AND PRE PANDEMIC DATA SETS FORM </w:t>
      </w:r>
      <w:r w:rsidRPr="00E272D4">
        <w:rPr>
          <w:b/>
          <w:bCs/>
        </w:rPr>
        <w:t>NH</w:t>
      </w:r>
      <w:r>
        <w:rPr>
          <w:b/>
          <w:bCs/>
        </w:rPr>
        <w:t xml:space="preserve">ANES ARE BEEN COLLECTED AND MEREGED. BELOW PART </w:t>
      </w:r>
      <w:proofErr w:type="gramStart"/>
      <w:r>
        <w:rPr>
          <w:b/>
          <w:bCs/>
        </w:rPr>
        <w:t>TELLS</w:t>
      </w:r>
      <w:proofErr w:type="gramEnd"/>
      <w:r>
        <w:rPr>
          <w:b/>
          <w:bCs/>
        </w:rPr>
        <w:t xml:space="preserve"> ABOUT IT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409"/>
        <w:gridCol w:w="2518"/>
        <w:gridCol w:w="2061"/>
      </w:tblGrid>
      <w:tr w:rsidR="00E272D4" w:rsidRPr="00841F5D" w14:paraId="2FFE5916" w14:textId="77777777" w:rsidTr="00BE6E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3F3A6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F6F53B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Select?</w:t>
            </w:r>
          </w:p>
        </w:tc>
        <w:tc>
          <w:tcPr>
            <w:tcW w:w="0" w:type="auto"/>
            <w:vAlign w:val="center"/>
            <w:hideMark/>
          </w:tcPr>
          <w:p w14:paraId="002AAEAE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Reasoning tied to YOUR actual data</w:t>
            </w:r>
          </w:p>
        </w:tc>
        <w:tc>
          <w:tcPr>
            <w:tcW w:w="0" w:type="auto"/>
            <w:vAlign w:val="center"/>
            <w:hideMark/>
          </w:tcPr>
          <w:p w14:paraId="007BFF50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Research grounding</w:t>
            </w:r>
          </w:p>
        </w:tc>
      </w:tr>
      <w:tr w:rsidR="00E272D4" w:rsidRPr="00841F5D" w14:paraId="09F4AB6C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6B9C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2 — Iron/nutritional deficiency anaemia</w:t>
            </w:r>
          </w:p>
        </w:tc>
        <w:tc>
          <w:tcPr>
            <w:tcW w:w="0" w:type="auto"/>
            <w:vAlign w:val="center"/>
            <w:hideMark/>
          </w:tcPr>
          <w:p w14:paraId="30A90AD4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core</w:t>
            </w:r>
          </w:p>
        </w:tc>
        <w:tc>
          <w:tcPr>
            <w:tcW w:w="0" w:type="auto"/>
            <w:vAlign w:val="center"/>
            <w:hideMark/>
          </w:tcPr>
          <w:p w14:paraId="6011219C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Both files already have LBXHGB, LBXMCVSI, LBXFER. This is your only category with zero additional engineering needed.</w:t>
            </w:r>
          </w:p>
        </w:tc>
        <w:tc>
          <w:tcPr>
            <w:tcW w:w="0" w:type="auto"/>
            <w:vAlign w:val="center"/>
            <w:hideMark/>
          </w:tcPr>
          <w:p w14:paraId="0C43392A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Iron-deficiency anaemia's effect on HbA1c is the most consistently replicated finding across multiple independent cohort studies — the strongest evidence base of any category we've reviewed.</w:t>
            </w:r>
          </w:p>
        </w:tc>
      </w:tr>
      <w:tr w:rsidR="00E272D4" w:rsidRPr="00841F5D" w14:paraId="4A556770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F354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6 — Demographic/physiological</w:t>
            </w:r>
          </w:p>
        </w:tc>
        <w:tc>
          <w:tcPr>
            <w:tcW w:w="0" w:type="auto"/>
            <w:vAlign w:val="center"/>
            <w:hideMark/>
          </w:tcPr>
          <w:p w14:paraId="44638D9F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core</w:t>
            </w:r>
          </w:p>
        </w:tc>
        <w:tc>
          <w:tcPr>
            <w:tcW w:w="0" w:type="auto"/>
            <w:vAlign w:val="center"/>
            <w:hideMark/>
          </w:tcPr>
          <w:p w14:paraId="3A3CD7C4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Pre-pandemic has full demographics; post-pandemic doesn't yet — fixable (see code below), not a hard gap.</w:t>
            </w:r>
          </w:p>
        </w:tc>
        <w:tc>
          <w:tcPr>
            <w:tcW w:w="0" w:type="auto"/>
            <w:vAlign w:val="center"/>
            <w:hideMark/>
          </w:tcPr>
          <w:p w14:paraId="4B2E4D39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Age is repeatedly shown as one of the strongest independent predictors of HbA1c-glucose mismatch in large-cohort HGI studies.</w:t>
            </w:r>
          </w:p>
        </w:tc>
      </w:tr>
      <w:tr w:rsidR="00E272D4" w:rsidRPr="00841F5D" w14:paraId="54F8DF43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0476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5 — Nutritional/inflammatory (CRP, albumin)</w:t>
            </w:r>
          </w:p>
        </w:tc>
        <w:tc>
          <w:tcPr>
            <w:tcW w:w="0" w:type="auto"/>
            <w:vAlign w:val="center"/>
            <w:hideMark/>
          </w:tcPr>
          <w:p w14:paraId="1CADF55E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partial, now stronger than we thought</w:t>
            </w:r>
          </w:p>
        </w:tc>
        <w:tc>
          <w:tcPr>
            <w:tcW w:w="0" w:type="auto"/>
            <w:vAlign w:val="center"/>
            <w:hideMark/>
          </w:tcPr>
          <w:p w14:paraId="58AACA19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Your teammate's post-pandemic file already includes LBXHSCRP (CRP) — genuinely good, this is more than your pre-pandemic file has. Fixable by fetching CRP for pre-pandemic too (code below).</w:t>
            </w:r>
          </w:p>
        </w:tc>
        <w:tc>
          <w:tcPr>
            <w:tcW w:w="0" w:type="auto"/>
            <w:vAlign w:val="center"/>
            <w:hideMark/>
          </w:tcPr>
          <w:p w14:paraId="2B180EB4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CRP/inflammation is documented as an independent factor influencing glycation biology, distinct from anaemia.</w:t>
            </w:r>
          </w:p>
        </w:tc>
      </w:tr>
      <w:tr w:rsidR="00E272D4" w:rsidRPr="00841F5D" w14:paraId="370C7212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FF4E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lastRenderedPageBreak/>
              <w:t>2b — B12/folate deficiency (megaloblastic anaemia)</w:t>
            </w:r>
          </w:p>
        </w:tc>
        <w:tc>
          <w:tcPr>
            <w:tcW w:w="0" w:type="auto"/>
            <w:vAlign w:val="center"/>
            <w:hideMark/>
          </w:tcPr>
          <w:p w14:paraId="30E437BE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newly upgradeable</w:t>
            </w:r>
          </w:p>
        </w:tc>
        <w:tc>
          <w:tcPr>
            <w:tcW w:w="0" w:type="auto"/>
            <w:vAlign w:val="center"/>
            <w:hideMark/>
          </w:tcPr>
          <w:p w14:paraId="3E3B36C9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Post-pandemic already has LBDRFO (RBC folate)! This is a real, unexpected asset — we should add folate to pre-pandemic to match.</w:t>
            </w:r>
          </w:p>
        </w:tc>
        <w:tc>
          <w:tcPr>
            <w:tcW w:w="0" w:type="auto"/>
            <w:vAlign w:val="center"/>
            <w:hideMark/>
          </w:tcPr>
          <w:p w14:paraId="00B190CB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Folate/B12 deficiency causing megaloblastic anaemia is a well-documented, distinct mechanism from iron-deficiency, with a consistent falsely-high HbA1c direction.</w:t>
            </w:r>
          </w:p>
        </w:tc>
      </w:tr>
      <w:tr w:rsidR="00E272D4" w:rsidRPr="00841F5D" w14:paraId="3F14A664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EA76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4 — Kidney/organ (creatinine)</w:t>
            </w:r>
          </w:p>
        </w:tc>
        <w:tc>
          <w:tcPr>
            <w:tcW w:w="0" w:type="auto"/>
            <w:vAlign w:val="center"/>
            <w:hideMark/>
          </w:tcPr>
          <w:p w14:paraId="33AFB8F0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Yes — partial</w:t>
            </w:r>
          </w:p>
        </w:tc>
        <w:tc>
          <w:tcPr>
            <w:tcW w:w="0" w:type="auto"/>
            <w:vAlign w:val="center"/>
            <w:hideMark/>
          </w:tcPr>
          <w:p w14:paraId="7756A3A1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Pre-pandemic has LBXSCR; post-pandemic doesn't yet — fixable.</w:t>
            </w:r>
          </w:p>
        </w:tc>
        <w:tc>
          <w:tcPr>
            <w:tcW w:w="0" w:type="auto"/>
            <w:vAlign w:val="center"/>
            <w:hideMark/>
          </w:tcPr>
          <w:p w14:paraId="51D04C87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Creatinine as a CKD proxy is a standard, validated approach in nephrology-adjacent HbA1c research.</w:t>
            </w:r>
          </w:p>
        </w:tc>
      </w:tr>
      <w:tr w:rsidR="00E272D4" w:rsidRPr="00841F5D" w14:paraId="79191754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31E2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1 — Haemolysis (bilirubin)</w:t>
            </w:r>
          </w:p>
        </w:tc>
        <w:tc>
          <w:tcPr>
            <w:tcW w:w="0" w:type="auto"/>
            <w:vAlign w:val="center"/>
            <w:hideMark/>
          </w:tcPr>
          <w:p w14:paraId="37C65FA1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No, for </w:t>
            </w:r>
            <w:proofErr w:type="gramStart"/>
            <w:r w:rsidRPr="00841F5D">
              <w:rPr>
                <w:b/>
                <w:bCs/>
              </w:rPr>
              <w:t>now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4F63A0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Neither file has LBXSTB. Addable, but adds a </w:t>
            </w:r>
            <w:r w:rsidRPr="00841F5D">
              <w:rPr>
                <w:b/>
                <w:bCs/>
                <w:i/>
                <w:iCs/>
              </w:rPr>
              <w:t>third</w:t>
            </w:r>
            <w:r w:rsidRPr="00841F5D">
              <w:rPr>
                <w:b/>
                <w:bCs/>
              </w:rPr>
              <w:t xml:space="preserve"> subsample-dependent column stacking onto glucose+ferritin+folate — real risk of shrinking usable rows too far. Recommend deferring until you see how much Categories 2/5/6 already cost you in row count.</w:t>
            </w:r>
          </w:p>
        </w:tc>
        <w:tc>
          <w:tcPr>
            <w:tcW w:w="0" w:type="auto"/>
            <w:vAlign w:val="center"/>
            <w:hideMark/>
          </w:tcPr>
          <w:p w14:paraId="10ADDD8D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We already found bilirubin's signal is weak/non-specific for haemolysis even when present — lower payoff for the added missing-data cost.</w:t>
            </w:r>
          </w:p>
        </w:tc>
      </w:tr>
      <w:tr w:rsidR="00E272D4" w:rsidRPr="00841F5D" w14:paraId="2C5CED57" w14:textId="77777777" w:rsidTr="00BE6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D8B1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lastRenderedPageBreak/>
              <w:t>3, 7, 8 — Variants, drugs, lab handling</w:t>
            </w:r>
          </w:p>
        </w:tc>
        <w:tc>
          <w:tcPr>
            <w:tcW w:w="0" w:type="auto"/>
            <w:vAlign w:val="center"/>
            <w:hideMark/>
          </w:tcPr>
          <w:p w14:paraId="7FA5DCC8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13E6BC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Genuinely absent from NHANES entirely, any cycle — this hasn't changed.</w:t>
            </w:r>
          </w:p>
        </w:tc>
        <w:tc>
          <w:tcPr>
            <w:tcW w:w="0" w:type="auto"/>
            <w:vAlign w:val="center"/>
            <w:hideMark/>
          </w:tcPr>
          <w:p w14:paraId="2B877A5D" w14:textId="77777777" w:rsidR="00E272D4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 xml:space="preserve">Confirmed via CDC's own interference documentation — a structural data  </w:t>
            </w:r>
          </w:p>
          <w:p w14:paraId="076E00E1" w14:textId="77777777" w:rsidR="00E272D4" w:rsidRDefault="00E272D4" w:rsidP="00BE6E60">
            <w:pPr>
              <w:rPr>
                <w:b/>
                <w:bCs/>
              </w:rPr>
            </w:pPr>
          </w:p>
          <w:p w14:paraId="222468F8" w14:textId="77777777" w:rsidR="00E272D4" w:rsidRDefault="00E272D4" w:rsidP="00BE6E60">
            <w:pPr>
              <w:rPr>
                <w:b/>
                <w:bCs/>
              </w:rPr>
            </w:pPr>
          </w:p>
          <w:p w14:paraId="69DBB288" w14:textId="77777777" w:rsidR="00E272D4" w:rsidRPr="00841F5D" w:rsidRDefault="00E272D4" w:rsidP="00BE6E60">
            <w:pPr>
              <w:rPr>
                <w:b/>
                <w:bCs/>
              </w:rPr>
            </w:pPr>
            <w:r w:rsidRPr="00841F5D">
              <w:rPr>
                <w:b/>
                <w:bCs/>
              </w:rPr>
              <w:t>ceiling, not a choice.</w:t>
            </w:r>
          </w:p>
        </w:tc>
      </w:tr>
    </w:tbl>
    <w:p w14:paraId="0409E598" w14:textId="77777777" w:rsidR="00E272D4" w:rsidRPr="00E74061" w:rsidRDefault="00E272D4" w:rsidP="00E272D4">
      <w:pPr>
        <w:rPr>
          <w:b/>
          <w:bCs/>
        </w:rPr>
      </w:pPr>
      <w:r>
        <w:rPr>
          <w:b/>
          <w:bCs/>
        </w:rPr>
        <w:br w:type="textWrapping" w:clear="all"/>
      </w:r>
      <w:r w:rsidRPr="00E74061">
        <w:rPr>
          <w:b/>
          <w:bCs/>
        </w:rPr>
        <w:t>Sources used</w:t>
      </w:r>
    </w:p>
    <w:p w14:paraId="0AB9BA89" w14:textId="77777777" w:rsidR="00E272D4" w:rsidRPr="00E74061" w:rsidRDefault="00E272D4" w:rsidP="00E272D4">
      <w:pPr>
        <w:rPr>
          <w:rStyle w:val="Hyperlink"/>
        </w:rPr>
      </w:pPr>
      <w:r w:rsidRPr="00E74061">
        <w:fldChar w:fldCharType="begin"/>
      </w:r>
      <w:r w:rsidRPr="00E74061">
        <w:instrText>HYPERLINK "https://wwwn.cdc.gov/Nchs/Data/Nhanes/Public/2017/DataFiles/P_BIOPRO.htm" \t "_blank"</w:instrText>
      </w:r>
      <w:r w:rsidRPr="00E74061">
        <w:fldChar w:fldCharType="separate"/>
      </w:r>
      <w:r w:rsidRPr="00E74061">
        <w:rPr>
          <w:rStyle w:val="Hyperlink"/>
        </w:rPr>
        <w:t>NHANES 2017-March 2020: Standard Biochemistry Profile DocumentationOfficial CDC documentation confirming bilirubin (LBXSTB), albumin (LBXSAL), and creatinine (LBXSCR) are all included in this cycle's biochemistry panel.</w:t>
      </w:r>
      <w:r w:rsidRPr="00E74061">
        <w:rPr>
          <w:rStyle w:val="Hyperlink"/>
          <w:noProof/>
        </w:rPr>
        <w:drawing>
          <wp:inline distT="0" distB="0" distL="0" distR="0" wp14:anchorId="35A4AC15" wp14:editId="096A6046">
            <wp:extent cx="152400" cy="152400"/>
            <wp:effectExtent l="0" t="0" r="0" b="0"/>
            <wp:docPr id="807802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1235C3BC" w14:textId="77777777" w:rsidR="00E272D4" w:rsidRPr="00E74061" w:rsidRDefault="00E272D4" w:rsidP="00E272D4">
      <w:pPr>
        <w:rPr>
          <w:rStyle w:val="Hyperlink"/>
        </w:rPr>
      </w:pPr>
      <w:r w:rsidRPr="00E74061">
        <w:fldChar w:fldCharType="end"/>
      </w:r>
      <w:r w:rsidRPr="00E74061">
        <w:fldChar w:fldCharType="begin"/>
      </w:r>
      <w:r w:rsidRPr="00E74061">
        <w:instrText>HYPERLINK "https://wwwn.cdc.gov/Nchs/Data/Nhanes/Public/2017/DataFiles/P_FOLATE.htm" \t "_blank"</w:instrText>
      </w:r>
      <w:r w:rsidRPr="00E74061">
        <w:fldChar w:fldCharType="separate"/>
      </w:r>
      <w:r w:rsidRPr="00E74061">
        <w:rPr>
          <w:rStyle w:val="Hyperlink"/>
        </w:rPr>
        <w:t>NHANES 2017-March 2020: Folate - Serum and RBC Data FileConfirms serum and RBC folate variables are measured in your exact target cycle, supporting Category 2 (nutritional deficiency anaemia) inclusion.</w:t>
      </w:r>
      <w:r w:rsidRPr="00E74061">
        <w:rPr>
          <w:rStyle w:val="Hyperlink"/>
          <w:noProof/>
        </w:rPr>
        <w:drawing>
          <wp:inline distT="0" distB="0" distL="0" distR="0" wp14:anchorId="50FC2237" wp14:editId="73B96813">
            <wp:extent cx="152400" cy="152400"/>
            <wp:effectExtent l="0" t="0" r="0" b="0"/>
            <wp:docPr id="1485925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33A2ABFC" w14:textId="77777777" w:rsidR="00E272D4" w:rsidRPr="00E74061" w:rsidRDefault="00E272D4" w:rsidP="00E272D4">
      <w:pPr>
        <w:rPr>
          <w:rStyle w:val="Hyperlink"/>
        </w:rPr>
      </w:pPr>
      <w:r w:rsidRPr="00E74061">
        <w:fldChar w:fldCharType="end"/>
      </w:r>
      <w:r w:rsidRPr="00E74061">
        <w:fldChar w:fldCharType="begin"/>
      </w:r>
      <w:r w:rsidRPr="00E74061">
        <w:instrText>HYPERLINK "https://wwwn.cdc.gov/Nchs/Data/Nhanes/Public/2017/DataFiles/P_FOLFMS.htm" \t "_blank"</w:instrText>
      </w:r>
      <w:r w:rsidRPr="00E74061">
        <w:fldChar w:fldCharType="separate"/>
      </w:r>
      <w:r w:rsidRPr="00E74061">
        <w:rPr>
          <w:rStyle w:val="Hyperlink"/>
        </w:rPr>
        <w:t>NHANES 2017-March 2020: Folate Forms - Serum Data FileSupplementary documentation on how folate concentrations were measured (LC-MS/MS) for this cycle.</w:t>
      </w:r>
      <w:r w:rsidRPr="00E74061">
        <w:rPr>
          <w:rStyle w:val="Hyperlink"/>
          <w:noProof/>
        </w:rPr>
        <w:drawing>
          <wp:inline distT="0" distB="0" distL="0" distR="0" wp14:anchorId="2ADAA7C6" wp14:editId="21632EF9">
            <wp:extent cx="152400" cy="152400"/>
            <wp:effectExtent l="0" t="0" r="0" b="0"/>
            <wp:docPr id="113227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61">
        <w:rPr>
          <w:rStyle w:val="Hyperlink"/>
        </w:rPr>
        <w:t>CDC/NHANES</w:t>
      </w:r>
    </w:p>
    <w:p w14:paraId="6A51576D" w14:textId="16A16DF7" w:rsidR="00E272D4" w:rsidRPr="006F47EA" w:rsidRDefault="00E272D4" w:rsidP="00E272D4">
      <w:r w:rsidRPr="00E74061">
        <w:fldChar w:fldCharType="end"/>
      </w:r>
      <w:r w:rsidRPr="002D4DE8">
        <w:rPr>
          <w:noProof/>
        </w:rPr>
        <w:drawing>
          <wp:inline distT="0" distB="0" distL="0" distR="0" wp14:anchorId="4A045620" wp14:editId="1E74463D">
            <wp:extent cx="5731510" cy="3057525"/>
            <wp:effectExtent l="0" t="0" r="2540" b="9525"/>
            <wp:docPr id="12916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7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2D4" w:rsidRPr="006F4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B7E"/>
    <w:multiLevelType w:val="multilevel"/>
    <w:tmpl w:val="103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D55"/>
    <w:multiLevelType w:val="multilevel"/>
    <w:tmpl w:val="F72E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795520">
    <w:abstractNumId w:val="0"/>
  </w:num>
  <w:num w:numId="2" w16cid:durableId="691733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EA"/>
    <w:rsid w:val="00186AD3"/>
    <w:rsid w:val="00596D9D"/>
    <w:rsid w:val="006F47EA"/>
    <w:rsid w:val="0087785A"/>
    <w:rsid w:val="00A97532"/>
    <w:rsid w:val="00E2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E4B0"/>
  <w15:chartTrackingRefBased/>
  <w15:docId w15:val="{F07DF375-3E17-4D45-ACA6-5B116A9D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7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7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lexteboul/diabetes-health-indicators-dataset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pmc/articles/PMC9273928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n.cdc.gov/nchs/nhanes/search/default.aspx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n.cdc.gov/nchs/nhanes/Default.aspx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ukbiobank.ac.uk/enable-your-research/apply-for-acc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ysionet.org/content/mimiciv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3</cp:revision>
  <dcterms:created xsi:type="dcterms:W3CDTF">2026-08-31T06:04:00Z</dcterms:created>
  <dcterms:modified xsi:type="dcterms:W3CDTF">2026-09-15T14:13:00Z</dcterms:modified>
</cp:coreProperties>
</file>