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38EF" w14:textId="77777777" w:rsidR="00FC58EA" w:rsidRPr="00FC58EA" w:rsidRDefault="00FC58EA" w:rsidP="00FC58EA">
      <w:pPr>
        <w:rPr>
          <w:b/>
          <w:bCs/>
        </w:rPr>
      </w:pPr>
      <w:r w:rsidRPr="00FC58EA">
        <w:rPr>
          <w:b/>
          <w:bCs/>
        </w:rPr>
        <w:t>What is this project, actually?</w:t>
      </w:r>
    </w:p>
    <w:p w14:paraId="726FEECE" w14:textId="77777777" w:rsidR="00FC58EA" w:rsidRPr="00FC58EA" w:rsidRDefault="00FC58EA" w:rsidP="00FC58EA">
      <w:r w:rsidRPr="00FC58EA">
        <w:t>Forget the jargon for a second. Here's the core idea:</w:t>
      </w:r>
    </w:p>
    <w:p w14:paraId="4B2947B3" w14:textId="77777777" w:rsidR="00FC58EA" w:rsidRPr="00FC58EA" w:rsidRDefault="00FC58EA" w:rsidP="00FC58EA">
      <w:r w:rsidRPr="00FC58EA">
        <w:rPr>
          <w:b/>
          <w:bCs/>
        </w:rPr>
        <w:t>HbA1c</w:t>
      </w:r>
      <w:r w:rsidRPr="00FC58EA">
        <w:t xml:space="preserve"> is the standard "average blood sugar over 3 months" blood test doctors use to diagnose and monitor diabetes. But it doesn't measure sugar directly — it measures how much sugar has stuck to your haemoglobin (the protein in red blood cells) over the ~3-month life of those cells.</w:t>
      </w:r>
    </w:p>
    <w:p w14:paraId="09B08967" w14:textId="77777777" w:rsidR="00FC58EA" w:rsidRPr="00FC58EA" w:rsidRDefault="00FC58EA" w:rsidP="00FC58EA">
      <w:r w:rsidRPr="00FC58EA">
        <w:t xml:space="preserve">The problem: that "3-month life of red blood cells" assumption doesn't hold for everyone. If you're anaemic, iron-deficient, have kidney disease, are pregnant, elderly, obese, or have certain blood disorders — your red blood cells behave differently, and your HbA1c number can be </w:t>
      </w:r>
      <w:r w:rsidRPr="00FC58EA">
        <w:rPr>
          <w:b/>
          <w:bCs/>
        </w:rPr>
        <w:t>wrong</w:t>
      </w:r>
      <w:r w:rsidRPr="00FC58EA">
        <w:t xml:space="preserve"> even though the lab reports it with total confidence. Someone can get an HbA1c that says "diabetic" when their actual sugar control is fine, or vice versa. This mismatch is called </w:t>
      </w:r>
      <w:r w:rsidRPr="00FC58EA">
        <w:rPr>
          <w:b/>
          <w:bCs/>
        </w:rPr>
        <w:t>discordance</w:t>
      </w:r>
      <w:r w:rsidRPr="00FC58EA">
        <w:t>.</w:t>
      </w:r>
    </w:p>
    <w:p w14:paraId="5493F30F" w14:textId="77777777" w:rsidR="00FC58EA" w:rsidRPr="00FC58EA" w:rsidRDefault="00FC58EA" w:rsidP="00FC58EA">
      <w:proofErr w:type="spellStart"/>
      <w:r w:rsidRPr="00FC58EA">
        <w:t>GlycoAI</w:t>
      </w:r>
      <w:proofErr w:type="spellEnd"/>
      <w:r w:rsidRPr="00FC58EA">
        <w:t xml:space="preserve"> is </w:t>
      </w:r>
      <w:r w:rsidRPr="00FC58EA">
        <w:rPr>
          <w:b/>
          <w:bCs/>
        </w:rPr>
        <w:t>not</w:t>
      </w:r>
      <w:r w:rsidRPr="00FC58EA">
        <w:t xml:space="preserve"> trying to build an AI that overrides the lab and spits out a "corrected" HbA1c — the proposal is explicit that doing so would be clinically reckless, since nobody can reliably know the correction factor without knowing the underlying cause. Instead, it's a </w:t>
      </w:r>
      <w:r w:rsidRPr="00FC58EA">
        <w:rPr>
          <w:b/>
          <w:bCs/>
        </w:rPr>
        <w:t>screening layer</w:t>
      </w:r>
      <w:r w:rsidRPr="00FC58EA">
        <w:t>: feed in routine parameters a patient already has (CBC values like haemoglobin, MCV, RDW, plus age, BMI, glucose) and the model outputs a "this HbA1c has an elevated chance of being unreliable, here's why" flag for a doctor to double-check — not a diagnosis, a second opinion.</w:t>
      </w:r>
    </w:p>
    <w:p w14:paraId="277C7C07" w14:textId="77777777" w:rsidR="00FC58EA" w:rsidRPr="00FC58EA" w:rsidRDefault="00FC58EA" w:rsidP="00FC58EA">
      <w:pPr>
        <w:rPr>
          <w:b/>
          <w:bCs/>
        </w:rPr>
      </w:pPr>
      <w:r w:rsidRPr="00FC58EA">
        <w:rPr>
          <w:b/>
          <w:bCs/>
        </w:rPr>
        <w:t>Why should we train a model here?</w:t>
      </w:r>
    </w:p>
    <w:p w14:paraId="6DAEF0E2" w14:textId="77777777" w:rsidR="00FC58EA" w:rsidRPr="00FC58EA" w:rsidRDefault="00FC58EA" w:rsidP="00FC58EA">
      <w:r w:rsidRPr="00FC58EA">
        <w:t>Because the relationships aren't simple math. A few examples straight from the literature:</w:t>
      </w:r>
    </w:p>
    <w:p w14:paraId="6B5BEDDC" w14:textId="77777777" w:rsidR="00FC58EA" w:rsidRPr="00FC58EA" w:rsidRDefault="00FC58EA" w:rsidP="00FC58EA">
      <w:pPr>
        <w:numPr>
          <w:ilvl w:val="0"/>
          <w:numId w:val="1"/>
        </w:numPr>
      </w:pPr>
      <w:r w:rsidRPr="00FC58EA">
        <w:t xml:space="preserve">RDW (red cell distribution width) correlates with HbA1c in </w:t>
      </w:r>
      <w:r w:rsidRPr="00FC58EA">
        <w:rPr>
          <w:b/>
          <w:bCs/>
        </w:rPr>
        <w:t>opposite directions</w:t>
      </w:r>
      <w:r w:rsidRPr="00FC58EA">
        <w:t xml:space="preserve"> depending on whether someone already has diabetes — a rule-based formula can't capture that kind of sign-flip, but a model that learns interactions can.</w:t>
      </w:r>
    </w:p>
    <w:p w14:paraId="40C0F028" w14:textId="77777777" w:rsidR="00FC58EA" w:rsidRPr="00FC58EA" w:rsidRDefault="00FC58EA" w:rsidP="00FC58EA">
      <w:pPr>
        <w:numPr>
          <w:ilvl w:val="0"/>
          <w:numId w:val="1"/>
        </w:numPr>
      </w:pPr>
      <w:r w:rsidRPr="00FC58EA">
        <w:t>Multiple confounders (anaemia + BMI + age + kidney function) act together, not independently, and their combined effect on a given patient isn't something a human can mentally compute from a lab report.</w:t>
      </w:r>
    </w:p>
    <w:p w14:paraId="44CA0346" w14:textId="77777777" w:rsidR="00FC58EA" w:rsidRPr="00FC58EA" w:rsidRDefault="00FC58EA" w:rsidP="00FC58EA">
      <w:pPr>
        <w:numPr>
          <w:ilvl w:val="0"/>
          <w:numId w:val="1"/>
        </w:numPr>
      </w:pPr>
      <w:r w:rsidRPr="00FC58EA">
        <w:t>The pattern also differs by population (</w:t>
      </w:r>
      <w:proofErr w:type="spellStart"/>
      <w:r w:rsidRPr="00FC58EA">
        <w:t>pediatric</w:t>
      </w:r>
      <w:proofErr w:type="spellEnd"/>
      <w:r w:rsidRPr="00FC58EA">
        <w:t xml:space="preserve"> vs adult, different ethnic groups show different discordance rates), so a single fixed clinical rule doesn't generalize — but a model can be trained/validated per population.</w:t>
      </w:r>
    </w:p>
    <w:p w14:paraId="33A73DBD" w14:textId="77777777" w:rsidR="00FC58EA" w:rsidRPr="00FC58EA" w:rsidRDefault="00FC58EA" w:rsidP="00FC58EA">
      <w:pPr>
        <w:rPr>
          <w:b/>
          <w:bCs/>
        </w:rPr>
      </w:pPr>
      <w:r w:rsidRPr="00FC58EA">
        <w:rPr>
          <w:b/>
          <w:bCs/>
        </w:rPr>
        <w:t>What exists in the market already, and what's wrong with it</w:t>
      </w:r>
    </w:p>
    <w:p w14:paraId="31F84DDC" w14:textId="77777777" w:rsidR="00FC58EA" w:rsidRPr="00FC58EA" w:rsidRDefault="00FC58EA" w:rsidP="00FC58EA">
      <w:r w:rsidRPr="00FC58EA">
        <w:t>I searched current literature (2020–2026) specifically for this. Here's what's actually out there:</w:t>
      </w:r>
    </w:p>
    <w:p w14:paraId="1DCFAE5E" w14:textId="77777777" w:rsidR="00FC58EA" w:rsidRPr="00FC58EA" w:rsidRDefault="00FC58EA" w:rsidP="00FC58EA">
      <w:r w:rsidRPr="00FC58EA">
        <w:rPr>
          <w:b/>
          <w:bCs/>
        </w:rPr>
        <w:lastRenderedPageBreak/>
        <w:t xml:space="preserve">1. CGM-vs-lab comparison tools (Dexcom Clarity, Abbott </w:t>
      </w:r>
      <w:proofErr w:type="spellStart"/>
      <w:r w:rsidRPr="00FC58EA">
        <w:rPr>
          <w:b/>
          <w:bCs/>
        </w:rPr>
        <w:t>LibreView</w:t>
      </w:r>
      <w:proofErr w:type="spellEnd"/>
      <w:r w:rsidRPr="00FC58EA">
        <w:rPr>
          <w:b/>
          <w:bCs/>
        </w:rPr>
        <w:t>, etc.)</w:t>
      </w:r>
      <w:r w:rsidRPr="00FC58EA">
        <w:br/>
        <w:t>These compute a "Glucose Management Indicator" (GMI) from continuous glucose monitor data and show it next to the lab HbA1c so a clinician can eyeball the gap.</w:t>
      </w:r>
    </w:p>
    <w:p w14:paraId="4360FD87" w14:textId="77777777" w:rsidR="00FC58EA" w:rsidRPr="00FC58EA" w:rsidRDefault="00FC58EA" w:rsidP="00FC58EA">
      <w:pPr>
        <w:numPr>
          <w:ilvl w:val="0"/>
          <w:numId w:val="2"/>
        </w:numPr>
      </w:pPr>
      <w:r w:rsidRPr="00FC58EA">
        <w:t>Issue: this only works if the patient is already wearing a CGM device — most people getting a routine HbA1c test are not. A real-world analysis found substantial discordance between lab and CGM-estimated HbA1c even among CGM users, with only 11% of patients showing a difference under 0.1%, while half showed differences of 0.5% or more. So even this "solution" is unreliable, and it's not usable for the far larger population without a CGM.</w:t>
      </w:r>
    </w:p>
    <w:p w14:paraId="68F81D72" w14:textId="09319F38" w:rsidR="00FC58EA" w:rsidRDefault="00FC58EA">
      <w:r>
        <w:t xml:space="preserve">Link - </w:t>
      </w:r>
      <w:hyperlink r:id="rId5" w:history="1">
        <w:r w:rsidRPr="00570C39">
          <w:rPr>
            <w:rStyle w:val="Hyperlink"/>
          </w:rPr>
          <w:t>https://journals.sagepub.com/doi/full/10.1089/dia.2020.0501</w:t>
        </w:r>
      </w:hyperlink>
    </w:p>
    <w:p w14:paraId="1159D13A" w14:textId="62BDF4DE" w:rsidR="00FC58EA" w:rsidRPr="00FC58EA" w:rsidRDefault="00FC58EA" w:rsidP="00FC58EA">
      <w:r w:rsidRPr="00FC58EA">
        <w:rPr>
          <w:b/>
          <w:bCs/>
        </w:rPr>
        <w:t>2. Clinical checklists / narrative review guidance</w:t>
      </w:r>
      <w:r w:rsidRPr="00FC58EA">
        <w:br/>
        <w:t xml:space="preserve">Clinicians now have published checklists listing potential sources of error in both GMI and HbA1c measurements, with guidance on how to investigate mismatches. A recent practice-oriented review similarly walks through causes like iron deficiency, kidney disease, and abnormal red blood cell turnover, with a stepwise framework for evaluating discordant results. </w:t>
      </w:r>
      <w:r>
        <w:t xml:space="preserve">Links - </w:t>
      </w:r>
      <w:hyperlink r:id="rId6" w:tgtFrame="_blank" w:history="1">
        <w:r w:rsidRPr="00FC58EA">
          <w:rPr>
            <w:rStyle w:val="Hyperlink"/>
          </w:rPr>
          <w:t>Wiley Online Library</w:t>
        </w:r>
      </w:hyperlink>
      <w:r>
        <w:t xml:space="preserve">  ,  </w:t>
      </w:r>
      <w:hyperlink r:id="rId7" w:tgtFrame="_blank" w:history="1">
        <w:r w:rsidRPr="00FC58EA">
          <w:rPr>
            <w:rStyle w:val="Hyperlink"/>
          </w:rPr>
          <w:t>PubMed</w:t>
        </w:r>
      </w:hyperlink>
    </w:p>
    <w:p w14:paraId="3DBC5C30" w14:textId="77777777" w:rsidR="00FC58EA" w:rsidRPr="00FC58EA" w:rsidRDefault="00FC58EA" w:rsidP="00FC58EA">
      <w:pPr>
        <w:numPr>
          <w:ilvl w:val="0"/>
          <w:numId w:val="3"/>
        </w:numPr>
      </w:pPr>
      <w:r w:rsidRPr="00FC58EA">
        <w:t xml:space="preserve">Issue: this is a </w:t>
      </w:r>
      <w:r w:rsidRPr="00FC58EA">
        <w:rPr>
          <w:b/>
          <w:bCs/>
        </w:rPr>
        <w:t>manual, human-memory-dependent</w:t>
      </w:r>
      <w:r w:rsidRPr="00FC58EA">
        <w:t xml:space="preserve"> process. A busy clinician has to remember to suspect discordance, then manually check haemoglobin, MCV, RDW, etc. against a mental checklist. Nothing computes a risk score automatically at the point the lab report is generated.</w:t>
      </w:r>
    </w:p>
    <w:p w14:paraId="62EE94C2" w14:textId="24FDCA2E" w:rsidR="00FC58EA" w:rsidRPr="00FC58EA" w:rsidRDefault="00FC58EA" w:rsidP="00FC58EA">
      <w:r w:rsidRPr="00FC58EA">
        <w:rPr>
          <w:b/>
          <w:bCs/>
        </w:rPr>
        <w:t>3. Personalized "correction" research models (still academic, not deployed)</w:t>
      </w:r>
      <w:r w:rsidRPr="00FC58EA">
        <w:br/>
        <w:t>Researchers have built personalized statistical models that use a patient's own historical CGM and HbA1c data to adjust the GMI estimate for that individual, and a large prospective study tested a "personal glycation ratio" to compute a personalized HbA1c across different racial groups.</w:t>
      </w:r>
      <w:r>
        <w:t xml:space="preserve"> links- </w:t>
      </w:r>
      <w:r w:rsidRPr="00FC58EA">
        <w:t xml:space="preserve"> </w:t>
      </w:r>
      <w:hyperlink r:id="rId8" w:tgtFrame="_blank" w:history="1">
        <w:r w:rsidRPr="00FC58EA">
          <w:rPr>
            <w:rStyle w:val="Hyperlink"/>
          </w:rPr>
          <w:t>PLOS</w:t>
        </w:r>
      </w:hyperlink>
      <w:r>
        <w:t xml:space="preserve"> , </w:t>
      </w:r>
      <w:hyperlink r:id="rId9" w:tgtFrame="_blank" w:history="1">
        <w:proofErr w:type="spellStart"/>
        <w:r w:rsidRPr="00FC58EA">
          <w:rPr>
            <w:rStyle w:val="Hyperlink"/>
          </w:rPr>
          <w:t>DiabetesJournals</w:t>
        </w:r>
        <w:proofErr w:type="spellEnd"/>
      </w:hyperlink>
    </w:p>
    <w:p w14:paraId="75CDB94E" w14:textId="77777777" w:rsidR="00FC58EA" w:rsidRDefault="00FC58EA" w:rsidP="00FC58EA">
      <w:pPr>
        <w:numPr>
          <w:ilvl w:val="0"/>
          <w:numId w:val="4"/>
        </w:numPr>
      </w:pPr>
      <w:r w:rsidRPr="00FC58EA">
        <w:t>Issue: these need weeks of prior CGM data per patient to "learn" that person's pattern — not usable for someone getting a first-time or occasional lab test, and still CGM-dependent, and not explainable (no "here's why" for the clinician).</w:t>
      </w:r>
    </w:p>
    <w:p w14:paraId="63638654" w14:textId="26123EBE" w:rsidR="00FC58EA" w:rsidRPr="00FC58EA" w:rsidRDefault="00FC58EA" w:rsidP="00FC58EA">
      <w:r w:rsidRPr="00FC58EA">
        <w:rPr>
          <w:b/>
          <w:bCs/>
        </w:rPr>
        <w:t>4. EHR-based HbA1c prediction models</w:t>
      </w:r>
      <w:r w:rsidRPr="00FC58EA">
        <w:br/>
        <w:t xml:space="preserve">Some tools exist that predict a patient's likely current HbA1c from EHR data using a mathematical equation, validated against existing calculators. </w:t>
      </w:r>
      <w:r>
        <w:t xml:space="preserve">Links - </w:t>
      </w:r>
      <w:hyperlink r:id="rId10" w:tgtFrame="_blank" w:history="1">
        <w:proofErr w:type="spellStart"/>
        <w:r w:rsidRPr="00FC58EA">
          <w:rPr>
            <w:rStyle w:val="Hyperlink"/>
          </w:rPr>
          <w:t>nih</w:t>
        </w:r>
        <w:proofErr w:type="spellEnd"/>
      </w:hyperlink>
    </w:p>
    <w:p w14:paraId="7C254264" w14:textId="77777777" w:rsidR="00FC58EA" w:rsidRPr="00FC58EA" w:rsidRDefault="00FC58EA" w:rsidP="00FC58EA">
      <w:pPr>
        <w:numPr>
          <w:ilvl w:val="0"/>
          <w:numId w:val="5"/>
        </w:numPr>
      </w:pPr>
      <w:r w:rsidRPr="00FC58EA">
        <w:t xml:space="preserve">Issue: these predict the </w:t>
      </w:r>
      <w:r w:rsidRPr="00FC58EA">
        <w:rPr>
          <w:i/>
          <w:iCs/>
        </w:rPr>
        <w:t>value</w:t>
      </w:r>
      <w:r w:rsidRPr="00FC58EA">
        <w:t xml:space="preserve"> of HbA1c itself, not whether an </w:t>
      </w:r>
      <w:r w:rsidRPr="00FC58EA">
        <w:rPr>
          <w:i/>
          <w:iCs/>
        </w:rPr>
        <w:t>existing</w:t>
      </w:r>
      <w:r w:rsidRPr="00FC58EA">
        <w:t xml:space="preserve"> HbA1c reading is trustworthy. Different problem entirely.</w:t>
      </w:r>
    </w:p>
    <w:p w14:paraId="00E93931" w14:textId="77777777" w:rsidR="00FC58EA" w:rsidRDefault="00FC58EA" w:rsidP="00FC58EA">
      <w:pPr>
        <w:pStyle w:val="NormalWeb"/>
        <w:numPr>
          <w:ilvl w:val="0"/>
          <w:numId w:val="5"/>
        </w:numPr>
      </w:pPr>
      <w:r>
        <w:rPr>
          <w:rStyle w:val="Strong"/>
        </w:rPr>
        <w:t>Bottom line on the market:</w:t>
      </w:r>
      <w:r>
        <w:t xml:space="preserve"> nothing currently takes a routine CBC + basic labs and outputs an automatic, explainable "this HbA1c may not be trustworthy for this patient" flag at the point of testing. Everything that exists either needs a CGM device, </w:t>
      </w:r>
      <w:r>
        <w:lastRenderedPageBreak/>
        <w:t>needs weeks of prior data, or relies on a doctor remembering to manually cross-check — this is exactly the gap the doc identifies.</w:t>
      </w:r>
    </w:p>
    <w:p w14:paraId="0E43B890" w14:textId="77777777" w:rsidR="00FC58EA" w:rsidRDefault="00FC58EA" w:rsidP="00FC58EA">
      <w:pPr>
        <w:pStyle w:val="Heading3"/>
        <w:numPr>
          <w:ilvl w:val="0"/>
          <w:numId w:val="5"/>
        </w:numPr>
      </w:pPr>
      <w:r>
        <w:t>How the end user (clinician) currently handles this</w:t>
      </w:r>
    </w:p>
    <w:p w14:paraId="30F1598C" w14:textId="77777777" w:rsidR="00FC58EA" w:rsidRDefault="00FC58EA" w:rsidP="00FC58EA">
      <w:pPr>
        <w:pStyle w:val="NormalWeb"/>
        <w:numPr>
          <w:ilvl w:val="0"/>
          <w:numId w:val="5"/>
        </w:numPr>
      </w:pPr>
      <w:r>
        <w:t xml:space="preserve">Right now, the workflow looks like this: the lab returns an HbA1c number → the clinician looks at it in isolation (or next to a prior visit's number) → </w:t>
      </w:r>
      <w:r>
        <w:rPr>
          <w:rStyle w:val="Strong"/>
        </w:rPr>
        <w:t>if</w:t>
      </w:r>
      <w:r>
        <w:t xml:space="preserve"> something seems off (e.g., patient reports symptoms inconsistent with the number, or the doctor happens to notice low haemoglobin on the same panel) → the clinician </w:t>
      </w:r>
      <w:r>
        <w:rPr>
          <w:rStyle w:val="Emphasis"/>
        </w:rPr>
        <w:t>manually</w:t>
      </w:r>
      <w:r>
        <w:t xml:space="preserve"> pulls up the CBC, checks red cell indices against reference ranges, and decides whether to order confirmatory tests (fasting glucose, OGTT, iron studies). There's no automated prompt — it depends entirely on the individual clinician's attentiveness, workload, and familiarity with this fairly niche area of lab medicine. Given how busy primary care and diabetes clinics are, this is a "silent" failure mode: discordant results likely get missed far more often than they get caught, since failing to recognize discordance can lead to inappropriate treatment escalation and increased </w:t>
      </w:r>
      <w:proofErr w:type="spellStart"/>
      <w:r>
        <w:t>hypoglycemia</w:t>
      </w:r>
      <w:proofErr w:type="spellEnd"/>
      <w:r>
        <w:t xml:space="preserve"> risk. </w:t>
      </w:r>
    </w:p>
    <w:p w14:paraId="570C22C9" w14:textId="3605195D" w:rsidR="00FC58EA" w:rsidRDefault="00FC58EA" w:rsidP="00FC58EA">
      <w:pPr>
        <w:pStyle w:val="NormalWeb"/>
        <w:numPr>
          <w:ilvl w:val="0"/>
          <w:numId w:val="5"/>
        </w:numPr>
      </w:pPr>
      <w:hyperlink r:id="rId11" w:tgtFrame="_blank" w:history="1">
        <w:r>
          <w:rPr>
            <w:rStyle w:val="Hyperlink"/>
          </w:rPr>
          <w:t>PubMed</w:t>
        </w:r>
      </w:hyperlink>
    </w:p>
    <w:p w14:paraId="606797F7" w14:textId="77777777" w:rsidR="00FC58EA" w:rsidRDefault="00FC58EA" w:rsidP="00FC58EA">
      <w:pPr>
        <w:pStyle w:val="NormalWeb"/>
      </w:pPr>
    </w:p>
    <w:p w14:paraId="1C338D13" w14:textId="77777777" w:rsidR="00FC58EA" w:rsidRPr="00FC58EA" w:rsidRDefault="00FC58EA" w:rsidP="00FC58EA"/>
    <w:p w14:paraId="6CE91C5C" w14:textId="77777777" w:rsidR="00FC58EA" w:rsidRDefault="00FC58EA"/>
    <w:sectPr w:rsidR="00FC5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B7F"/>
    <w:multiLevelType w:val="multilevel"/>
    <w:tmpl w:val="A78A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247BB"/>
    <w:multiLevelType w:val="multilevel"/>
    <w:tmpl w:val="40BC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32567"/>
    <w:multiLevelType w:val="multilevel"/>
    <w:tmpl w:val="543E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5155E"/>
    <w:multiLevelType w:val="multilevel"/>
    <w:tmpl w:val="FC5C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20993"/>
    <w:multiLevelType w:val="multilevel"/>
    <w:tmpl w:val="E0001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455F2C"/>
    <w:multiLevelType w:val="multilevel"/>
    <w:tmpl w:val="E658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611255">
    <w:abstractNumId w:val="1"/>
  </w:num>
  <w:num w:numId="2" w16cid:durableId="771827304">
    <w:abstractNumId w:val="3"/>
  </w:num>
  <w:num w:numId="3" w16cid:durableId="229997340">
    <w:abstractNumId w:val="2"/>
  </w:num>
  <w:num w:numId="4" w16cid:durableId="70011151">
    <w:abstractNumId w:val="5"/>
  </w:num>
  <w:num w:numId="5" w16cid:durableId="1083453309">
    <w:abstractNumId w:val="0"/>
  </w:num>
  <w:num w:numId="6" w16cid:durableId="227081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8EA"/>
    <w:rsid w:val="002041F9"/>
    <w:rsid w:val="003673E2"/>
    <w:rsid w:val="00596D9D"/>
    <w:rsid w:val="008B0E68"/>
    <w:rsid w:val="00FC5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BF8"/>
  <w15:chartTrackingRefBased/>
  <w15:docId w15:val="{D88EE2C9-DC63-4E91-9ED1-C244AE38B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5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5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8EA"/>
    <w:rPr>
      <w:rFonts w:eastAsiaTheme="majorEastAsia" w:cstheme="majorBidi"/>
      <w:color w:val="272727" w:themeColor="text1" w:themeTint="D8"/>
    </w:rPr>
  </w:style>
  <w:style w:type="paragraph" w:styleId="Title">
    <w:name w:val="Title"/>
    <w:basedOn w:val="Normal"/>
    <w:next w:val="Normal"/>
    <w:link w:val="TitleChar"/>
    <w:uiPriority w:val="10"/>
    <w:qFormat/>
    <w:rsid w:val="00FC5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8EA"/>
    <w:pPr>
      <w:spacing w:before="160"/>
      <w:jc w:val="center"/>
    </w:pPr>
    <w:rPr>
      <w:i/>
      <w:iCs/>
      <w:color w:val="404040" w:themeColor="text1" w:themeTint="BF"/>
    </w:rPr>
  </w:style>
  <w:style w:type="character" w:customStyle="1" w:styleId="QuoteChar">
    <w:name w:val="Quote Char"/>
    <w:basedOn w:val="DefaultParagraphFont"/>
    <w:link w:val="Quote"/>
    <w:uiPriority w:val="29"/>
    <w:rsid w:val="00FC58EA"/>
    <w:rPr>
      <w:i/>
      <w:iCs/>
      <w:color w:val="404040" w:themeColor="text1" w:themeTint="BF"/>
    </w:rPr>
  </w:style>
  <w:style w:type="paragraph" w:styleId="ListParagraph">
    <w:name w:val="List Paragraph"/>
    <w:basedOn w:val="Normal"/>
    <w:uiPriority w:val="34"/>
    <w:qFormat/>
    <w:rsid w:val="00FC58EA"/>
    <w:pPr>
      <w:ind w:left="720"/>
      <w:contextualSpacing/>
    </w:pPr>
  </w:style>
  <w:style w:type="character" w:styleId="IntenseEmphasis">
    <w:name w:val="Intense Emphasis"/>
    <w:basedOn w:val="DefaultParagraphFont"/>
    <w:uiPriority w:val="21"/>
    <w:qFormat/>
    <w:rsid w:val="00FC58EA"/>
    <w:rPr>
      <w:i/>
      <w:iCs/>
      <w:color w:val="0F4761" w:themeColor="accent1" w:themeShade="BF"/>
    </w:rPr>
  </w:style>
  <w:style w:type="paragraph" w:styleId="IntenseQuote">
    <w:name w:val="Intense Quote"/>
    <w:basedOn w:val="Normal"/>
    <w:next w:val="Normal"/>
    <w:link w:val="IntenseQuoteChar"/>
    <w:uiPriority w:val="30"/>
    <w:qFormat/>
    <w:rsid w:val="00FC5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8EA"/>
    <w:rPr>
      <w:i/>
      <w:iCs/>
      <w:color w:val="0F4761" w:themeColor="accent1" w:themeShade="BF"/>
    </w:rPr>
  </w:style>
  <w:style w:type="character" w:styleId="IntenseReference">
    <w:name w:val="Intense Reference"/>
    <w:basedOn w:val="DefaultParagraphFont"/>
    <w:uiPriority w:val="32"/>
    <w:qFormat/>
    <w:rsid w:val="00FC58EA"/>
    <w:rPr>
      <w:b/>
      <w:bCs/>
      <w:smallCaps/>
      <w:color w:val="0F4761" w:themeColor="accent1" w:themeShade="BF"/>
      <w:spacing w:val="5"/>
    </w:rPr>
  </w:style>
  <w:style w:type="character" w:styleId="Hyperlink">
    <w:name w:val="Hyperlink"/>
    <w:basedOn w:val="DefaultParagraphFont"/>
    <w:uiPriority w:val="99"/>
    <w:unhideWhenUsed/>
    <w:rsid w:val="00FC58EA"/>
    <w:rPr>
      <w:color w:val="467886" w:themeColor="hyperlink"/>
      <w:u w:val="single"/>
    </w:rPr>
  </w:style>
  <w:style w:type="character" w:styleId="UnresolvedMention">
    <w:name w:val="Unresolved Mention"/>
    <w:basedOn w:val="DefaultParagraphFont"/>
    <w:uiPriority w:val="99"/>
    <w:semiHidden/>
    <w:unhideWhenUsed/>
    <w:rsid w:val="00FC58EA"/>
    <w:rPr>
      <w:color w:val="605E5C"/>
      <w:shd w:val="clear" w:color="auto" w:fill="E1DFDD"/>
    </w:rPr>
  </w:style>
  <w:style w:type="character" w:styleId="FollowedHyperlink">
    <w:name w:val="FollowedHyperlink"/>
    <w:basedOn w:val="DefaultParagraphFont"/>
    <w:uiPriority w:val="99"/>
    <w:semiHidden/>
    <w:unhideWhenUsed/>
    <w:rsid w:val="00FC58EA"/>
    <w:rPr>
      <w:color w:val="96607D" w:themeColor="followedHyperlink"/>
      <w:u w:val="single"/>
    </w:rPr>
  </w:style>
  <w:style w:type="paragraph" w:styleId="NormalWeb">
    <w:name w:val="Normal (Web)"/>
    <w:basedOn w:val="Normal"/>
    <w:uiPriority w:val="99"/>
    <w:semiHidden/>
    <w:unhideWhenUsed/>
    <w:rsid w:val="00FC58E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C58EA"/>
    <w:rPr>
      <w:b/>
      <w:bCs/>
    </w:rPr>
  </w:style>
  <w:style w:type="character" w:styleId="Emphasis">
    <w:name w:val="Emphasis"/>
    <w:basedOn w:val="DefaultParagraphFont"/>
    <w:uiPriority w:val="20"/>
    <w:qFormat/>
    <w:rsid w:val="00FC58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plos.org/digitalhealth/article?id=10.1371%2Fjournal.pdig.000122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med.ncbi.nlm.nih.gov/4255093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library.wiley.com/doi/full/10.1111/dme.70023" TargetMode="External"/><Relationship Id="rId11" Type="http://schemas.openxmlformats.org/officeDocument/2006/relationships/hyperlink" Target="https://pubmed.ncbi.nlm.nih.gov/42550937/" TargetMode="External"/><Relationship Id="rId5" Type="http://schemas.openxmlformats.org/officeDocument/2006/relationships/hyperlink" Target="https://journals.sagepub.com/doi/full/10.1089/dia.2020.0501" TargetMode="External"/><Relationship Id="rId10" Type="http://schemas.openxmlformats.org/officeDocument/2006/relationships/hyperlink" Target="https://www.ncbi.nlm.nih.gov/pmc/articles/PMC6231807/" TargetMode="External"/><Relationship Id="rId4" Type="http://schemas.openxmlformats.org/officeDocument/2006/relationships/webSettings" Target="webSettings.xml"/><Relationship Id="rId9" Type="http://schemas.openxmlformats.org/officeDocument/2006/relationships/hyperlink" Target="https://diabetesjournals.org/care/article/49/8/1420/170108/Glucose-Derived-Personalized-HbA1c-Correction-GD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331</TotalTime>
  <Pages>3</Pages>
  <Words>1013</Words>
  <Characters>5776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 S&amp;H 2N 2024 SHIVANAGOUDA I PATIL</dc:creator>
  <cp:keywords/>
  <dc:description/>
  <cp:lastModifiedBy>EC S&amp;H 2N 2024 SHIVANAGOUDA I PATIL</cp:lastModifiedBy>
  <cp:revision>2</cp:revision>
  <dcterms:created xsi:type="dcterms:W3CDTF">2026-08-27T04:19:00Z</dcterms:created>
  <dcterms:modified xsi:type="dcterms:W3CDTF">2026-09-15T14:12:00Z</dcterms:modified>
</cp:coreProperties>
</file>